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DFE5A" w14:textId="13765723" w:rsidR="00BC27E9" w:rsidRDefault="00BC27E9" w:rsidP="00BC27E9">
      <w:pPr>
        <w:pStyle w:val="EstilodePrrafoNormal1RdeC"/>
      </w:pPr>
      <w:bookmarkStart w:id="0" w:name="_Hlk217400861"/>
      <w:bookmarkEnd w:id="0"/>
    </w:p>
    <w:p w14:paraId="7D81EB26" w14:textId="77777777" w:rsidR="00B22319" w:rsidRPr="00B57B1F" w:rsidRDefault="00B22319" w:rsidP="00B22319">
      <w:pPr>
        <w:pStyle w:val="NoSpacing"/>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r w:rsidRPr="00B57B1F">
        <w:rPr>
          <w:rFonts w:ascii="Times New Roman" w:hAnsi="Times New Roman" w:cs="Times New Roman"/>
          <w:b/>
          <w:bCs/>
          <w:color w:val="767171"/>
          <w:spacing w:val="24"/>
          <w14:textFill>
            <w14:solidFill>
              <w14:srgbClr w14:val="767171">
                <w14:alpha w14:val="50000"/>
              </w14:srgbClr>
            </w14:solidFill>
          </w14:textFill>
        </w:rPr>
        <w:t>1</w:t>
      </w:r>
    </w:p>
    <w:p w14:paraId="7C270983" w14:textId="77777777" w:rsidR="00B22319" w:rsidRPr="00B57B1F" w:rsidRDefault="00B22319" w:rsidP="00B22319">
      <w:pPr>
        <w:pStyle w:val="NoSpacing"/>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r w:rsidRPr="00B57B1F">
        <w:rPr>
          <w:rFonts w:ascii="Times New Roman" w:hAnsi="Times New Roman" w:cs="Times New Roman"/>
          <w:b/>
          <w:bCs/>
          <w:noProof/>
          <w:color w:val="D5B788"/>
          <w:spacing w:val="60"/>
          <w:kern w:val="24"/>
          <w:sz w:val="24"/>
          <w:szCs w:val="56"/>
        </w:rPr>
        <w:drawing>
          <wp:anchor distT="0" distB="0" distL="114300" distR="114300" simplePos="0" relativeHeight="251700224" behindDoc="0" locked="0" layoutInCell="1" allowOverlap="1" wp14:anchorId="39E184D1" wp14:editId="67A98F63">
            <wp:simplePos x="0" y="0"/>
            <wp:positionH relativeFrom="margin">
              <wp:posOffset>1790700</wp:posOffset>
            </wp:positionH>
            <wp:positionV relativeFrom="margin">
              <wp:posOffset>-403860</wp:posOffset>
            </wp:positionV>
            <wp:extent cx="1270635" cy="1284605"/>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35" cy="128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7B1F">
        <w:rPr>
          <w:rFonts w:ascii="Times New Roman" w:hAnsi="Times New Roman" w:cs="Times New Roman"/>
          <w:b/>
          <w:bCs/>
          <w:color w:val="767171"/>
          <w:spacing w:val="24"/>
          <w14:textFill>
            <w14:solidFill>
              <w14:srgbClr w14:val="767171">
                <w14:alpha w14:val="50000"/>
              </w14:srgbClr>
            </w14:solidFill>
          </w14:textFill>
        </w:rPr>
        <w:t>Samaná</w:t>
      </w:r>
    </w:p>
    <w:p w14:paraId="00A4D869" w14:textId="77777777" w:rsidR="00B22319" w:rsidRPr="00B57B1F" w:rsidRDefault="00B22319" w:rsidP="00B22319">
      <w:pPr>
        <w:pStyle w:val="NoSpacing"/>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4F0EE453" w14:textId="77777777" w:rsidR="00B22319" w:rsidRPr="00B57B1F" w:rsidRDefault="00B22319" w:rsidP="00B22319">
      <w:pPr>
        <w:pStyle w:val="NoSpacing"/>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095A1621" w14:textId="77777777" w:rsidR="00B22319" w:rsidRPr="00B57B1F" w:rsidRDefault="00B22319" w:rsidP="00B22319">
      <w:pPr>
        <w:pStyle w:val="NoSpacing"/>
        <w:tabs>
          <w:tab w:val="center" w:pos="3793"/>
          <w:tab w:val="right" w:pos="7586"/>
        </w:tabs>
        <w:spacing w:line="360" w:lineRule="auto"/>
        <w:jc w:val="center"/>
        <w:rPr>
          <w:rFonts w:ascii="Times New Roman" w:hAnsi="Times New Roman" w:cs="Times New Roman"/>
          <w:b/>
          <w:bCs/>
          <w:color w:val="767171"/>
          <w:spacing w:val="24"/>
          <w14:textFill>
            <w14:solidFill>
              <w14:srgbClr w14:val="767171">
                <w14:alpha w14:val="50000"/>
              </w14:srgbClr>
            </w14:solidFill>
          </w14:textFill>
        </w:rPr>
      </w:pPr>
    </w:p>
    <w:p w14:paraId="600FA3FD" w14:textId="77777777" w:rsidR="00B22319" w:rsidRPr="00B57B1F" w:rsidRDefault="00B22319" w:rsidP="00B22319">
      <w:pPr>
        <w:jc w:val="center"/>
        <w:rPr>
          <w:rFonts w:cs="Times New Roman"/>
        </w:rPr>
      </w:pPr>
      <w:r w:rsidRPr="00B57B1F">
        <w:rPr>
          <w:rFonts w:cs="Times New Roman"/>
          <w:b/>
          <w:bCs/>
          <w:color w:val="D5B788"/>
          <w:spacing w:val="60"/>
          <w:kern w:val="24"/>
          <w:szCs w:val="56"/>
        </w:rPr>
        <w:t>REPÚBLICA DOMINICANA</w:t>
      </w:r>
    </w:p>
    <w:p w14:paraId="5312FCFF" w14:textId="77777777" w:rsidR="00B22319" w:rsidRPr="00B57B1F" w:rsidRDefault="00B22319" w:rsidP="00B22319">
      <w:pPr>
        <w:rPr>
          <w:rFonts w:cs="Times New Roman"/>
        </w:rPr>
      </w:pPr>
    </w:p>
    <w:p w14:paraId="1A80A58B" w14:textId="77777777" w:rsidR="00B22319" w:rsidRPr="00B57B1F" w:rsidRDefault="00B22319" w:rsidP="00B22319">
      <w:pPr>
        <w:rPr>
          <w:rFonts w:cs="Times New Roman"/>
        </w:rPr>
      </w:pPr>
    </w:p>
    <w:p w14:paraId="545B9658" w14:textId="77777777" w:rsidR="00B22319" w:rsidRPr="00B57B1F" w:rsidRDefault="00B22319" w:rsidP="00B22319">
      <w:pPr>
        <w:rPr>
          <w:rFonts w:cs="Times New Roman"/>
        </w:rPr>
      </w:pPr>
    </w:p>
    <w:p w14:paraId="58A3876F" w14:textId="77777777" w:rsidR="00B22319" w:rsidRPr="00B57B1F" w:rsidRDefault="00B22319" w:rsidP="00B22319">
      <w:pPr>
        <w:rPr>
          <w:rFonts w:cs="Times New Roman"/>
        </w:rPr>
      </w:pPr>
    </w:p>
    <w:p w14:paraId="148F8285" w14:textId="77777777" w:rsidR="00B22319" w:rsidRPr="00B57B1F" w:rsidRDefault="00B22319" w:rsidP="00B22319">
      <w:pPr>
        <w:pStyle w:val="NoSpacing"/>
        <w:spacing w:line="360" w:lineRule="auto"/>
        <w:jc w:val="center"/>
        <w:rPr>
          <w:rFonts w:ascii="Times New Roman" w:hAnsi="Times New Roman" w:cs="Times New Roman"/>
          <w:color w:val="767171"/>
          <w:spacing w:val="18"/>
          <w:sz w:val="48"/>
          <w:szCs w:val="48"/>
          <w14:textFill>
            <w14:solidFill>
              <w14:srgbClr w14:val="767171">
                <w14:alpha w14:val="50000"/>
              </w14:srgbClr>
            </w14:solidFill>
          </w14:textFill>
        </w:rPr>
      </w:pPr>
    </w:p>
    <w:p w14:paraId="608EEFF2" w14:textId="77777777" w:rsidR="00B22319" w:rsidRPr="00B57B1F" w:rsidRDefault="00B22319" w:rsidP="00B22319">
      <w:pPr>
        <w:jc w:val="center"/>
        <w:rPr>
          <w:rFonts w:cs="Times New Roman"/>
          <w:b/>
          <w:bCs/>
          <w:color w:val="D5B788"/>
          <w:spacing w:val="60"/>
          <w:kern w:val="24"/>
          <w:sz w:val="56"/>
          <w:szCs w:val="56"/>
        </w:rPr>
      </w:pPr>
      <w:r w:rsidRPr="00B57B1F">
        <w:rPr>
          <w:rFonts w:cs="Times New Roman"/>
          <w:b/>
          <w:bCs/>
          <w:color w:val="D5B788"/>
          <w:spacing w:val="60"/>
          <w:kern w:val="24"/>
          <w:sz w:val="56"/>
          <w:szCs w:val="56"/>
        </w:rPr>
        <w:t>MEMORIA</w:t>
      </w:r>
    </w:p>
    <w:p w14:paraId="669809A1" w14:textId="77777777" w:rsidR="00B22319" w:rsidRPr="00B57B1F" w:rsidRDefault="00B22319" w:rsidP="00B22319">
      <w:pPr>
        <w:jc w:val="center"/>
        <w:rPr>
          <w:rFonts w:cs="Times New Roman"/>
          <w:b/>
          <w:bCs/>
          <w:color w:val="D5B788"/>
          <w:spacing w:val="60"/>
          <w:kern w:val="24"/>
          <w:sz w:val="56"/>
          <w:szCs w:val="56"/>
        </w:rPr>
      </w:pPr>
      <w:r w:rsidRPr="00B57B1F">
        <w:rPr>
          <w:rFonts w:cs="Times New Roman"/>
          <w:b/>
          <w:bCs/>
          <w:color w:val="D5B788"/>
          <w:spacing w:val="60"/>
          <w:kern w:val="24"/>
          <w:sz w:val="56"/>
          <w:szCs w:val="56"/>
        </w:rPr>
        <w:t>INSTITUCIONAL</w:t>
      </w:r>
    </w:p>
    <w:p w14:paraId="71B642D9" w14:textId="77777777" w:rsidR="00B22319" w:rsidRPr="00B57B1F" w:rsidRDefault="00B22319" w:rsidP="00B22319">
      <w:pPr>
        <w:pStyle w:val="NoSpacing"/>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57B1F">
        <w:rPr>
          <w:rFonts w:ascii="Times New Roman" w:hAnsi="Times New Roman" w:cs="Times New Roman"/>
          <w:noProof/>
          <w:color w:val="767171"/>
          <w:spacing w:val="18"/>
          <w:sz w:val="48"/>
          <w:szCs w:val="48"/>
          <w14:textFill>
            <w14:solidFill>
              <w14:srgbClr w14:val="767171">
                <w14:alpha w14:val="50000"/>
              </w14:srgbClr>
            </w14:solidFill>
          </w14:textFill>
        </w:rPr>
        <mc:AlternateContent>
          <mc:Choice Requires="wps">
            <w:drawing>
              <wp:anchor distT="0" distB="0" distL="114300" distR="114300" simplePos="0" relativeHeight="251696128" behindDoc="0" locked="0" layoutInCell="1" allowOverlap="1" wp14:anchorId="72D20E41" wp14:editId="7F79D011">
                <wp:simplePos x="0" y="0"/>
                <wp:positionH relativeFrom="margin">
                  <wp:align>center</wp:align>
                </wp:positionH>
                <wp:positionV relativeFrom="paragraph">
                  <wp:posOffset>3810</wp:posOffset>
                </wp:positionV>
                <wp:extent cx="439420" cy="8255"/>
                <wp:effectExtent l="19050" t="19050" r="36830" b="29845"/>
                <wp:wrapNone/>
                <wp:docPr id="19"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1E9C901" id="Conector recto 4" o:spid="_x0000_s1026" style="position:absolute;flip:y;z-index:25169612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Euosarb&#10;AQAADAQ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14:paraId="782F651B" w14:textId="77777777" w:rsidR="00B22319" w:rsidRPr="00B57B1F" w:rsidRDefault="00B22319" w:rsidP="00B22319">
      <w:pPr>
        <w:jc w:val="center"/>
        <w:rPr>
          <w:rFonts w:cs="Times New Roman"/>
          <w:b/>
          <w:bCs/>
          <w:color w:val="D5B788"/>
          <w:spacing w:val="60"/>
          <w:kern w:val="24"/>
          <w:sz w:val="44"/>
          <w:szCs w:val="56"/>
        </w:rPr>
      </w:pPr>
      <w:r w:rsidRPr="00B57B1F">
        <w:rPr>
          <w:rFonts w:cs="Times New Roman"/>
          <w:b/>
          <w:bCs/>
          <w:color w:val="D5B788"/>
          <w:spacing w:val="60"/>
          <w:kern w:val="24"/>
          <w:sz w:val="28"/>
          <w:szCs w:val="28"/>
        </w:rPr>
        <w:t>AÑO</w:t>
      </w:r>
      <w:r w:rsidRPr="00B57B1F">
        <w:rPr>
          <w:rFonts w:cs="Times New Roman"/>
          <w:b/>
          <w:bCs/>
          <w:color w:val="D5B788"/>
          <w:spacing w:val="60"/>
          <w:kern w:val="24"/>
          <w:sz w:val="44"/>
          <w:szCs w:val="56"/>
        </w:rPr>
        <w:t xml:space="preserve"> </w:t>
      </w:r>
      <w:r w:rsidRPr="00B57B1F">
        <w:rPr>
          <w:rFonts w:cs="Times New Roman"/>
          <w:b/>
          <w:bCs/>
          <w:color w:val="D5B788"/>
          <w:spacing w:val="60"/>
          <w:kern w:val="24"/>
          <w:sz w:val="28"/>
          <w:szCs w:val="28"/>
        </w:rPr>
        <w:t>2025</w:t>
      </w:r>
    </w:p>
    <w:p w14:paraId="4D46BAC3" w14:textId="77777777" w:rsidR="00B22319" w:rsidRPr="00B57B1F" w:rsidRDefault="00B22319" w:rsidP="00B22319">
      <w:pPr>
        <w:spacing w:before="20" w:after="160"/>
        <w:ind w:left="14"/>
        <w:jc w:val="center"/>
        <w:rPr>
          <w:rFonts w:cs="Times New Roman"/>
          <w:b/>
          <w:bCs/>
          <w:color w:val="D5B788"/>
          <w:spacing w:val="74"/>
          <w:kern w:val="24"/>
          <w:sz w:val="28"/>
          <w:szCs w:val="28"/>
        </w:rPr>
      </w:pPr>
    </w:p>
    <w:p w14:paraId="2D77B1B8" w14:textId="77777777" w:rsidR="00B22319" w:rsidRPr="00B57B1F" w:rsidRDefault="00B22319" w:rsidP="00B22319">
      <w:pPr>
        <w:rPr>
          <w:rFonts w:eastAsiaTheme="minorEastAsia" w:cs="Times New Roman"/>
          <w:lang w:eastAsia="es-DO"/>
        </w:rPr>
      </w:pPr>
      <w:r w:rsidRPr="00B57B1F">
        <w:rPr>
          <w:rFonts w:cs="Times New Roman"/>
          <w:noProof/>
          <w:lang w:eastAsia="es-DO"/>
        </w:rPr>
        <w:drawing>
          <wp:anchor distT="0" distB="0" distL="114300" distR="114300" simplePos="0" relativeHeight="251697152" behindDoc="0" locked="0" layoutInCell="1" allowOverlap="1" wp14:anchorId="7F301123" wp14:editId="720E5A62">
            <wp:simplePos x="0" y="0"/>
            <wp:positionH relativeFrom="column">
              <wp:posOffset>-427246</wp:posOffset>
            </wp:positionH>
            <wp:positionV relativeFrom="paragraph">
              <wp:posOffset>1812290</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B57B1F">
        <w:rPr>
          <w:rFonts w:cs="Times New Roman"/>
          <w:noProof/>
          <w:lang w:eastAsia="es-DO"/>
        </w:rPr>
        <w:drawing>
          <wp:anchor distT="0" distB="0" distL="114300" distR="114300" simplePos="0" relativeHeight="251701248" behindDoc="1" locked="0" layoutInCell="1" allowOverlap="1" wp14:anchorId="2BAE4662" wp14:editId="57CEDCEA">
            <wp:simplePos x="0" y="0"/>
            <wp:positionH relativeFrom="column">
              <wp:posOffset>3419475</wp:posOffset>
            </wp:positionH>
            <wp:positionV relativeFrom="paragraph">
              <wp:posOffset>2266315</wp:posOffset>
            </wp:positionV>
            <wp:extent cx="2286000" cy="567055"/>
            <wp:effectExtent l="0" t="0" r="0" b="4445"/>
            <wp:wrapNone/>
            <wp:docPr id="23" name="Imagen 23"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B1F">
        <w:rPr>
          <w:rFonts w:cs="Times New Roman"/>
        </w:rPr>
        <w:br w:type="page"/>
      </w:r>
    </w:p>
    <w:p w14:paraId="63E9A261" w14:textId="77777777" w:rsidR="00B22319" w:rsidRPr="00B57B1F" w:rsidRDefault="00B22319" w:rsidP="00B22319">
      <w:pPr>
        <w:pStyle w:val="NoSpacing"/>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sectPr w:rsidR="00B22319" w:rsidRPr="00B57B1F" w:rsidSect="00B22319">
          <w:footerReference w:type="default" r:id="rId11"/>
          <w:pgSz w:w="12240" w:h="15840" w:code="1"/>
          <w:pgMar w:top="2160" w:right="2160" w:bottom="2160" w:left="2160" w:header="709" w:footer="709" w:gutter="0"/>
          <w:pgNumType w:start="0"/>
          <w:cols w:space="708"/>
          <w:titlePg/>
          <w:docGrid w:linePitch="360"/>
        </w:sectPr>
      </w:pPr>
    </w:p>
    <w:p w14:paraId="15074878" w14:textId="77777777" w:rsidR="00B22319" w:rsidRPr="00B57B1F" w:rsidRDefault="00B22319" w:rsidP="00B22319">
      <w:pPr>
        <w:rPr>
          <w:rFonts w:cs="Times New Roman"/>
        </w:rPr>
      </w:pPr>
    </w:p>
    <w:p w14:paraId="5373E647" w14:textId="77777777" w:rsidR="00B22319" w:rsidRPr="00B57B1F" w:rsidRDefault="00B22319" w:rsidP="00B22319">
      <w:pPr>
        <w:rPr>
          <w:rFonts w:cs="Times New Roman"/>
        </w:rPr>
      </w:pPr>
    </w:p>
    <w:p w14:paraId="205624F6" w14:textId="77777777" w:rsidR="00B22319" w:rsidRPr="00B57B1F" w:rsidRDefault="00B22319" w:rsidP="00B22319">
      <w:pPr>
        <w:rPr>
          <w:rFonts w:cs="Times New Roman"/>
        </w:rPr>
      </w:pPr>
    </w:p>
    <w:p w14:paraId="23D4ABD0" w14:textId="77777777" w:rsidR="00B22319" w:rsidRPr="00B57B1F" w:rsidRDefault="00B22319" w:rsidP="00B22319">
      <w:pPr>
        <w:rPr>
          <w:rFonts w:cs="Times New Roman"/>
        </w:rPr>
      </w:pPr>
    </w:p>
    <w:p w14:paraId="30D0181D" w14:textId="77777777" w:rsidR="00B22319" w:rsidRDefault="00B22319" w:rsidP="00B22319">
      <w:pPr>
        <w:rPr>
          <w:rFonts w:cs="Times New Roman"/>
        </w:rPr>
      </w:pPr>
    </w:p>
    <w:p w14:paraId="3A39EA4D" w14:textId="77777777" w:rsidR="00B22319" w:rsidRDefault="00B22319" w:rsidP="00B22319">
      <w:pPr>
        <w:rPr>
          <w:rFonts w:cs="Times New Roman"/>
        </w:rPr>
      </w:pPr>
    </w:p>
    <w:p w14:paraId="5ADE56AD" w14:textId="77777777" w:rsidR="00B22319" w:rsidRDefault="00B22319" w:rsidP="00B22319">
      <w:pPr>
        <w:rPr>
          <w:rFonts w:cs="Times New Roman"/>
        </w:rPr>
      </w:pPr>
    </w:p>
    <w:p w14:paraId="1EB0085C" w14:textId="77777777" w:rsidR="00B22319" w:rsidRDefault="00B22319" w:rsidP="00B22319">
      <w:pPr>
        <w:rPr>
          <w:rFonts w:cs="Times New Roman"/>
        </w:rPr>
      </w:pPr>
    </w:p>
    <w:p w14:paraId="623D7F45" w14:textId="77777777" w:rsidR="00B22319" w:rsidRPr="00B57B1F" w:rsidRDefault="00B22319" w:rsidP="00B22319">
      <w:pPr>
        <w:rPr>
          <w:rFonts w:cs="Times New Roman"/>
        </w:rPr>
      </w:pPr>
    </w:p>
    <w:p w14:paraId="6C486FB4" w14:textId="77777777" w:rsidR="00B22319" w:rsidRPr="00B57B1F" w:rsidRDefault="00B22319" w:rsidP="00B22319">
      <w:pPr>
        <w:rPr>
          <w:rFonts w:cs="Times New Roman"/>
        </w:rPr>
      </w:pPr>
    </w:p>
    <w:p w14:paraId="31F22CF9" w14:textId="77777777" w:rsidR="00B22319" w:rsidRPr="00B57B1F" w:rsidRDefault="00B22319" w:rsidP="00B22319">
      <w:pPr>
        <w:rPr>
          <w:rFonts w:cs="Times New Roman"/>
        </w:rPr>
      </w:pPr>
    </w:p>
    <w:p w14:paraId="32B42B8B" w14:textId="77777777" w:rsidR="00B22319" w:rsidRPr="00B57B1F" w:rsidRDefault="00B22319" w:rsidP="00B22319">
      <w:pPr>
        <w:jc w:val="center"/>
        <w:rPr>
          <w:rFonts w:cs="Times New Roman"/>
          <w:b/>
          <w:bCs/>
          <w:color w:val="D5B788"/>
          <w:spacing w:val="60"/>
          <w:kern w:val="24"/>
          <w:sz w:val="56"/>
          <w:szCs w:val="56"/>
        </w:rPr>
      </w:pPr>
      <w:r w:rsidRPr="00B57B1F">
        <w:rPr>
          <w:rFonts w:cs="Times New Roman"/>
          <w:b/>
          <w:bCs/>
          <w:color w:val="D5B788"/>
          <w:spacing w:val="60"/>
          <w:kern w:val="24"/>
          <w:sz w:val="56"/>
          <w:szCs w:val="56"/>
        </w:rPr>
        <w:t>MEMORIA</w:t>
      </w:r>
    </w:p>
    <w:p w14:paraId="44F73A3A" w14:textId="77777777" w:rsidR="00B22319" w:rsidRPr="00B57B1F" w:rsidRDefault="00B22319" w:rsidP="00B22319">
      <w:pPr>
        <w:jc w:val="center"/>
        <w:rPr>
          <w:rFonts w:cs="Times New Roman"/>
          <w:b/>
          <w:bCs/>
          <w:color w:val="D5B788"/>
          <w:spacing w:val="60"/>
          <w:kern w:val="24"/>
          <w:sz w:val="56"/>
          <w:szCs w:val="56"/>
        </w:rPr>
      </w:pPr>
      <w:r w:rsidRPr="00B57B1F">
        <w:rPr>
          <w:rFonts w:cs="Times New Roman"/>
          <w:b/>
          <w:bCs/>
          <w:color w:val="D5B788"/>
          <w:spacing w:val="60"/>
          <w:kern w:val="24"/>
          <w:sz w:val="56"/>
          <w:szCs w:val="56"/>
        </w:rPr>
        <w:t>INSTITUCIONAL</w:t>
      </w:r>
    </w:p>
    <w:p w14:paraId="5B81AEE4" w14:textId="77777777" w:rsidR="00B22319" w:rsidRPr="00B57B1F" w:rsidRDefault="00B22319" w:rsidP="00B22319">
      <w:pPr>
        <w:pStyle w:val="NoSpacing"/>
        <w:spacing w:line="360" w:lineRule="auto"/>
        <w:jc w:val="center"/>
        <w:rPr>
          <w:rFonts w:ascii="Times New Roman" w:hAnsi="Times New Roman" w:cs="Times New Roman"/>
          <w:color w:val="767171"/>
          <w:spacing w:val="40"/>
          <w:sz w:val="20"/>
          <w:szCs w:val="20"/>
          <w14:textFill>
            <w14:solidFill>
              <w14:srgbClr w14:val="767171">
                <w14:alpha w14:val="50000"/>
              </w14:srgbClr>
            </w14:solidFill>
          </w14:textFill>
        </w:rPr>
      </w:pPr>
      <w:r w:rsidRPr="00B57B1F">
        <w:rPr>
          <w:rFonts w:ascii="Times New Roman" w:hAnsi="Times New Roman" w:cs="Times New Roman"/>
          <w:noProof/>
          <w:color w:val="767171"/>
          <w:spacing w:val="18"/>
          <w:sz w:val="48"/>
          <w:szCs w:val="48"/>
          <w14:textFill>
            <w14:solidFill>
              <w14:srgbClr w14:val="767171">
                <w14:alpha w14:val="50000"/>
              </w14:srgbClr>
            </w14:solidFill>
          </w14:textFill>
        </w:rPr>
        <mc:AlternateContent>
          <mc:Choice Requires="wps">
            <w:drawing>
              <wp:anchor distT="0" distB="0" distL="114300" distR="114300" simplePos="0" relativeHeight="251698176" behindDoc="0" locked="0" layoutInCell="1" allowOverlap="1" wp14:anchorId="35FDE981" wp14:editId="68F3D44D">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7BFBD1FE" id="Conector recto 4" o:spid="_x0000_s1026" style="position:absolute;flip:y;z-index:25169817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Euosarb&#10;AQAADAQ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14:paraId="191F4948" w14:textId="77777777" w:rsidR="00B22319" w:rsidRPr="00B57B1F" w:rsidRDefault="00B22319" w:rsidP="00B22319">
      <w:pPr>
        <w:pStyle w:val="NoSpacing"/>
        <w:spacing w:line="360" w:lineRule="auto"/>
        <w:jc w:val="center"/>
        <w:rPr>
          <w:rFonts w:ascii="Times New Roman" w:eastAsiaTheme="minorHAnsi" w:hAnsi="Times New Roman" w:cs="Times New Roman"/>
          <w:b/>
          <w:bCs/>
          <w:color w:val="D5B788"/>
          <w:spacing w:val="74"/>
          <w:kern w:val="24"/>
          <w:sz w:val="28"/>
          <w:szCs w:val="28"/>
          <w:lang w:eastAsia="en-US"/>
        </w:rPr>
        <w:sectPr w:rsidR="00B22319" w:rsidRPr="00B57B1F" w:rsidSect="00B22319">
          <w:footerReference w:type="default" r:id="rId12"/>
          <w:pgSz w:w="12240" w:h="15840" w:code="1"/>
          <w:pgMar w:top="2160" w:right="2160" w:bottom="2160" w:left="2160" w:header="709" w:footer="709" w:gutter="0"/>
          <w:pgNumType w:start="0"/>
          <w:cols w:space="708"/>
          <w:titlePg/>
          <w:docGrid w:linePitch="360"/>
        </w:sectPr>
      </w:pPr>
      <w:r w:rsidRPr="00B57B1F">
        <w:rPr>
          <w:rFonts w:ascii="Times New Roman" w:eastAsiaTheme="minorHAnsi" w:hAnsi="Times New Roman" w:cs="Times New Roman"/>
          <w:b/>
          <w:bCs/>
          <w:noProof/>
          <w:color w:val="D5B788"/>
          <w:spacing w:val="74"/>
          <w:kern w:val="24"/>
          <w:sz w:val="28"/>
          <w:szCs w:val="28"/>
        </w:rPr>
        <w:drawing>
          <wp:anchor distT="0" distB="0" distL="114300" distR="114300" simplePos="0" relativeHeight="251699200" behindDoc="0" locked="0" layoutInCell="1" allowOverlap="1" wp14:anchorId="6D247107" wp14:editId="2A10F854">
            <wp:simplePos x="0" y="0"/>
            <wp:positionH relativeFrom="column">
              <wp:posOffset>-457726</wp:posOffset>
            </wp:positionH>
            <wp:positionV relativeFrom="paragraph">
              <wp:posOffset>2622550</wp:posOffset>
            </wp:positionV>
            <wp:extent cx="2547620" cy="1118870"/>
            <wp:effectExtent l="0" t="0" r="5080" b="5080"/>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B57B1F">
        <w:rPr>
          <w:rFonts w:ascii="Times New Roman" w:eastAsiaTheme="minorHAnsi" w:hAnsi="Times New Roman" w:cs="Times New Roman"/>
          <w:b/>
          <w:bCs/>
          <w:noProof/>
          <w:color w:val="D5B788"/>
          <w:spacing w:val="74"/>
          <w:kern w:val="24"/>
          <w:sz w:val="28"/>
          <w:szCs w:val="28"/>
        </w:rPr>
        <w:drawing>
          <wp:anchor distT="0" distB="0" distL="114300" distR="114300" simplePos="0" relativeHeight="251702272" behindDoc="1" locked="0" layoutInCell="1" allowOverlap="1" wp14:anchorId="68137FD0" wp14:editId="4F1B2B79">
            <wp:simplePos x="0" y="0"/>
            <wp:positionH relativeFrom="column">
              <wp:posOffset>3591560</wp:posOffset>
            </wp:positionH>
            <wp:positionV relativeFrom="paragraph">
              <wp:posOffset>3034665</wp:posOffset>
            </wp:positionV>
            <wp:extent cx="2286000" cy="567055"/>
            <wp:effectExtent l="0" t="0" r="0" b="4445"/>
            <wp:wrapNone/>
            <wp:docPr id="26" name="Imagen 26" descr="C:\Users\Yael\AppData\Local\Microsoft\Windows\INetCache\Content.Word\Logo MOPC_Versión Primaria PRINCIPAL_8.10.20_Final-MemoriaIns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ael\AppData\Local\Microsoft\Windows\INetCache\Content.Word\Logo MOPC_Versión Primaria PRINCIPAL_8.10.20_Final-MemoriaInst-202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7B1F">
        <w:rPr>
          <w:rFonts w:ascii="Times New Roman" w:eastAsiaTheme="minorHAnsi" w:hAnsi="Times New Roman" w:cs="Times New Roman"/>
          <w:b/>
          <w:bCs/>
          <w:color w:val="D5B788"/>
          <w:spacing w:val="74"/>
          <w:kern w:val="24"/>
          <w:sz w:val="28"/>
          <w:szCs w:val="28"/>
          <w:lang w:eastAsia="en-US"/>
        </w:rPr>
        <w:t>AÑO 2025</w:t>
      </w:r>
    </w:p>
    <w:p w14:paraId="604B0A93" w14:textId="77777777" w:rsidR="00B22319" w:rsidRDefault="00B22319" w:rsidP="00B22319">
      <w:pPr>
        <w:pStyle w:val="TOC1"/>
        <w:ind w:left="0" w:firstLine="0"/>
      </w:pPr>
    </w:p>
    <w:sdt>
      <w:sdtPr>
        <w:id w:val="813452026"/>
        <w:docPartObj>
          <w:docPartGallery w:val="Table of Contents"/>
          <w:docPartUnique/>
        </w:docPartObj>
      </w:sdtPr>
      <w:sdtEndPr>
        <w:rPr>
          <w:b/>
          <w:bCs/>
          <w:noProof/>
        </w:rPr>
      </w:sdtEndPr>
      <w:sdtContent>
        <w:p w14:paraId="1333D945" w14:textId="77777777" w:rsidR="002208F1" w:rsidRPr="002208F1" w:rsidRDefault="002208F1" w:rsidP="002208F1">
          <w:pPr>
            <w:jc w:val="center"/>
            <w:rPr>
              <w:b/>
              <w:bCs/>
            </w:rPr>
          </w:pPr>
          <w:r w:rsidRPr="002208F1">
            <w:rPr>
              <w:b/>
              <w:bCs/>
            </w:rPr>
            <w:t>ÍNDICE DE CONTENIDO</w:t>
          </w:r>
        </w:p>
        <w:bookmarkStart w:id="1" w:name="_Toc153833002"/>
        <w:bookmarkStart w:id="2" w:name="_Toc153833167"/>
        <w:bookmarkStart w:id="3" w:name="_Toc153838652"/>
        <w:bookmarkStart w:id="4" w:name="_Toc155373422"/>
        <w:bookmarkStart w:id="5" w:name="_Toc155373537"/>
        <w:bookmarkStart w:id="6" w:name="_Toc156239476"/>
        <w:bookmarkStart w:id="7" w:name="_Toc156240550"/>
        <w:bookmarkStart w:id="8" w:name="_Toc185286420"/>
        <w:bookmarkStart w:id="9" w:name="_Toc185292682"/>
        <w:bookmarkStart w:id="10" w:name="_Toc186922535"/>
        <w:bookmarkStart w:id="11" w:name="_Toc186924340"/>
        <w:bookmarkStart w:id="12" w:name="_Toc217059663"/>
        <w:p w14:paraId="4722F2CC" w14:textId="297EF9B7" w:rsidR="002208F1" w:rsidRPr="002208F1" w:rsidRDefault="002208F1" w:rsidP="002208F1">
          <w:pPr>
            <w:jc w:val="center"/>
            <w:rPr>
              <w:b/>
              <w:bCs/>
            </w:rPr>
          </w:pPr>
          <w:r w:rsidRPr="00B57B1F">
            <w:rPr>
              <w:rStyle w:val="Heading1Char"/>
              <w:rFonts w:cs="Times New Roman"/>
              <w:b/>
              <w:noProof/>
              <w:sz w:val="24"/>
              <w:szCs w:val="24"/>
              <w:lang w:eastAsia="es-DO"/>
            </w:rPr>
            <mc:AlternateContent>
              <mc:Choice Requires="wps">
                <w:drawing>
                  <wp:anchor distT="0" distB="0" distL="114300" distR="114300" simplePos="0" relativeHeight="251704320" behindDoc="0" locked="0" layoutInCell="1" allowOverlap="1" wp14:anchorId="23C2D356" wp14:editId="206EDEB8">
                    <wp:simplePos x="0" y="0"/>
                    <wp:positionH relativeFrom="column">
                      <wp:posOffset>2228850</wp:posOffset>
                    </wp:positionH>
                    <wp:positionV relativeFrom="paragraph">
                      <wp:posOffset>100330</wp:posOffset>
                    </wp:positionV>
                    <wp:extent cx="53975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990C42" id="Conector recto 9"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7.9pt" to="21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" strokecolor="red" strokeweight="2.5pt">
                    <v:stroke joinstyle="miter"/>
                  </v:line>
                </w:pict>
              </mc:Fallback>
            </mc:AlternateContent>
          </w:r>
          <w:bookmarkEnd w:id="1"/>
          <w:bookmarkEnd w:id="2"/>
          <w:bookmarkEnd w:id="3"/>
          <w:bookmarkEnd w:id="4"/>
          <w:bookmarkEnd w:id="5"/>
          <w:bookmarkEnd w:id="6"/>
          <w:bookmarkEnd w:id="7"/>
          <w:bookmarkEnd w:id="8"/>
          <w:bookmarkEnd w:id="9"/>
          <w:bookmarkEnd w:id="10"/>
          <w:bookmarkEnd w:id="11"/>
          <w:bookmarkEnd w:id="12"/>
        </w:p>
        <w:p w14:paraId="22C967EF" w14:textId="286E508D" w:rsidR="002208F1" w:rsidRPr="002208F1" w:rsidRDefault="002208F1" w:rsidP="002208F1">
          <w:pPr>
            <w:jc w:val="center"/>
            <w:rPr>
              <w:b/>
              <w:bCs/>
            </w:rPr>
          </w:pPr>
          <w:r w:rsidRPr="002208F1">
            <w:rPr>
              <w:b/>
              <w:bCs/>
            </w:rPr>
            <w:t>Memoria institucional 2025</w:t>
          </w:r>
        </w:p>
        <w:p w14:paraId="29D9DA9E" w14:textId="2E0FA6CE" w:rsidR="002208F1" w:rsidRDefault="002208F1">
          <w:pPr>
            <w:pStyle w:val="TOCHeading"/>
          </w:pPr>
        </w:p>
        <w:p w14:paraId="5D8A1A65" w14:textId="0E211518" w:rsidR="00872076" w:rsidRDefault="002208F1">
          <w:pPr>
            <w:pStyle w:val="TOC1"/>
            <w:rPr>
              <w:rFonts w:asciiTheme="minorHAnsi" w:eastAsiaTheme="minorEastAsia" w:hAnsiTheme="minorHAnsi" w:cstheme="minorBidi"/>
              <w:b w:val="0"/>
              <w:bCs w:val="0"/>
              <w:color w:val="auto"/>
              <w:spacing w:val="0"/>
              <w:kern w:val="2"/>
              <w:position w:val="0"/>
              <w:sz w:val="24"/>
              <w:szCs w:val="24"/>
              <w:lang w:val="en-US"/>
              <w14:ligatures w14:val="standardContextual"/>
            </w:rPr>
          </w:pPr>
          <w:r>
            <w:fldChar w:fldCharType="begin"/>
          </w:r>
          <w:r>
            <w:instrText xml:space="preserve"> TOC \o "1-3" \h \z \u </w:instrText>
          </w:r>
          <w:r>
            <w:fldChar w:fldCharType="separate"/>
          </w:r>
          <w:hyperlink w:anchor="_Toc217402108" w:history="1">
            <w:r w:rsidR="00872076" w:rsidRPr="007363EF">
              <w:rPr>
                <w:rStyle w:val="Hyperlink"/>
              </w:rPr>
              <w:t>RESUMEN EJECUTIVO</w:t>
            </w:r>
            <w:r w:rsidR="00872076">
              <w:rPr>
                <w:webHidden/>
              </w:rPr>
              <w:tab/>
            </w:r>
            <w:r w:rsidR="00872076">
              <w:rPr>
                <w:webHidden/>
              </w:rPr>
              <w:fldChar w:fldCharType="begin"/>
            </w:r>
            <w:r w:rsidR="00872076">
              <w:rPr>
                <w:webHidden/>
              </w:rPr>
              <w:instrText xml:space="preserve"> PAGEREF _Toc217402108 \h </w:instrText>
            </w:r>
            <w:r w:rsidR="00872076">
              <w:rPr>
                <w:webHidden/>
              </w:rPr>
            </w:r>
            <w:r w:rsidR="00872076">
              <w:rPr>
                <w:webHidden/>
              </w:rPr>
              <w:fldChar w:fldCharType="separate"/>
            </w:r>
            <w:r w:rsidR="004C2ADB">
              <w:rPr>
                <w:webHidden/>
              </w:rPr>
              <w:t>v</w:t>
            </w:r>
            <w:r w:rsidR="00872076">
              <w:rPr>
                <w:webHidden/>
              </w:rPr>
              <w:fldChar w:fldCharType="end"/>
            </w:r>
          </w:hyperlink>
        </w:p>
        <w:p w14:paraId="16237E1E" w14:textId="0E37C102" w:rsidR="00872076" w:rsidRDefault="00872076">
          <w:pPr>
            <w:pStyle w:val="TOC1"/>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09" w:history="1">
            <w:r w:rsidRPr="007363EF">
              <w:rPr>
                <w:rStyle w:val="Hyperlink"/>
              </w:rPr>
              <w:t>II.</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INFORMACIÓN INSTITUCIONAL</w:t>
            </w:r>
            <w:r>
              <w:rPr>
                <w:webHidden/>
              </w:rPr>
              <w:tab/>
            </w:r>
            <w:r>
              <w:rPr>
                <w:webHidden/>
              </w:rPr>
              <w:fldChar w:fldCharType="begin"/>
            </w:r>
            <w:r>
              <w:rPr>
                <w:webHidden/>
              </w:rPr>
              <w:instrText xml:space="preserve"> PAGEREF _Toc217402109 \h </w:instrText>
            </w:r>
            <w:r>
              <w:rPr>
                <w:webHidden/>
              </w:rPr>
            </w:r>
            <w:r>
              <w:rPr>
                <w:webHidden/>
              </w:rPr>
              <w:fldChar w:fldCharType="separate"/>
            </w:r>
            <w:r w:rsidR="004C2ADB">
              <w:rPr>
                <w:webHidden/>
              </w:rPr>
              <w:t>2</w:t>
            </w:r>
            <w:r>
              <w:rPr>
                <w:webHidden/>
              </w:rPr>
              <w:fldChar w:fldCharType="end"/>
            </w:r>
          </w:hyperlink>
        </w:p>
        <w:p w14:paraId="6AAA0E2D" w14:textId="2E816C08"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12" w:history="1">
            <w:r w:rsidRPr="007363EF">
              <w:rPr>
                <w:rStyle w:val="Hyperlink"/>
                <w:rFonts w:cs="Times New Roman"/>
                <w:b/>
                <w:bCs/>
                <w:noProof/>
              </w:rPr>
              <w:t>2.1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Marco Filosófico Institucional</w:t>
            </w:r>
            <w:r>
              <w:rPr>
                <w:noProof/>
                <w:webHidden/>
              </w:rPr>
              <w:tab/>
            </w:r>
            <w:r>
              <w:rPr>
                <w:noProof/>
                <w:webHidden/>
              </w:rPr>
              <w:fldChar w:fldCharType="begin"/>
            </w:r>
            <w:r>
              <w:rPr>
                <w:noProof/>
                <w:webHidden/>
              </w:rPr>
              <w:instrText xml:space="preserve"> PAGEREF _Toc217402112 \h </w:instrText>
            </w:r>
            <w:r>
              <w:rPr>
                <w:noProof/>
                <w:webHidden/>
              </w:rPr>
            </w:r>
            <w:r>
              <w:rPr>
                <w:noProof/>
                <w:webHidden/>
              </w:rPr>
              <w:fldChar w:fldCharType="separate"/>
            </w:r>
            <w:r w:rsidR="004C2ADB">
              <w:rPr>
                <w:noProof/>
                <w:webHidden/>
              </w:rPr>
              <w:t>2</w:t>
            </w:r>
            <w:r>
              <w:rPr>
                <w:noProof/>
                <w:webHidden/>
              </w:rPr>
              <w:fldChar w:fldCharType="end"/>
            </w:r>
          </w:hyperlink>
        </w:p>
        <w:p w14:paraId="18EEC6EA" w14:textId="25B6C37B"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13" w:history="1">
            <w:r w:rsidRPr="007363EF">
              <w:rPr>
                <w:rStyle w:val="Hyperlink"/>
                <w:rFonts w:cs="Times New Roman"/>
                <w:b/>
                <w:bCs/>
                <w:noProof/>
              </w:rPr>
              <w:t>2.2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Misión</w:t>
            </w:r>
            <w:r>
              <w:rPr>
                <w:noProof/>
                <w:webHidden/>
              </w:rPr>
              <w:tab/>
            </w:r>
            <w:r>
              <w:rPr>
                <w:noProof/>
                <w:webHidden/>
              </w:rPr>
              <w:fldChar w:fldCharType="begin"/>
            </w:r>
            <w:r>
              <w:rPr>
                <w:noProof/>
                <w:webHidden/>
              </w:rPr>
              <w:instrText xml:space="preserve"> PAGEREF _Toc217402113 \h </w:instrText>
            </w:r>
            <w:r>
              <w:rPr>
                <w:noProof/>
                <w:webHidden/>
              </w:rPr>
            </w:r>
            <w:r>
              <w:rPr>
                <w:noProof/>
                <w:webHidden/>
              </w:rPr>
              <w:fldChar w:fldCharType="separate"/>
            </w:r>
            <w:r w:rsidR="004C2ADB">
              <w:rPr>
                <w:noProof/>
                <w:webHidden/>
              </w:rPr>
              <w:t>2</w:t>
            </w:r>
            <w:r>
              <w:rPr>
                <w:noProof/>
                <w:webHidden/>
              </w:rPr>
              <w:fldChar w:fldCharType="end"/>
            </w:r>
          </w:hyperlink>
        </w:p>
        <w:p w14:paraId="1B51CE6F" w14:textId="1D2C1CD3"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14" w:history="1">
            <w:r w:rsidRPr="007363EF">
              <w:rPr>
                <w:rStyle w:val="Hyperlink"/>
                <w:rFonts w:cs="Times New Roman"/>
                <w:b/>
                <w:bCs/>
                <w:noProof/>
              </w:rPr>
              <w:t>2.3</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Visión</w:t>
            </w:r>
            <w:r>
              <w:rPr>
                <w:noProof/>
                <w:webHidden/>
              </w:rPr>
              <w:tab/>
            </w:r>
            <w:r>
              <w:rPr>
                <w:noProof/>
                <w:webHidden/>
              </w:rPr>
              <w:fldChar w:fldCharType="begin"/>
            </w:r>
            <w:r>
              <w:rPr>
                <w:noProof/>
                <w:webHidden/>
              </w:rPr>
              <w:instrText xml:space="preserve"> PAGEREF _Toc217402114 \h </w:instrText>
            </w:r>
            <w:r>
              <w:rPr>
                <w:noProof/>
                <w:webHidden/>
              </w:rPr>
            </w:r>
            <w:r>
              <w:rPr>
                <w:noProof/>
                <w:webHidden/>
              </w:rPr>
              <w:fldChar w:fldCharType="separate"/>
            </w:r>
            <w:r w:rsidR="004C2ADB">
              <w:rPr>
                <w:noProof/>
                <w:webHidden/>
              </w:rPr>
              <w:t>2</w:t>
            </w:r>
            <w:r>
              <w:rPr>
                <w:noProof/>
                <w:webHidden/>
              </w:rPr>
              <w:fldChar w:fldCharType="end"/>
            </w:r>
          </w:hyperlink>
        </w:p>
        <w:p w14:paraId="2C69407B" w14:textId="6EE9D884"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15" w:history="1">
            <w:r w:rsidRPr="007363EF">
              <w:rPr>
                <w:rStyle w:val="Hyperlink"/>
                <w:rFonts w:cs="Times New Roman"/>
                <w:b/>
                <w:bCs/>
                <w:noProof/>
              </w:rPr>
              <w:t>2.4</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Valores</w:t>
            </w:r>
            <w:r>
              <w:rPr>
                <w:noProof/>
                <w:webHidden/>
              </w:rPr>
              <w:tab/>
            </w:r>
            <w:r>
              <w:rPr>
                <w:noProof/>
                <w:webHidden/>
              </w:rPr>
              <w:fldChar w:fldCharType="begin"/>
            </w:r>
            <w:r>
              <w:rPr>
                <w:noProof/>
                <w:webHidden/>
              </w:rPr>
              <w:instrText xml:space="preserve"> PAGEREF _Toc217402115 \h </w:instrText>
            </w:r>
            <w:r>
              <w:rPr>
                <w:noProof/>
                <w:webHidden/>
              </w:rPr>
            </w:r>
            <w:r>
              <w:rPr>
                <w:noProof/>
                <w:webHidden/>
              </w:rPr>
              <w:fldChar w:fldCharType="separate"/>
            </w:r>
            <w:r w:rsidR="004C2ADB">
              <w:rPr>
                <w:noProof/>
                <w:webHidden/>
              </w:rPr>
              <w:t>3</w:t>
            </w:r>
            <w:r>
              <w:rPr>
                <w:noProof/>
                <w:webHidden/>
              </w:rPr>
              <w:fldChar w:fldCharType="end"/>
            </w:r>
          </w:hyperlink>
        </w:p>
        <w:p w14:paraId="5CDB8573" w14:textId="30F5875F"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16" w:history="1">
            <w:r w:rsidRPr="007363EF">
              <w:rPr>
                <w:rStyle w:val="Hyperlink"/>
                <w:rFonts w:cs="Times New Roman"/>
                <w:b/>
                <w:bCs/>
                <w:noProof/>
              </w:rPr>
              <w:t>2.5</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Base Legal</w:t>
            </w:r>
            <w:r>
              <w:rPr>
                <w:noProof/>
                <w:webHidden/>
              </w:rPr>
              <w:tab/>
            </w:r>
            <w:r>
              <w:rPr>
                <w:noProof/>
                <w:webHidden/>
              </w:rPr>
              <w:fldChar w:fldCharType="begin"/>
            </w:r>
            <w:r>
              <w:rPr>
                <w:noProof/>
                <w:webHidden/>
              </w:rPr>
              <w:instrText xml:space="preserve"> PAGEREF _Toc217402116 \h </w:instrText>
            </w:r>
            <w:r>
              <w:rPr>
                <w:noProof/>
                <w:webHidden/>
              </w:rPr>
            </w:r>
            <w:r>
              <w:rPr>
                <w:noProof/>
                <w:webHidden/>
              </w:rPr>
              <w:fldChar w:fldCharType="separate"/>
            </w:r>
            <w:r w:rsidR="004C2ADB">
              <w:rPr>
                <w:noProof/>
                <w:webHidden/>
              </w:rPr>
              <w:t>4</w:t>
            </w:r>
            <w:r>
              <w:rPr>
                <w:noProof/>
                <w:webHidden/>
              </w:rPr>
              <w:fldChar w:fldCharType="end"/>
            </w:r>
          </w:hyperlink>
        </w:p>
        <w:p w14:paraId="6C9B73A7" w14:textId="6742AFE4"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17" w:history="1">
            <w:r w:rsidRPr="007363EF">
              <w:rPr>
                <w:rStyle w:val="Hyperlink"/>
                <w:rFonts w:cs="Times New Roman"/>
                <w:b/>
                <w:bCs/>
                <w:noProof/>
              </w:rPr>
              <w:t>2.6</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Estructura Organizativa</w:t>
            </w:r>
            <w:r>
              <w:rPr>
                <w:noProof/>
                <w:webHidden/>
              </w:rPr>
              <w:tab/>
            </w:r>
            <w:r>
              <w:rPr>
                <w:noProof/>
                <w:webHidden/>
              </w:rPr>
              <w:fldChar w:fldCharType="begin"/>
            </w:r>
            <w:r>
              <w:rPr>
                <w:noProof/>
                <w:webHidden/>
              </w:rPr>
              <w:instrText xml:space="preserve"> PAGEREF _Toc217402117 \h </w:instrText>
            </w:r>
            <w:r>
              <w:rPr>
                <w:noProof/>
                <w:webHidden/>
              </w:rPr>
            </w:r>
            <w:r>
              <w:rPr>
                <w:noProof/>
                <w:webHidden/>
              </w:rPr>
              <w:fldChar w:fldCharType="separate"/>
            </w:r>
            <w:r w:rsidR="004C2ADB">
              <w:rPr>
                <w:noProof/>
                <w:webHidden/>
              </w:rPr>
              <w:t>8</w:t>
            </w:r>
            <w:r>
              <w:rPr>
                <w:noProof/>
                <w:webHidden/>
              </w:rPr>
              <w:fldChar w:fldCharType="end"/>
            </w:r>
          </w:hyperlink>
        </w:p>
        <w:p w14:paraId="22B0B692" w14:textId="59AE3B43"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18" w:history="1">
            <w:r w:rsidRPr="007363EF">
              <w:rPr>
                <w:rStyle w:val="Hyperlink"/>
                <w:rFonts w:cs="Times New Roman"/>
                <w:b/>
                <w:bCs/>
                <w:noProof/>
              </w:rPr>
              <w:t>2.7</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Planificación Estratégica Institucional (PEI)</w:t>
            </w:r>
            <w:r>
              <w:rPr>
                <w:noProof/>
                <w:webHidden/>
              </w:rPr>
              <w:tab/>
            </w:r>
            <w:r>
              <w:rPr>
                <w:noProof/>
                <w:webHidden/>
              </w:rPr>
              <w:fldChar w:fldCharType="begin"/>
            </w:r>
            <w:r>
              <w:rPr>
                <w:noProof/>
                <w:webHidden/>
              </w:rPr>
              <w:instrText xml:space="preserve"> PAGEREF _Toc217402118 \h </w:instrText>
            </w:r>
            <w:r>
              <w:rPr>
                <w:noProof/>
                <w:webHidden/>
              </w:rPr>
            </w:r>
            <w:r>
              <w:rPr>
                <w:noProof/>
                <w:webHidden/>
              </w:rPr>
              <w:fldChar w:fldCharType="separate"/>
            </w:r>
            <w:r w:rsidR="004C2ADB">
              <w:rPr>
                <w:noProof/>
                <w:webHidden/>
              </w:rPr>
              <w:t>13</w:t>
            </w:r>
            <w:r>
              <w:rPr>
                <w:noProof/>
                <w:webHidden/>
              </w:rPr>
              <w:fldChar w:fldCharType="end"/>
            </w:r>
          </w:hyperlink>
        </w:p>
        <w:p w14:paraId="7058BDE7" w14:textId="67B4C799" w:rsidR="00872076" w:rsidRDefault="00872076">
          <w:pPr>
            <w:pStyle w:val="TOC1"/>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19" w:history="1">
            <w:r w:rsidRPr="007363EF">
              <w:rPr>
                <w:rStyle w:val="Hyperlink"/>
              </w:rPr>
              <w:t>III.</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RESULTADOS MISIONALES, AÑO 2025</w:t>
            </w:r>
            <w:r>
              <w:rPr>
                <w:webHidden/>
              </w:rPr>
              <w:tab/>
            </w:r>
            <w:r>
              <w:rPr>
                <w:webHidden/>
              </w:rPr>
              <w:fldChar w:fldCharType="begin"/>
            </w:r>
            <w:r>
              <w:rPr>
                <w:webHidden/>
              </w:rPr>
              <w:instrText xml:space="preserve"> PAGEREF _Toc217402119 \h </w:instrText>
            </w:r>
            <w:r>
              <w:rPr>
                <w:webHidden/>
              </w:rPr>
            </w:r>
            <w:r>
              <w:rPr>
                <w:webHidden/>
              </w:rPr>
              <w:fldChar w:fldCharType="separate"/>
            </w:r>
            <w:r w:rsidR="004C2ADB">
              <w:rPr>
                <w:webHidden/>
              </w:rPr>
              <w:t>15</w:t>
            </w:r>
            <w:r>
              <w:rPr>
                <w:webHidden/>
              </w:rPr>
              <w:fldChar w:fldCharType="end"/>
            </w:r>
          </w:hyperlink>
        </w:p>
        <w:p w14:paraId="177A2FF8" w14:textId="263C0B7B"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1" w:history="1">
            <w:r w:rsidRPr="007363EF">
              <w:rPr>
                <w:rStyle w:val="Hyperlink"/>
                <w:rFonts w:cs="Times New Roman"/>
                <w:b/>
                <w:bCs/>
                <w:noProof/>
              </w:rPr>
              <w:t>3.1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Información Cuantitativa, Cualitativa</w:t>
            </w:r>
            <w:r>
              <w:rPr>
                <w:noProof/>
                <w:webHidden/>
              </w:rPr>
              <w:tab/>
            </w:r>
            <w:r>
              <w:rPr>
                <w:noProof/>
                <w:webHidden/>
              </w:rPr>
              <w:fldChar w:fldCharType="begin"/>
            </w:r>
            <w:r>
              <w:rPr>
                <w:noProof/>
                <w:webHidden/>
              </w:rPr>
              <w:instrText xml:space="preserve"> PAGEREF _Toc217402121 \h </w:instrText>
            </w:r>
            <w:r>
              <w:rPr>
                <w:noProof/>
                <w:webHidden/>
              </w:rPr>
            </w:r>
            <w:r>
              <w:rPr>
                <w:noProof/>
                <w:webHidden/>
              </w:rPr>
              <w:fldChar w:fldCharType="separate"/>
            </w:r>
            <w:r w:rsidR="004C2ADB">
              <w:rPr>
                <w:noProof/>
                <w:webHidden/>
              </w:rPr>
              <w:t>16</w:t>
            </w:r>
            <w:r>
              <w:rPr>
                <w:noProof/>
                <w:webHidden/>
              </w:rPr>
              <w:fldChar w:fldCharType="end"/>
            </w:r>
          </w:hyperlink>
        </w:p>
        <w:p w14:paraId="458F0A0C" w14:textId="27C818FC"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2" w:history="1">
            <w:r w:rsidRPr="007363EF">
              <w:rPr>
                <w:rStyle w:val="Hyperlink"/>
                <w:rFonts w:cs="Times New Roman"/>
                <w:b/>
                <w:bCs/>
                <w:noProof/>
              </w:rPr>
              <w:t>3.2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Sistema de Monitoreo y Medición de la Gestión Pública</w:t>
            </w:r>
            <w:r>
              <w:rPr>
                <w:noProof/>
                <w:webHidden/>
              </w:rPr>
              <w:tab/>
            </w:r>
            <w:r>
              <w:rPr>
                <w:noProof/>
                <w:webHidden/>
              </w:rPr>
              <w:fldChar w:fldCharType="begin"/>
            </w:r>
            <w:r>
              <w:rPr>
                <w:noProof/>
                <w:webHidden/>
              </w:rPr>
              <w:instrText xml:space="preserve"> PAGEREF _Toc217402122 \h </w:instrText>
            </w:r>
            <w:r>
              <w:rPr>
                <w:noProof/>
                <w:webHidden/>
              </w:rPr>
            </w:r>
            <w:r>
              <w:rPr>
                <w:noProof/>
                <w:webHidden/>
              </w:rPr>
              <w:fldChar w:fldCharType="separate"/>
            </w:r>
            <w:r w:rsidR="004C2ADB">
              <w:rPr>
                <w:noProof/>
                <w:webHidden/>
              </w:rPr>
              <w:t>31</w:t>
            </w:r>
            <w:r>
              <w:rPr>
                <w:noProof/>
                <w:webHidden/>
              </w:rPr>
              <w:fldChar w:fldCharType="end"/>
            </w:r>
          </w:hyperlink>
        </w:p>
        <w:p w14:paraId="1B8136BE" w14:textId="59BFD541"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3" w:history="1">
            <w:r w:rsidRPr="007363EF">
              <w:rPr>
                <w:rStyle w:val="Hyperlink"/>
                <w:rFonts w:cs="Times New Roman"/>
                <w:b/>
                <w:bCs/>
                <w:noProof/>
              </w:rPr>
              <w:t>3.3</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Indicador Obras Públicas</w:t>
            </w:r>
            <w:r>
              <w:rPr>
                <w:noProof/>
                <w:webHidden/>
              </w:rPr>
              <w:tab/>
            </w:r>
            <w:r>
              <w:rPr>
                <w:noProof/>
                <w:webHidden/>
              </w:rPr>
              <w:fldChar w:fldCharType="begin"/>
            </w:r>
            <w:r>
              <w:rPr>
                <w:noProof/>
                <w:webHidden/>
              </w:rPr>
              <w:instrText xml:space="preserve"> PAGEREF _Toc217402123 \h </w:instrText>
            </w:r>
            <w:r>
              <w:rPr>
                <w:noProof/>
                <w:webHidden/>
              </w:rPr>
            </w:r>
            <w:r>
              <w:rPr>
                <w:noProof/>
                <w:webHidden/>
              </w:rPr>
              <w:fldChar w:fldCharType="separate"/>
            </w:r>
            <w:r w:rsidR="004C2ADB">
              <w:rPr>
                <w:noProof/>
                <w:webHidden/>
              </w:rPr>
              <w:t>32</w:t>
            </w:r>
            <w:r>
              <w:rPr>
                <w:noProof/>
                <w:webHidden/>
              </w:rPr>
              <w:fldChar w:fldCharType="end"/>
            </w:r>
          </w:hyperlink>
        </w:p>
        <w:p w14:paraId="471DDC55" w14:textId="4FE42894"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4" w:history="1">
            <w:r w:rsidRPr="007363EF">
              <w:rPr>
                <w:rStyle w:val="Hyperlink"/>
                <w:rFonts w:cs="Times New Roman"/>
                <w:b/>
                <w:bCs/>
                <w:noProof/>
              </w:rPr>
              <w:t>3.4</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Indicador SISMAP</w:t>
            </w:r>
            <w:r>
              <w:rPr>
                <w:noProof/>
                <w:webHidden/>
              </w:rPr>
              <w:tab/>
            </w:r>
            <w:r>
              <w:rPr>
                <w:noProof/>
                <w:webHidden/>
              </w:rPr>
              <w:fldChar w:fldCharType="begin"/>
            </w:r>
            <w:r>
              <w:rPr>
                <w:noProof/>
                <w:webHidden/>
              </w:rPr>
              <w:instrText xml:space="preserve"> PAGEREF _Toc217402124 \h </w:instrText>
            </w:r>
            <w:r>
              <w:rPr>
                <w:noProof/>
                <w:webHidden/>
              </w:rPr>
            </w:r>
            <w:r>
              <w:rPr>
                <w:noProof/>
                <w:webHidden/>
              </w:rPr>
              <w:fldChar w:fldCharType="separate"/>
            </w:r>
            <w:r w:rsidR="004C2ADB">
              <w:rPr>
                <w:noProof/>
                <w:webHidden/>
              </w:rPr>
              <w:t>33</w:t>
            </w:r>
            <w:r>
              <w:rPr>
                <w:noProof/>
                <w:webHidden/>
              </w:rPr>
              <w:fldChar w:fldCharType="end"/>
            </w:r>
          </w:hyperlink>
        </w:p>
        <w:p w14:paraId="5F9A8364" w14:textId="2F508AF0"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5" w:history="1">
            <w:r w:rsidRPr="007363EF">
              <w:rPr>
                <w:rStyle w:val="Hyperlink"/>
                <w:rFonts w:cs="Times New Roman"/>
                <w:b/>
                <w:bCs/>
                <w:noProof/>
              </w:rPr>
              <w:t>3.5</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Indicador ITICGE</w:t>
            </w:r>
            <w:r>
              <w:rPr>
                <w:noProof/>
                <w:webHidden/>
              </w:rPr>
              <w:tab/>
            </w:r>
            <w:r>
              <w:rPr>
                <w:noProof/>
                <w:webHidden/>
              </w:rPr>
              <w:fldChar w:fldCharType="begin"/>
            </w:r>
            <w:r>
              <w:rPr>
                <w:noProof/>
                <w:webHidden/>
              </w:rPr>
              <w:instrText xml:space="preserve"> PAGEREF _Toc217402125 \h </w:instrText>
            </w:r>
            <w:r>
              <w:rPr>
                <w:noProof/>
                <w:webHidden/>
              </w:rPr>
            </w:r>
            <w:r>
              <w:rPr>
                <w:noProof/>
                <w:webHidden/>
              </w:rPr>
              <w:fldChar w:fldCharType="separate"/>
            </w:r>
            <w:r w:rsidR="004C2ADB">
              <w:rPr>
                <w:noProof/>
                <w:webHidden/>
              </w:rPr>
              <w:t>34</w:t>
            </w:r>
            <w:r>
              <w:rPr>
                <w:noProof/>
                <w:webHidden/>
              </w:rPr>
              <w:fldChar w:fldCharType="end"/>
            </w:r>
          </w:hyperlink>
        </w:p>
        <w:p w14:paraId="45AF7D5A" w14:textId="492290ED"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6" w:history="1">
            <w:r w:rsidRPr="007363EF">
              <w:rPr>
                <w:rStyle w:val="Hyperlink"/>
                <w:rFonts w:cs="Times New Roman"/>
                <w:b/>
                <w:bCs/>
                <w:noProof/>
              </w:rPr>
              <w:t>3.6</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Indicador NOBACI</w:t>
            </w:r>
            <w:r>
              <w:rPr>
                <w:noProof/>
                <w:webHidden/>
              </w:rPr>
              <w:tab/>
            </w:r>
            <w:r>
              <w:rPr>
                <w:noProof/>
                <w:webHidden/>
              </w:rPr>
              <w:fldChar w:fldCharType="begin"/>
            </w:r>
            <w:r>
              <w:rPr>
                <w:noProof/>
                <w:webHidden/>
              </w:rPr>
              <w:instrText xml:space="preserve"> PAGEREF _Toc217402126 \h </w:instrText>
            </w:r>
            <w:r>
              <w:rPr>
                <w:noProof/>
                <w:webHidden/>
              </w:rPr>
            </w:r>
            <w:r>
              <w:rPr>
                <w:noProof/>
                <w:webHidden/>
              </w:rPr>
              <w:fldChar w:fldCharType="separate"/>
            </w:r>
            <w:r w:rsidR="004C2ADB">
              <w:rPr>
                <w:noProof/>
                <w:webHidden/>
              </w:rPr>
              <w:t>35</w:t>
            </w:r>
            <w:r>
              <w:rPr>
                <w:noProof/>
                <w:webHidden/>
              </w:rPr>
              <w:fldChar w:fldCharType="end"/>
            </w:r>
          </w:hyperlink>
        </w:p>
        <w:p w14:paraId="7868C05B" w14:textId="0BB88E35"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7" w:history="1">
            <w:r w:rsidRPr="007363EF">
              <w:rPr>
                <w:rStyle w:val="Hyperlink"/>
                <w:rFonts w:cs="Times New Roman"/>
                <w:b/>
                <w:bCs/>
                <w:noProof/>
              </w:rPr>
              <w:t>3.7</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Indicador Cumplimiento de Ley 200-04</w:t>
            </w:r>
            <w:r>
              <w:rPr>
                <w:noProof/>
                <w:webHidden/>
              </w:rPr>
              <w:tab/>
            </w:r>
            <w:r>
              <w:rPr>
                <w:noProof/>
                <w:webHidden/>
              </w:rPr>
              <w:fldChar w:fldCharType="begin"/>
            </w:r>
            <w:r>
              <w:rPr>
                <w:noProof/>
                <w:webHidden/>
              </w:rPr>
              <w:instrText xml:space="preserve"> PAGEREF _Toc217402127 \h </w:instrText>
            </w:r>
            <w:r>
              <w:rPr>
                <w:noProof/>
                <w:webHidden/>
              </w:rPr>
            </w:r>
            <w:r>
              <w:rPr>
                <w:noProof/>
                <w:webHidden/>
              </w:rPr>
              <w:fldChar w:fldCharType="separate"/>
            </w:r>
            <w:r w:rsidR="004C2ADB">
              <w:rPr>
                <w:noProof/>
                <w:webHidden/>
              </w:rPr>
              <w:t>36</w:t>
            </w:r>
            <w:r>
              <w:rPr>
                <w:noProof/>
                <w:webHidden/>
              </w:rPr>
              <w:fldChar w:fldCharType="end"/>
            </w:r>
          </w:hyperlink>
        </w:p>
        <w:p w14:paraId="65A85B04" w14:textId="66C9C01B"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8" w:history="1">
            <w:r w:rsidRPr="007363EF">
              <w:rPr>
                <w:rStyle w:val="Hyperlink"/>
                <w:rFonts w:cs="Times New Roman"/>
                <w:b/>
                <w:bCs/>
                <w:noProof/>
              </w:rPr>
              <w:t>3.8</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Indicador Gestión Presupuestaria</w:t>
            </w:r>
            <w:r>
              <w:rPr>
                <w:noProof/>
                <w:webHidden/>
              </w:rPr>
              <w:tab/>
            </w:r>
            <w:r>
              <w:rPr>
                <w:noProof/>
                <w:webHidden/>
              </w:rPr>
              <w:fldChar w:fldCharType="begin"/>
            </w:r>
            <w:r>
              <w:rPr>
                <w:noProof/>
                <w:webHidden/>
              </w:rPr>
              <w:instrText xml:space="preserve"> PAGEREF _Toc217402128 \h </w:instrText>
            </w:r>
            <w:r>
              <w:rPr>
                <w:noProof/>
                <w:webHidden/>
              </w:rPr>
            </w:r>
            <w:r>
              <w:rPr>
                <w:noProof/>
                <w:webHidden/>
              </w:rPr>
              <w:fldChar w:fldCharType="separate"/>
            </w:r>
            <w:r w:rsidR="004C2ADB">
              <w:rPr>
                <w:noProof/>
                <w:webHidden/>
              </w:rPr>
              <w:t>37</w:t>
            </w:r>
            <w:r>
              <w:rPr>
                <w:noProof/>
                <w:webHidden/>
              </w:rPr>
              <w:fldChar w:fldCharType="end"/>
            </w:r>
          </w:hyperlink>
        </w:p>
        <w:p w14:paraId="06B8A151" w14:textId="5D56F5F8"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29" w:history="1">
            <w:r w:rsidRPr="007363EF">
              <w:rPr>
                <w:rStyle w:val="Hyperlink"/>
                <w:rFonts w:cs="Times New Roman"/>
                <w:b/>
                <w:bCs/>
                <w:noProof/>
              </w:rPr>
              <w:t>3.9</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Indicador Compras y Contrataciones Públicas</w:t>
            </w:r>
            <w:r>
              <w:rPr>
                <w:noProof/>
                <w:webHidden/>
              </w:rPr>
              <w:tab/>
            </w:r>
            <w:r>
              <w:rPr>
                <w:noProof/>
                <w:webHidden/>
              </w:rPr>
              <w:fldChar w:fldCharType="begin"/>
            </w:r>
            <w:r>
              <w:rPr>
                <w:noProof/>
                <w:webHidden/>
              </w:rPr>
              <w:instrText xml:space="preserve"> PAGEREF _Toc217402129 \h </w:instrText>
            </w:r>
            <w:r>
              <w:rPr>
                <w:noProof/>
                <w:webHidden/>
              </w:rPr>
            </w:r>
            <w:r>
              <w:rPr>
                <w:noProof/>
                <w:webHidden/>
              </w:rPr>
              <w:fldChar w:fldCharType="separate"/>
            </w:r>
            <w:r w:rsidR="004C2ADB">
              <w:rPr>
                <w:noProof/>
                <w:webHidden/>
              </w:rPr>
              <w:t>39</w:t>
            </w:r>
            <w:r>
              <w:rPr>
                <w:noProof/>
                <w:webHidden/>
              </w:rPr>
              <w:fldChar w:fldCharType="end"/>
            </w:r>
          </w:hyperlink>
        </w:p>
        <w:p w14:paraId="74115360" w14:textId="33702E68"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30" w:history="1">
            <w:r w:rsidRPr="007363EF">
              <w:rPr>
                <w:rStyle w:val="Hyperlink"/>
                <w:rFonts w:cs="Times New Roman"/>
                <w:b/>
                <w:bCs/>
                <w:noProof/>
              </w:rPr>
              <w:t>3.10</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Sistema de Monitoreo</w:t>
            </w:r>
            <w:r>
              <w:rPr>
                <w:noProof/>
                <w:webHidden/>
              </w:rPr>
              <w:tab/>
            </w:r>
            <w:r>
              <w:rPr>
                <w:noProof/>
                <w:webHidden/>
              </w:rPr>
              <w:fldChar w:fldCharType="begin"/>
            </w:r>
            <w:r>
              <w:rPr>
                <w:noProof/>
                <w:webHidden/>
              </w:rPr>
              <w:instrText xml:space="preserve"> PAGEREF _Toc217402130 \h </w:instrText>
            </w:r>
            <w:r>
              <w:rPr>
                <w:noProof/>
                <w:webHidden/>
              </w:rPr>
            </w:r>
            <w:r>
              <w:rPr>
                <w:noProof/>
                <w:webHidden/>
              </w:rPr>
              <w:fldChar w:fldCharType="separate"/>
            </w:r>
            <w:r w:rsidR="004C2ADB">
              <w:rPr>
                <w:noProof/>
                <w:webHidden/>
              </w:rPr>
              <w:t>40</w:t>
            </w:r>
            <w:r>
              <w:rPr>
                <w:noProof/>
                <w:webHidden/>
              </w:rPr>
              <w:fldChar w:fldCharType="end"/>
            </w:r>
          </w:hyperlink>
        </w:p>
        <w:p w14:paraId="57B8777E" w14:textId="32312B20" w:rsidR="00872076" w:rsidRDefault="00872076">
          <w:pPr>
            <w:pStyle w:val="TOC1"/>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31" w:history="1">
            <w:r w:rsidRPr="007363EF">
              <w:rPr>
                <w:rStyle w:val="Hyperlink"/>
              </w:rPr>
              <w:t>IV.</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RESULTADOS ÁREAS TRANSVERSALES</w:t>
            </w:r>
            <w:r>
              <w:rPr>
                <w:webHidden/>
              </w:rPr>
              <w:tab/>
            </w:r>
            <w:r>
              <w:rPr>
                <w:webHidden/>
              </w:rPr>
              <w:fldChar w:fldCharType="begin"/>
            </w:r>
            <w:r>
              <w:rPr>
                <w:webHidden/>
              </w:rPr>
              <w:instrText xml:space="preserve"> PAGEREF _Toc217402131 \h </w:instrText>
            </w:r>
            <w:r>
              <w:rPr>
                <w:webHidden/>
              </w:rPr>
            </w:r>
            <w:r>
              <w:rPr>
                <w:webHidden/>
              </w:rPr>
              <w:fldChar w:fldCharType="separate"/>
            </w:r>
            <w:r w:rsidR="004C2ADB">
              <w:rPr>
                <w:webHidden/>
              </w:rPr>
              <w:t>46</w:t>
            </w:r>
            <w:r>
              <w:rPr>
                <w:webHidden/>
              </w:rPr>
              <w:fldChar w:fldCharType="end"/>
            </w:r>
          </w:hyperlink>
        </w:p>
        <w:p w14:paraId="5ACD1315" w14:textId="5A67CF01"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33" w:history="1">
            <w:r w:rsidRPr="007363EF">
              <w:rPr>
                <w:rStyle w:val="Hyperlink"/>
                <w:rFonts w:cs="Times New Roman"/>
                <w:b/>
                <w:bCs/>
                <w:noProof/>
              </w:rPr>
              <w:t>4.1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Desempeño Área Administrativa y Financiera</w:t>
            </w:r>
            <w:r>
              <w:rPr>
                <w:noProof/>
                <w:webHidden/>
              </w:rPr>
              <w:tab/>
            </w:r>
            <w:r>
              <w:rPr>
                <w:noProof/>
                <w:webHidden/>
              </w:rPr>
              <w:fldChar w:fldCharType="begin"/>
            </w:r>
            <w:r>
              <w:rPr>
                <w:noProof/>
                <w:webHidden/>
              </w:rPr>
              <w:instrText xml:space="preserve"> PAGEREF _Toc217402133 \h </w:instrText>
            </w:r>
            <w:r>
              <w:rPr>
                <w:noProof/>
                <w:webHidden/>
              </w:rPr>
            </w:r>
            <w:r>
              <w:rPr>
                <w:noProof/>
                <w:webHidden/>
              </w:rPr>
              <w:fldChar w:fldCharType="separate"/>
            </w:r>
            <w:r w:rsidR="004C2ADB">
              <w:rPr>
                <w:noProof/>
                <w:webHidden/>
              </w:rPr>
              <w:t>46</w:t>
            </w:r>
            <w:r>
              <w:rPr>
                <w:noProof/>
                <w:webHidden/>
              </w:rPr>
              <w:fldChar w:fldCharType="end"/>
            </w:r>
          </w:hyperlink>
        </w:p>
        <w:p w14:paraId="08620591" w14:textId="6DBD5C94"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34" w:history="1">
            <w:r w:rsidRPr="007363EF">
              <w:rPr>
                <w:rStyle w:val="Hyperlink"/>
                <w:rFonts w:cs="Times New Roman"/>
                <w:b/>
                <w:bCs/>
                <w:noProof/>
              </w:rPr>
              <w:t>4.2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Desempeño de los Recursos Humanos (RRHH)</w:t>
            </w:r>
            <w:r>
              <w:rPr>
                <w:noProof/>
                <w:webHidden/>
              </w:rPr>
              <w:tab/>
            </w:r>
            <w:r>
              <w:rPr>
                <w:noProof/>
                <w:webHidden/>
              </w:rPr>
              <w:fldChar w:fldCharType="begin"/>
            </w:r>
            <w:r>
              <w:rPr>
                <w:noProof/>
                <w:webHidden/>
              </w:rPr>
              <w:instrText xml:space="preserve"> PAGEREF _Toc217402134 \h </w:instrText>
            </w:r>
            <w:r>
              <w:rPr>
                <w:noProof/>
                <w:webHidden/>
              </w:rPr>
            </w:r>
            <w:r>
              <w:rPr>
                <w:noProof/>
                <w:webHidden/>
              </w:rPr>
              <w:fldChar w:fldCharType="separate"/>
            </w:r>
            <w:r w:rsidR="004C2ADB">
              <w:rPr>
                <w:noProof/>
                <w:webHidden/>
              </w:rPr>
              <w:t>88</w:t>
            </w:r>
            <w:r>
              <w:rPr>
                <w:noProof/>
                <w:webHidden/>
              </w:rPr>
              <w:fldChar w:fldCharType="end"/>
            </w:r>
          </w:hyperlink>
        </w:p>
        <w:p w14:paraId="337C4599" w14:textId="4594C6A4"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35" w:history="1">
            <w:r w:rsidRPr="007363EF">
              <w:rPr>
                <w:rStyle w:val="Hyperlink"/>
                <w:rFonts w:cs="Times New Roman"/>
                <w:b/>
                <w:bCs/>
                <w:noProof/>
              </w:rPr>
              <w:t>4.3</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Desempeño de los Procesos Jurídicos</w:t>
            </w:r>
            <w:r>
              <w:rPr>
                <w:noProof/>
                <w:webHidden/>
              </w:rPr>
              <w:tab/>
            </w:r>
            <w:r>
              <w:rPr>
                <w:noProof/>
                <w:webHidden/>
              </w:rPr>
              <w:fldChar w:fldCharType="begin"/>
            </w:r>
            <w:r>
              <w:rPr>
                <w:noProof/>
                <w:webHidden/>
              </w:rPr>
              <w:instrText xml:space="preserve"> PAGEREF _Toc217402135 \h </w:instrText>
            </w:r>
            <w:r>
              <w:rPr>
                <w:noProof/>
                <w:webHidden/>
              </w:rPr>
            </w:r>
            <w:r>
              <w:rPr>
                <w:noProof/>
                <w:webHidden/>
              </w:rPr>
              <w:fldChar w:fldCharType="separate"/>
            </w:r>
            <w:r w:rsidR="004C2ADB">
              <w:rPr>
                <w:noProof/>
                <w:webHidden/>
              </w:rPr>
              <w:t>110</w:t>
            </w:r>
            <w:r>
              <w:rPr>
                <w:noProof/>
                <w:webHidden/>
              </w:rPr>
              <w:fldChar w:fldCharType="end"/>
            </w:r>
          </w:hyperlink>
        </w:p>
        <w:p w14:paraId="4186C1B8" w14:textId="370F12FC"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36" w:history="1">
            <w:r w:rsidRPr="007363EF">
              <w:rPr>
                <w:rStyle w:val="Hyperlink"/>
                <w:rFonts w:cs="Times New Roman"/>
                <w:b/>
                <w:bCs/>
                <w:noProof/>
              </w:rPr>
              <w:t>4.4</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Desempeño del Área de Tecnología</w:t>
            </w:r>
            <w:r>
              <w:rPr>
                <w:noProof/>
                <w:webHidden/>
              </w:rPr>
              <w:tab/>
            </w:r>
            <w:r>
              <w:rPr>
                <w:noProof/>
                <w:webHidden/>
              </w:rPr>
              <w:fldChar w:fldCharType="begin"/>
            </w:r>
            <w:r>
              <w:rPr>
                <w:noProof/>
                <w:webHidden/>
              </w:rPr>
              <w:instrText xml:space="preserve"> PAGEREF _Toc217402136 \h </w:instrText>
            </w:r>
            <w:r>
              <w:rPr>
                <w:noProof/>
                <w:webHidden/>
              </w:rPr>
            </w:r>
            <w:r>
              <w:rPr>
                <w:noProof/>
                <w:webHidden/>
              </w:rPr>
              <w:fldChar w:fldCharType="separate"/>
            </w:r>
            <w:r w:rsidR="004C2ADB">
              <w:rPr>
                <w:noProof/>
                <w:webHidden/>
              </w:rPr>
              <w:t>114</w:t>
            </w:r>
            <w:r>
              <w:rPr>
                <w:noProof/>
                <w:webHidden/>
              </w:rPr>
              <w:fldChar w:fldCharType="end"/>
            </w:r>
          </w:hyperlink>
        </w:p>
        <w:p w14:paraId="69C28017" w14:textId="47F49DC2"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37" w:history="1">
            <w:r w:rsidRPr="007363EF">
              <w:rPr>
                <w:rStyle w:val="Hyperlink"/>
                <w:rFonts w:cs="Times New Roman"/>
                <w:b/>
                <w:bCs/>
                <w:noProof/>
              </w:rPr>
              <w:t>4.5</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Desempeño del Sistema de Planificación y Desarrollo</w:t>
            </w:r>
            <w:r>
              <w:rPr>
                <w:noProof/>
                <w:webHidden/>
              </w:rPr>
              <w:tab/>
            </w:r>
            <w:r>
              <w:rPr>
                <w:noProof/>
                <w:webHidden/>
              </w:rPr>
              <w:fldChar w:fldCharType="begin"/>
            </w:r>
            <w:r>
              <w:rPr>
                <w:noProof/>
                <w:webHidden/>
              </w:rPr>
              <w:instrText xml:space="preserve"> PAGEREF _Toc217402137 \h </w:instrText>
            </w:r>
            <w:r>
              <w:rPr>
                <w:noProof/>
                <w:webHidden/>
              </w:rPr>
            </w:r>
            <w:r>
              <w:rPr>
                <w:noProof/>
                <w:webHidden/>
              </w:rPr>
              <w:fldChar w:fldCharType="separate"/>
            </w:r>
            <w:r w:rsidR="004C2ADB">
              <w:rPr>
                <w:noProof/>
                <w:webHidden/>
              </w:rPr>
              <w:t>120</w:t>
            </w:r>
            <w:r>
              <w:rPr>
                <w:noProof/>
                <w:webHidden/>
              </w:rPr>
              <w:fldChar w:fldCharType="end"/>
            </w:r>
          </w:hyperlink>
        </w:p>
        <w:p w14:paraId="65B8E0CC" w14:textId="6DA16718"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38" w:history="1">
            <w:r w:rsidRPr="007363EF">
              <w:rPr>
                <w:rStyle w:val="Hyperlink"/>
                <w:rFonts w:cs="Times New Roman"/>
                <w:b/>
                <w:bCs/>
                <w:noProof/>
              </w:rPr>
              <w:t>4.6</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Desempeño del Área de Comunicaciones</w:t>
            </w:r>
            <w:r>
              <w:rPr>
                <w:noProof/>
                <w:webHidden/>
              </w:rPr>
              <w:tab/>
            </w:r>
            <w:r>
              <w:rPr>
                <w:noProof/>
                <w:webHidden/>
              </w:rPr>
              <w:fldChar w:fldCharType="begin"/>
            </w:r>
            <w:r>
              <w:rPr>
                <w:noProof/>
                <w:webHidden/>
              </w:rPr>
              <w:instrText xml:space="preserve"> PAGEREF _Toc217402138 \h </w:instrText>
            </w:r>
            <w:r>
              <w:rPr>
                <w:noProof/>
                <w:webHidden/>
              </w:rPr>
            </w:r>
            <w:r>
              <w:rPr>
                <w:noProof/>
                <w:webHidden/>
              </w:rPr>
              <w:fldChar w:fldCharType="separate"/>
            </w:r>
            <w:r w:rsidR="004C2ADB">
              <w:rPr>
                <w:noProof/>
                <w:webHidden/>
              </w:rPr>
              <w:t>130</w:t>
            </w:r>
            <w:r>
              <w:rPr>
                <w:noProof/>
                <w:webHidden/>
              </w:rPr>
              <w:fldChar w:fldCharType="end"/>
            </w:r>
          </w:hyperlink>
        </w:p>
        <w:p w14:paraId="0094E847" w14:textId="79D4A5C6" w:rsidR="00872076" w:rsidRDefault="00872076">
          <w:pPr>
            <w:pStyle w:val="TOC1"/>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39" w:history="1">
            <w:r w:rsidRPr="007363EF">
              <w:rPr>
                <w:rStyle w:val="Hyperlink"/>
              </w:rPr>
              <w:t>V.</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SERVICIO AL CIUDADANO Y TRANSPARENCIA INSTITUCIONAL</w:t>
            </w:r>
            <w:r>
              <w:rPr>
                <w:webHidden/>
              </w:rPr>
              <w:tab/>
            </w:r>
            <w:r>
              <w:rPr>
                <w:webHidden/>
              </w:rPr>
              <w:fldChar w:fldCharType="begin"/>
            </w:r>
            <w:r>
              <w:rPr>
                <w:webHidden/>
              </w:rPr>
              <w:instrText xml:space="preserve"> PAGEREF _Toc217402139 \h </w:instrText>
            </w:r>
            <w:r>
              <w:rPr>
                <w:webHidden/>
              </w:rPr>
            </w:r>
            <w:r>
              <w:rPr>
                <w:webHidden/>
              </w:rPr>
              <w:fldChar w:fldCharType="separate"/>
            </w:r>
            <w:r w:rsidR="004C2ADB">
              <w:rPr>
                <w:webHidden/>
              </w:rPr>
              <w:t>132</w:t>
            </w:r>
            <w:r>
              <w:rPr>
                <w:webHidden/>
              </w:rPr>
              <w:fldChar w:fldCharType="end"/>
            </w:r>
          </w:hyperlink>
        </w:p>
        <w:p w14:paraId="6B9F8A10" w14:textId="10D54809"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41" w:history="1">
            <w:r w:rsidRPr="007363EF">
              <w:rPr>
                <w:rStyle w:val="Hyperlink"/>
                <w:rFonts w:cs="Times New Roman"/>
                <w:b/>
                <w:bCs/>
                <w:noProof/>
              </w:rPr>
              <w:t>5.1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Nivel de Cumplimiento Acceso a la Información</w:t>
            </w:r>
            <w:r>
              <w:rPr>
                <w:noProof/>
                <w:webHidden/>
              </w:rPr>
              <w:tab/>
            </w:r>
            <w:r>
              <w:rPr>
                <w:noProof/>
                <w:webHidden/>
              </w:rPr>
              <w:fldChar w:fldCharType="begin"/>
            </w:r>
            <w:r>
              <w:rPr>
                <w:noProof/>
                <w:webHidden/>
              </w:rPr>
              <w:instrText xml:space="preserve"> PAGEREF _Toc217402141 \h </w:instrText>
            </w:r>
            <w:r>
              <w:rPr>
                <w:noProof/>
                <w:webHidden/>
              </w:rPr>
            </w:r>
            <w:r>
              <w:rPr>
                <w:noProof/>
                <w:webHidden/>
              </w:rPr>
              <w:fldChar w:fldCharType="separate"/>
            </w:r>
            <w:r w:rsidR="004C2ADB">
              <w:rPr>
                <w:noProof/>
                <w:webHidden/>
              </w:rPr>
              <w:t>132</w:t>
            </w:r>
            <w:r>
              <w:rPr>
                <w:noProof/>
                <w:webHidden/>
              </w:rPr>
              <w:fldChar w:fldCharType="end"/>
            </w:r>
          </w:hyperlink>
        </w:p>
        <w:p w14:paraId="62807056" w14:textId="69DA5E5E"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42" w:history="1">
            <w:r w:rsidRPr="007363EF">
              <w:rPr>
                <w:rStyle w:val="Hyperlink"/>
                <w:rFonts w:cs="Times New Roman"/>
                <w:b/>
                <w:bCs/>
                <w:noProof/>
              </w:rPr>
              <w:t>5.2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Nivel de la Satisfacción con el Servicio</w:t>
            </w:r>
            <w:r>
              <w:rPr>
                <w:noProof/>
                <w:webHidden/>
              </w:rPr>
              <w:tab/>
            </w:r>
            <w:r>
              <w:rPr>
                <w:noProof/>
                <w:webHidden/>
              </w:rPr>
              <w:fldChar w:fldCharType="begin"/>
            </w:r>
            <w:r>
              <w:rPr>
                <w:noProof/>
                <w:webHidden/>
              </w:rPr>
              <w:instrText xml:space="preserve"> PAGEREF _Toc217402142 \h </w:instrText>
            </w:r>
            <w:r>
              <w:rPr>
                <w:noProof/>
                <w:webHidden/>
              </w:rPr>
            </w:r>
            <w:r>
              <w:rPr>
                <w:noProof/>
                <w:webHidden/>
              </w:rPr>
              <w:fldChar w:fldCharType="separate"/>
            </w:r>
            <w:r w:rsidR="004C2ADB">
              <w:rPr>
                <w:noProof/>
                <w:webHidden/>
              </w:rPr>
              <w:t>134</w:t>
            </w:r>
            <w:r>
              <w:rPr>
                <w:noProof/>
                <w:webHidden/>
              </w:rPr>
              <w:fldChar w:fldCharType="end"/>
            </w:r>
          </w:hyperlink>
        </w:p>
        <w:p w14:paraId="7462879A" w14:textId="6D76ECBB"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43" w:history="1">
            <w:r w:rsidRPr="007363EF">
              <w:rPr>
                <w:rStyle w:val="Hyperlink"/>
                <w:rFonts w:cs="Times New Roman"/>
                <w:b/>
                <w:bCs/>
                <w:noProof/>
              </w:rPr>
              <w:t>5.3</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Portal Transparencia</w:t>
            </w:r>
            <w:r>
              <w:rPr>
                <w:noProof/>
                <w:webHidden/>
              </w:rPr>
              <w:tab/>
            </w:r>
            <w:r>
              <w:rPr>
                <w:noProof/>
                <w:webHidden/>
              </w:rPr>
              <w:fldChar w:fldCharType="begin"/>
            </w:r>
            <w:r>
              <w:rPr>
                <w:noProof/>
                <w:webHidden/>
              </w:rPr>
              <w:instrText xml:space="preserve"> PAGEREF _Toc217402143 \h </w:instrText>
            </w:r>
            <w:r>
              <w:rPr>
                <w:noProof/>
                <w:webHidden/>
              </w:rPr>
            </w:r>
            <w:r>
              <w:rPr>
                <w:noProof/>
                <w:webHidden/>
              </w:rPr>
              <w:fldChar w:fldCharType="separate"/>
            </w:r>
            <w:r w:rsidR="004C2ADB">
              <w:rPr>
                <w:noProof/>
                <w:webHidden/>
              </w:rPr>
              <w:t>135</w:t>
            </w:r>
            <w:r>
              <w:rPr>
                <w:noProof/>
                <w:webHidden/>
              </w:rPr>
              <w:fldChar w:fldCharType="end"/>
            </w:r>
          </w:hyperlink>
        </w:p>
        <w:p w14:paraId="02F92286" w14:textId="5E1D3CA3" w:rsidR="00872076" w:rsidRDefault="00872076">
          <w:pPr>
            <w:pStyle w:val="TOC1"/>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44" w:history="1">
            <w:r w:rsidRPr="007363EF">
              <w:rPr>
                <w:rStyle w:val="Hyperlink"/>
              </w:rPr>
              <w:t>VI.</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DIRECCION DE COMUNICACIONES Y PRENSA</w:t>
            </w:r>
            <w:r>
              <w:rPr>
                <w:webHidden/>
              </w:rPr>
              <w:tab/>
            </w:r>
            <w:r>
              <w:rPr>
                <w:webHidden/>
              </w:rPr>
              <w:fldChar w:fldCharType="begin"/>
            </w:r>
            <w:r>
              <w:rPr>
                <w:webHidden/>
              </w:rPr>
              <w:instrText xml:space="preserve"> PAGEREF _Toc217402144 \h </w:instrText>
            </w:r>
            <w:r>
              <w:rPr>
                <w:webHidden/>
              </w:rPr>
            </w:r>
            <w:r>
              <w:rPr>
                <w:webHidden/>
              </w:rPr>
              <w:fldChar w:fldCharType="separate"/>
            </w:r>
            <w:r w:rsidR="004C2ADB">
              <w:rPr>
                <w:webHidden/>
              </w:rPr>
              <w:t>141</w:t>
            </w:r>
            <w:r>
              <w:rPr>
                <w:webHidden/>
              </w:rPr>
              <w:fldChar w:fldCharType="end"/>
            </w:r>
          </w:hyperlink>
        </w:p>
        <w:p w14:paraId="2AAE20A9" w14:textId="43463980"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46" w:history="1">
            <w:r w:rsidRPr="007363EF">
              <w:rPr>
                <w:rStyle w:val="Hyperlink"/>
                <w:rFonts w:cs="Times New Roman"/>
                <w:b/>
                <w:bCs/>
                <w:noProof/>
              </w:rPr>
              <w:t>6.1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Marco Estratégico y Metas del POA 2025</w:t>
            </w:r>
            <w:r>
              <w:rPr>
                <w:noProof/>
                <w:webHidden/>
              </w:rPr>
              <w:tab/>
            </w:r>
            <w:r>
              <w:rPr>
                <w:noProof/>
                <w:webHidden/>
              </w:rPr>
              <w:fldChar w:fldCharType="begin"/>
            </w:r>
            <w:r>
              <w:rPr>
                <w:noProof/>
                <w:webHidden/>
              </w:rPr>
              <w:instrText xml:space="preserve"> PAGEREF _Toc217402146 \h </w:instrText>
            </w:r>
            <w:r>
              <w:rPr>
                <w:noProof/>
                <w:webHidden/>
              </w:rPr>
            </w:r>
            <w:r>
              <w:rPr>
                <w:noProof/>
                <w:webHidden/>
              </w:rPr>
              <w:fldChar w:fldCharType="separate"/>
            </w:r>
            <w:r w:rsidR="004C2ADB">
              <w:rPr>
                <w:noProof/>
                <w:webHidden/>
              </w:rPr>
              <w:t>142</w:t>
            </w:r>
            <w:r>
              <w:rPr>
                <w:noProof/>
                <w:webHidden/>
              </w:rPr>
              <w:fldChar w:fldCharType="end"/>
            </w:r>
          </w:hyperlink>
        </w:p>
        <w:p w14:paraId="7527ACCA" w14:textId="69A2D313"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47" w:history="1">
            <w:r w:rsidRPr="007363EF">
              <w:rPr>
                <w:rStyle w:val="Hyperlink"/>
                <w:rFonts w:cs="Times New Roman"/>
                <w:b/>
                <w:bCs/>
                <w:noProof/>
              </w:rPr>
              <w:t>6.2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Unidad de Comunicación Interna Fortalecimiento de la Cultura Organizacional</w:t>
            </w:r>
            <w:r>
              <w:rPr>
                <w:noProof/>
                <w:webHidden/>
              </w:rPr>
              <w:tab/>
            </w:r>
            <w:r>
              <w:rPr>
                <w:noProof/>
                <w:webHidden/>
              </w:rPr>
              <w:fldChar w:fldCharType="begin"/>
            </w:r>
            <w:r>
              <w:rPr>
                <w:noProof/>
                <w:webHidden/>
              </w:rPr>
              <w:instrText xml:space="preserve"> PAGEREF _Toc217402147 \h </w:instrText>
            </w:r>
            <w:r>
              <w:rPr>
                <w:noProof/>
                <w:webHidden/>
              </w:rPr>
            </w:r>
            <w:r>
              <w:rPr>
                <w:noProof/>
                <w:webHidden/>
              </w:rPr>
              <w:fldChar w:fldCharType="separate"/>
            </w:r>
            <w:r w:rsidR="004C2ADB">
              <w:rPr>
                <w:noProof/>
                <w:webHidden/>
              </w:rPr>
              <w:t>142</w:t>
            </w:r>
            <w:r>
              <w:rPr>
                <w:noProof/>
                <w:webHidden/>
              </w:rPr>
              <w:fldChar w:fldCharType="end"/>
            </w:r>
          </w:hyperlink>
        </w:p>
        <w:p w14:paraId="0E1CB779" w14:textId="5BF27123"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48" w:history="1">
            <w:r w:rsidRPr="007363EF">
              <w:rPr>
                <w:rStyle w:val="Hyperlink"/>
                <w:rFonts w:cs="Times New Roman"/>
                <w:b/>
                <w:bCs/>
                <w:noProof/>
              </w:rPr>
              <w:t>6.3</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Unidad de Prensa</w:t>
            </w:r>
            <w:r>
              <w:rPr>
                <w:noProof/>
                <w:webHidden/>
              </w:rPr>
              <w:tab/>
            </w:r>
            <w:r>
              <w:rPr>
                <w:noProof/>
                <w:webHidden/>
              </w:rPr>
              <w:fldChar w:fldCharType="begin"/>
            </w:r>
            <w:r>
              <w:rPr>
                <w:noProof/>
                <w:webHidden/>
              </w:rPr>
              <w:instrText xml:space="preserve"> PAGEREF _Toc217402148 \h </w:instrText>
            </w:r>
            <w:r>
              <w:rPr>
                <w:noProof/>
                <w:webHidden/>
              </w:rPr>
            </w:r>
            <w:r>
              <w:rPr>
                <w:noProof/>
                <w:webHidden/>
              </w:rPr>
              <w:fldChar w:fldCharType="separate"/>
            </w:r>
            <w:r w:rsidR="004C2ADB">
              <w:rPr>
                <w:noProof/>
                <w:webHidden/>
              </w:rPr>
              <w:t>143</w:t>
            </w:r>
            <w:r>
              <w:rPr>
                <w:noProof/>
                <w:webHidden/>
              </w:rPr>
              <w:fldChar w:fldCharType="end"/>
            </w:r>
          </w:hyperlink>
        </w:p>
        <w:p w14:paraId="7EB75A9F" w14:textId="1FDE354F"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49" w:history="1">
            <w:r w:rsidRPr="007363EF">
              <w:rPr>
                <w:rStyle w:val="Hyperlink"/>
                <w:rFonts w:cs="Times New Roman"/>
                <w:b/>
                <w:bCs/>
                <w:noProof/>
              </w:rPr>
              <w:t>6.4</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Unidad de Redes Sociales y Plataformas Digitales</w:t>
            </w:r>
            <w:r>
              <w:rPr>
                <w:noProof/>
                <w:webHidden/>
              </w:rPr>
              <w:tab/>
            </w:r>
            <w:r>
              <w:rPr>
                <w:noProof/>
                <w:webHidden/>
              </w:rPr>
              <w:fldChar w:fldCharType="begin"/>
            </w:r>
            <w:r>
              <w:rPr>
                <w:noProof/>
                <w:webHidden/>
              </w:rPr>
              <w:instrText xml:space="preserve"> PAGEREF _Toc217402149 \h </w:instrText>
            </w:r>
            <w:r>
              <w:rPr>
                <w:noProof/>
                <w:webHidden/>
              </w:rPr>
            </w:r>
            <w:r>
              <w:rPr>
                <w:noProof/>
                <w:webHidden/>
              </w:rPr>
              <w:fldChar w:fldCharType="separate"/>
            </w:r>
            <w:r w:rsidR="004C2ADB">
              <w:rPr>
                <w:noProof/>
                <w:webHidden/>
              </w:rPr>
              <w:t>144</w:t>
            </w:r>
            <w:r>
              <w:rPr>
                <w:noProof/>
                <w:webHidden/>
              </w:rPr>
              <w:fldChar w:fldCharType="end"/>
            </w:r>
          </w:hyperlink>
        </w:p>
        <w:p w14:paraId="5B1C7268" w14:textId="3870A839"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50" w:history="1">
            <w:r w:rsidRPr="007363EF">
              <w:rPr>
                <w:rStyle w:val="Hyperlink"/>
                <w:rFonts w:cs="Times New Roman"/>
                <w:b/>
                <w:bCs/>
                <w:noProof/>
              </w:rPr>
              <w:t>6.5</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Otras Realizaciones Relevantes</w:t>
            </w:r>
            <w:r>
              <w:rPr>
                <w:noProof/>
                <w:webHidden/>
              </w:rPr>
              <w:tab/>
            </w:r>
            <w:r>
              <w:rPr>
                <w:noProof/>
                <w:webHidden/>
              </w:rPr>
              <w:fldChar w:fldCharType="begin"/>
            </w:r>
            <w:r>
              <w:rPr>
                <w:noProof/>
                <w:webHidden/>
              </w:rPr>
              <w:instrText xml:space="preserve"> PAGEREF _Toc217402150 \h </w:instrText>
            </w:r>
            <w:r>
              <w:rPr>
                <w:noProof/>
                <w:webHidden/>
              </w:rPr>
            </w:r>
            <w:r>
              <w:rPr>
                <w:noProof/>
                <w:webHidden/>
              </w:rPr>
              <w:fldChar w:fldCharType="separate"/>
            </w:r>
            <w:r w:rsidR="004C2ADB">
              <w:rPr>
                <w:noProof/>
                <w:webHidden/>
              </w:rPr>
              <w:t>144</w:t>
            </w:r>
            <w:r>
              <w:rPr>
                <w:noProof/>
                <w:webHidden/>
              </w:rPr>
              <w:fldChar w:fldCharType="end"/>
            </w:r>
          </w:hyperlink>
        </w:p>
        <w:p w14:paraId="6D5DE84E" w14:textId="71DC584E" w:rsidR="00872076" w:rsidRDefault="00872076">
          <w:pPr>
            <w:pStyle w:val="TOC1"/>
            <w:tabs>
              <w:tab w:val="left" w:pos="1000"/>
            </w:tabs>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51" w:history="1">
            <w:r w:rsidRPr="007363EF">
              <w:rPr>
                <w:rStyle w:val="Hyperlink"/>
              </w:rPr>
              <w:t>VII.</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CONTRATACIONES Y ADQUISICIONES</w:t>
            </w:r>
            <w:r>
              <w:rPr>
                <w:webHidden/>
              </w:rPr>
              <w:tab/>
            </w:r>
            <w:r>
              <w:rPr>
                <w:webHidden/>
              </w:rPr>
              <w:fldChar w:fldCharType="begin"/>
            </w:r>
            <w:r>
              <w:rPr>
                <w:webHidden/>
              </w:rPr>
              <w:instrText xml:space="preserve"> PAGEREF _Toc217402151 \h </w:instrText>
            </w:r>
            <w:r>
              <w:rPr>
                <w:webHidden/>
              </w:rPr>
            </w:r>
            <w:r>
              <w:rPr>
                <w:webHidden/>
              </w:rPr>
              <w:fldChar w:fldCharType="separate"/>
            </w:r>
            <w:r w:rsidR="004C2ADB">
              <w:rPr>
                <w:webHidden/>
              </w:rPr>
              <w:t>147</w:t>
            </w:r>
            <w:r>
              <w:rPr>
                <w:webHidden/>
              </w:rPr>
              <w:fldChar w:fldCharType="end"/>
            </w:r>
          </w:hyperlink>
        </w:p>
        <w:p w14:paraId="46A5E116" w14:textId="58BC81AC"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53" w:history="1">
            <w:r w:rsidRPr="007363EF">
              <w:rPr>
                <w:rStyle w:val="Hyperlink"/>
                <w:rFonts w:cs="Times New Roman"/>
                <w:b/>
                <w:bCs/>
                <w:noProof/>
              </w:rPr>
              <w:t>7.1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Plan Anual de Compras y Contrataciones (PACC)</w:t>
            </w:r>
            <w:r>
              <w:rPr>
                <w:noProof/>
                <w:webHidden/>
              </w:rPr>
              <w:tab/>
            </w:r>
            <w:r>
              <w:rPr>
                <w:noProof/>
                <w:webHidden/>
              </w:rPr>
              <w:fldChar w:fldCharType="begin"/>
            </w:r>
            <w:r>
              <w:rPr>
                <w:noProof/>
                <w:webHidden/>
              </w:rPr>
              <w:instrText xml:space="preserve"> PAGEREF _Toc217402153 \h </w:instrText>
            </w:r>
            <w:r>
              <w:rPr>
                <w:noProof/>
                <w:webHidden/>
              </w:rPr>
            </w:r>
            <w:r>
              <w:rPr>
                <w:noProof/>
                <w:webHidden/>
              </w:rPr>
              <w:fldChar w:fldCharType="separate"/>
            </w:r>
            <w:r w:rsidR="004C2ADB">
              <w:rPr>
                <w:noProof/>
                <w:webHidden/>
              </w:rPr>
              <w:t>147</w:t>
            </w:r>
            <w:r>
              <w:rPr>
                <w:noProof/>
                <w:webHidden/>
              </w:rPr>
              <w:fldChar w:fldCharType="end"/>
            </w:r>
          </w:hyperlink>
        </w:p>
        <w:p w14:paraId="64B8E06E" w14:textId="4A33C9EB"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54" w:history="1">
            <w:r w:rsidRPr="007363EF">
              <w:rPr>
                <w:rStyle w:val="Hyperlink"/>
                <w:rFonts w:cs="Times New Roman"/>
                <w:b/>
                <w:bCs/>
                <w:noProof/>
              </w:rPr>
              <w:t>7.2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Plan de Compras Publicado Año 2025</w:t>
            </w:r>
            <w:r>
              <w:rPr>
                <w:noProof/>
                <w:webHidden/>
              </w:rPr>
              <w:tab/>
            </w:r>
            <w:r>
              <w:rPr>
                <w:noProof/>
                <w:webHidden/>
              </w:rPr>
              <w:fldChar w:fldCharType="begin"/>
            </w:r>
            <w:r>
              <w:rPr>
                <w:noProof/>
                <w:webHidden/>
              </w:rPr>
              <w:instrText xml:space="preserve"> PAGEREF _Toc217402154 \h </w:instrText>
            </w:r>
            <w:r>
              <w:rPr>
                <w:noProof/>
                <w:webHidden/>
              </w:rPr>
            </w:r>
            <w:r>
              <w:rPr>
                <w:noProof/>
                <w:webHidden/>
              </w:rPr>
              <w:fldChar w:fldCharType="separate"/>
            </w:r>
            <w:r w:rsidR="004C2ADB">
              <w:rPr>
                <w:noProof/>
                <w:webHidden/>
              </w:rPr>
              <w:t>147</w:t>
            </w:r>
            <w:r>
              <w:rPr>
                <w:noProof/>
                <w:webHidden/>
              </w:rPr>
              <w:fldChar w:fldCharType="end"/>
            </w:r>
          </w:hyperlink>
        </w:p>
        <w:p w14:paraId="2386DB31" w14:textId="147AB7A5"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55" w:history="1">
            <w:r w:rsidRPr="007363EF">
              <w:rPr>
                <w:rStyle w:val="Hyperlink"/>
                <w:rFonts w:cs="Times New Roman"/>
                <w:b/>
                <w:bCs/>
                <w:noProof/>
              </w:rPr>
              <w:t>7.3</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Plan de Compras y Contrataciones</w:t>
            </w:r>
            <w:r>
              <w:rPr>
                <w:noProof/>
                <w:webHidden/>
              </w:rPr>
              <w:tab/>
            </w:r>
            <w:r>
              <w:rPr>
                <w:noProof/>
                <w:webHidden/>
              </w:rPr>
              <w:fldChar w:fldCharType="begin"/>
            </w:r>
            <w:r>
              <w:rPr>
                <w:noProof/>
                <w:webHidden/>
              </w:rPr>
              <w:instrText xml:space="preserve"> PAGEREF _Toc217402155 \h </w:instrText>
            </w:r>
            <w:r>
              <w:rPr>
                <w:noProof/>
                <w:webHidden/>
              </w:rPr>
            </w:r>
            <w:r>
              <w:rPr>
                <w:noProof/>
                <w:webHidden/>
              </w:rPr>
              <w:fldChar w:fldCharType="separate"/>
            </w:r>
            <w:r w:rsidR="004C2ADB">
              <w:rPr>
                <w:noProof/>
                <w:webHidden/>
              </w:rPr>
              <w:t>148</w:t>
            </w:r>
            <w:r>
              <w:rPr>
                <w:noProof/>
                <w:webHidden/>
              </w:rPr>
              <w:fldChar w:fldCharType="end"/>
            </w:r>
          </w:hyperlink>
        </w:p>
        <w:p w14:paraId="0793AA9D" w14:textId="3C49C331"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56" w:history="1">
            <w:r w:rsidRPr="007363EF">
              <w:rPr>
                <w:rStyle w:val="Hyperlink"/>
                <w:rFonts w:cs="Times New Roman"/>
                <w:b/>
                <w:bCs/>
                <w:noProof/>
              </w:rPr>
              <w:t>7.4</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Relación de Licitaciones Públicas</w:t>
            </w:r>
            <w:r>
              <w:rPr>
                <w:noProof/>
                <w:webHidden/>
              </w:rPr>
              <w:tab/>
            </w:r>
            <w:r>
              <w:rPr>
                <w:noProof/>
                <w:webHidden/>
              </w:rPr>
              <w:fldChar w:fldCharType="begin"/>
            </w:r>
            <w:r>
              <w:rPr>
                <w:noProof/>
                <w:webHidden/>
              </w:rPr>
              <w:instrText xml:space="preserve"> PAGEREF _Toc217402156 \h </w:instrText>
            </w:r>
            <w:r>
              <w:rPr>
                <w:noProof/>
                <w:webHidden/>
              </w:rPr>
            </w:r>
            <w:r>
              <w:rPr>
                <w:noProof/>
                <w:webHidden/>
              </w:rPr>
              <w:fldChar w:fldCharType="separate"/>
            </w:r>
            <w:r w:rsidR="004C2ADB">
              <w:rPr>
                <w:noProof/>
                <w:webHidden/>
              </w:rPr>
              <w:t>148</w:t>
            </w:r>
            <w:r>
              <w:rPr>
                <w:noProof/>
                <w:webHidden/>
              </w:rPr>
              <w:fldChar w:fldCharType="end"/>
            </w:r>
          </w:hyperlink>
        </w:p>
        <w:p w14:paraId="47050B46" w14:textId="35E7CCAD"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57" w:history="1">
            <w:r w:rsidRPr="007363EF">
              <w:rPr>
                <w:rStyle w:val="Hyperlink"/>
                <w:rFonts w:cs="Times New Roman"/>
                <w:b/>
                <w:bCs/>
                <w:noProof/>
              </w:rPr>
              <w:t>7.5</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Resumen de Procesos de Licitaciones Públicas</w:t>
            </w:r>
            <w:r>
              <w:rPr>
                <w:noProof/>
                <w:webHidden/>
              </w:rPr>
              <w:tab/>
            </w:r>
            <w:r>
              <w:rPr>
                <w:noProof/>
                <w:webHidden/>
              </w:rPr>
              <w:fldChar w:fldCharType="begin"/>
            </w:r>
            <w:r>
              <w:rPr>
                <w:noProof/>
                <w:webHidden/>
              </w:rPr>
              <w:instrText xml:space="preserve"> PAGEREF _Toc217402157 \h </w:instrText>
            </w:r>
            <w:r>
              <w:rPr>
                <w:noProof/>
                <w:webHidden/>
              </w:rPr>
            </w:r>
            <w:r>
              <w:rPr>
                <w:noProof/>
                <w:webHidden/>
              </w:rPr>
              <w:fldChar w:fldCharType="separate"/>
            </w:r>
            <w:r w:rsidR="004C2ADB">
              <w:rPr>
                <w:noProof/>
                <w:webHidden/>
              </w:rPr>
              <w:t>149</w:t>
            </w:r>
            <w:r>
              <w:rPr>
                <w:noProof/>
                <w:webHidden/>
              </w:rPr>
              <w:fldChar w:fldCharType="end"/>
            </w:r>
          </w:hyperlink>
        </w:p>
        <w:p w14:paraId="278E45C9" w14:textId="62C64566"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58" w:history="1">
            <w:r w:rsidRPr="007363EF">
              <w:rPr>
                <w:rStyle w:val="Hyperlink"/>
                <w:rFonts w:cs="Times New Roman"/>
                <w:b/>
                <w:bCs/>
                <w:noProof/>
              </w:rPr>
              <w:t>7.6</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Procesos de Emergencia</w:t>
            </w:r>
            <w:r>
              <w:rPr>
                <w:noProof/>
                <w:webHidden/>
              </w:rPr>
              <w:tab/>
            </w:r>
            <w:r>
              <w:rPr>
                <w:noProof/>
                <w:webHidden/>
              </w:rPr>
              <w:fldChar w:fldCharType="begin"/>
            </w:r>
            <w:r>
              <w:rPr>
                <w:noProof/>
                <w:webHidden/>
              </w:rPr>
              <w:instrText xml:space="preserve"> PAGEREF _Toc217402158 \h </w:instrText>
            </w:r>
            <w:r>
              <w:rPr>
                <w:noProof/>
                <w:webHidden/>
              </w:rPr>
            </w:r>
            <w:r>
              <w:rPr>
                <w:noProof/>
                <w:webHidden/>
              </w:rPr>
              <w:fldChar w:fldCharType="separate"/>
            </w:r>
            <w:r w:rsidR="004C2ADB">
              <w:rPr>
                <w:noProof/>
                <w:webHidden/>
              </w:rPr>
              <w:t>151</w:t>
            </w:r>
            <w:r>
              <w:rPr>
                <w:noProof/>
                <w:webHidden/>
              </w:rPr>
              <w:fldChar w:fldCharType="end"/>
            </w:r>
          </w:hyperlink>
        </w:p>
        <w:p w14:paraId="18180331" w14:textId="0FD932C6"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59" w:history="1">
            <w:r w:rsidRPr="007363EF">
              <w:rPr>
                <w:rStyle w:val="Hyperlink"/>
                <w:rFonts w:cs="Times New Roman"/>
                <w:b/>
                <w:bCs/>
                <w:noProof/>
              </w:rPr>
              <w:t>7.7</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Procesos de Emergencia de Obras Científicas</w:t>
            </w:r>
            <w:r>
              <w:rPr>
                <w:noProof/>
                <w:webHidden/>
              </w:rPr>
              <w:tab/>
            </w:r>
            <w:r>
              <w:rPr>
                <w:noProof/>
                <w:webHidden/>
              </w:rPr>
              <w:fldChar w:fldCharType="begin"/>
            </w:r>
            <w:r>
              <w:rPr>
                <w:noProof/>
                <w:webHidden/>
              </w:rPr>
              <w:instrText xml:space="preserve"> PAGEREF _Toc217402159 \h </w:instrText>
            </w:r>
            <w:r>
              <w:rPr>
                <w:noProof/>
                <w:webHidden/>
              </w:rPr>
            </w:r>
            <w:r>
              <w:rPr>
                <w:noProof/>
                <w:webHidden/>
              </w:rPr>
              <w:fldChar w:fldCharType="separate"/>
            </w:r>
            <w:r w:rsidR="004C2ADB">
              <w:rPr>
                <w:noProof/>
                <w:webHidden/>
              </w:rPr>
              <w:t>152</w:t>
            </w:r>
            <w:r>
              <w:rPr>
                <w:noProof/>
                <w:webHidden/>
              </w:rPr>
              <w:fldChar w:fldCharType="end"/>
            </w:r>
          </w:hyperlink>
        </w:p>
        <w:p w14:paraId="6C3F3A1A" w14:textId="5E5A9D73"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60" w:history="1">
            <w:r w:rsidRPr="007363EF">
              <w:rPr>
                <w:rStyle w:val="Hyperlink"/>
                <w:rFonts w:cs="Times New Roman"/>
                <w:b/>
                <w:bCs/>
                <w:noProof/>
              </w:rPr>
              <w:t>7.8</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Procesos de Proveedor Único</w:t>
            </w:r>
            <w:r>
              <w:rPr>
                <w:noProof/>
                <w:webHidden/>
              </w:rPr>
              <w:tab/>
            </w:r>
            <w:r>
              <w:rPr>
                <w:noProof/>
                <w:webHidden/>
              </w:rPr>
              <w:fldChar w:fldCharType="begin"/>
            </w:r>
            <w:r>
              <w:rPr>
                <w:noProof/>
                <w:webHidden/>
              </w:rPr>
              <w:instrText xml:space="preserve"> PAGEREF _Toc217402160 \h </w:instrText>
            </w:r>
            <w:r>
              <w:rPr>
                <w:noProof/>
                <w:webHidden/>
              </w:rPr>
            </w:r>
            <w:r>
              <w:rPr>
                <w:noProof/>
                <w:webHidden/>
              </w:rPr>
              <w:fldChar w:fldCharType="separate"/>
            </w:r>
            <w:r w:rsidR="004C2ADB">
              <w:rPr>
                <w:noProof/>
                <w:webHidden/>
              </w:rPr>
              <w:t>153</w:t>
            </w:r>
            <w:r>
              <w:rPr>
                <w:noProof/>
                <w:webHidden/>
              </w:rPr>
              <w:fldChar w:fldCharType="end"/>
            </w:r>
          </w:hyperlink>
        </w:p>
        <w:p w14:paraId="50A4E657" w14:textId="0D468228"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61" w:history="1">
            <w:r w:rsidRPr="007363EF">
              <w:rPr>
                <w:rStyle w:val="Hyperlink"/>
                <w:rFonts w:cs="Times New Roman"/>
                <w:b/>
                <w:bCs/>
                <w:noProof/>
              </w:rPr>
              <w:t>7.9</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Procesos de Excepción de Compras</w:t>
            </w:r>
            <w:r>
              <w:rPr>
                <w:noProof/>
                <w:webHidden/>
              </w:rPr>
              <w:tab/>
            </w:r>
            <w:r>
              <w:rPr>
                <w:noProof/>
                <w:webHidden/>
              </w:rPr>
              <w:fldChar w:fldCharType="begin"/>
            </w:r>
            <w:r>
              <w:rPr>
                <w:noProof/>
                <w:webHidden/>
              </w:rPr>
              <w:instrText xml:space="preserve"> PAGEREF _Toc217402161 \h </w:instrText>
            </w:r>
            <w:r>
              <w:rPr>
                <w:noProof/>
                <w:webHidden/>
              </w:rPr>
            </w:r>
            <w:r>
              <w:rPr>
                <w:noProof/>
                <w:webHidden/>
              </w:rPr>
              <w:fldChar w:fldCharType="separate"/>
            </w:r>
            <w:r w:rsidR="004C2ADB">
              <w:rPr>
                <w:noProof/>
                <w:webHidden/>
              </w:rPr>
              <w:t>154</w:t>
            </w:r>
            <w:r>
              <w:rPr>
                <w:noProof/>
                <w:webHidden/>
              </w:rPr>
              <w:fldChar w:fldCharType="end"/>
            </w:r>
          </w:hyperlink>
        </w:p>
        <w:p w14:paraId="61256AD9" w14:textId="2F82DB6F"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62" w:history="1">
            <w:r w:rsidRPr="007363EF">
              <w:rPr>
                <w:rStyle w:val="Hyperlink"/>
                <w:rFonts w:cs="Times New Roman"/>
                <w:b/>
                <w:bCs/>
                <w:noProof/>
              </w:rPr>
              <w:t>7.10</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Procesos de Compras Menores</w:t>
            </w:r>
            <w:r>
              <w:rPr>
                <w:noProof/>
                <w:webHidden/>
              </w:rPr>
              <w:tab/>
            </w:r>
            <w:r>
              <w:rPr>
                <w:noProof/>
                <w:webHidden/>
              </w:rPr>
              <w:fldChar w:fldCharType="begin"/>
            </w:r>
            <w:r>
              <w:rPr>
                <w:noProof/>
                <w:webHidden/>
              </w:rPr>
              <w:instrText xml:space="preserve"> PAGEREF _Toc217402162 \h </w:instrText>
            </w:r>
            <w:r>
              <w:rPr>
                <w:noProof/>
                <w:webHidden/>
              </w:rPr>
            </w:r>
            <w:r>
              <w:rPr>
                <w:noProof/>
                <w:webHidden/>
              </w:rPr>
              <w:fldChar w:fldCharType="separate"/>
            </w:r>
            <w:r w:rsidR="004C2ADB">
              <w:rPr>
                <w:noProof/>
                <w:webHidden/>
              </w:rPr>
              <w:t>156</w:t>
            </w:r>
            <w:r>
              <w:rPr>
                <w:noProof/>
                <w:webHidden/>
              </w:rPr>
              <w:fldChar w:fldCharType="end"/>
            </w:r>
          </w:hyperlink>
        </w:p>
        <w:p w14:paraId="7380FF77" w14:textId="22BDE605"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63" w:history="1">
            <w:r w:rsidRPr="007363EF">
              <w:rPr>
                <w:rStyle w:val="Hyperlink"/>
                <w:rFonts w:cs="Times New Roman"/>
                <w:b/>
                <w:bCs/>
                <w:noProof/>
              </w:rPr>
              <w:t>7.11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Procesos de Compras Directas</w:t>
            </w:r>
            <w:r>
              <w:rPr>
                <w:noProof/>
                <w:webHidden/>
              </w:rPr>
              <w:tab/>
            </w:r>
            <w:r>
              <w:rPr>
                <w:noProof/>
                <w:webHidden/>
              </w:rPr>
              <w:fldChar w:fldCharType="begin"/>
            </w:r>
            <w:r>
              <w:rPr>
                <w:noProof/>
                <w:webHidden/>
              </w:rPr>
              <w:instrText xml:space="preserve"> PAGEREF _Toc217402163 \h </w:instrText>
            </w:r>
            <w:r>
              <w:rPr>
                <w:noProof/>
                <w:webHidden/>
              </w:rPr>
            </w:r>
            <w:r>
              <w:rPr>
                <w:noProof/>
                <w:webHidden/>
              </w:rPr>
              <w:fldChar w:fldCharType="separate"/>
            </w:r>
            <w:r w:rsidR="004C2ADB">
              <w:rPr>
                <w:noProof/>
                <w:webHidden/>
              </w:rPr>
              <w:t>162</w:t>
            </w:r>
            <w:r>
              <w:rPr>
                <w:noProof/>
                <w:webHidden/>
              </w:rPr>
              <w:fldChar w:fldCharType="end"/>
            </w:r>
          </w:hyperlink>
        </w:p>
        <w:p w14:paraId="36D56301" w14:textId="0410D39C"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64" w:history="1">
            <w:r w:rsidRPr="007363EF">
              <w:rPr>
                <w:rStyle w:val="Hyperlink"/>
                <w:rFonts w:cs="Times New Roman"/>
                <w:b/>
                <w:bCs/>
                <w:noProof/>
              </w:rPr>
              <w:t>7.12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Número y Monto de Adquisiciones</w:t>
            </w:r>
            <w:r>
              <w:rPr>
                <w:noProof/>
                <w:webHidden/>
              </w:rPr>
              <w:tab/>
            </w:r>
            <w:r>
              <w:rPr>
                <w:noProof/>
                <w:webHidden/>
              </w:rPr>
              <w:fldChar w:fldCharType="begin"/>
            </w:r>
            <w:r>
              <w:rPr>
                <w:noProof/>
                <w:webHidden/>
              </w:rPr>
              <w:instrText xml:space="preserve"> PAGEREF _Toc217402164 \h </w:instrText>
            </w:r>
            <w:r>
              <w:rPr>
                <w:noProof/>
                <w:webHidden/>
              </w:rPr>
            </w:r>
            <w:r>
              <w:rPr>
                <w:noProof/>
                <w:webHidden/>
              </w:rPr>
              <w:fldChar w:fldCharType="separate"/>
            </w:r>
            <w:r w:rsidR="004C2ADB">
              <w:rPr>
                <w:noProof/>
                <w:webHidden/>
              </w:rPr>
              <w:t>164</w:t>
            </w:r>
            <w:r>
              <w:rPr>
                <w:noProof/>
                <w:webHidden/>
              </w:rPr>
              <w:fldChar w:fldCharType="end"/>
            </w:r>
          </w:hyperlink>
        </w:p>
        <w:p w14:paraId="3343F10F" w14:textId="5AF1C02F"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65" w:history="1">
            <w:r w:rsidRPr="007363EF">
              <w:rPr>
                <w:rStyle w:val="Hyperlink"/>
                <w:rFonts w:cs="Times New Roman"/>
                <w:b/>
                <w:bCs/>
                <w:noProof/>
              </w:rPr>
              <w:t>7.13</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Resumen de Compras y Contrataciones</w:t>
            </w:r>
            <w:r>
              <w:rPr>
                <w:noProof/>
                <w:webHidden/>
              </w:rPr>
              <w:tab/>
            </w:r>
            <w:r>
              <w:rPr>
                <w:noProof/>
                <w:webHidden/>
              </w:rPr>
              <w:fldChar w:fldCharType="begin"/>
            </w:r>
            <w:r>
              <w:rPr>
                <w:noProof/>
                <w:webHidden/>
              </w:rPr>
              <w:instrText xml:space="preserve"> PAGEREF _Toc217402165 \h </w:instrText>
            </w:r>
            <w:r>
              <w:rPr>
                <w:noProof/>
                <w:webHidden/>
              </w:rPr>
            </w:r>
            <w:r>
              <w:rPr>
                <w:noProof/>
                <w:webHidden/>
              </w:rPr>
              <w:fldChar w:fldCharType="separate"/>
            </w:r>
            <w:r w:rsidR="004C2ADB">
              <w:rPr>
                <w:noProof/>
                <w:webHidden/>
              </w:rPr>
              <w:t>167</w:t>
            </w:r>
            <w:r>
              <w:rPr>
                <w:noProof/>
                <w:webHidden/>
              </w:rPr>
              <w:fldChar w:fldCharType="end"/>
            </w:r>
          </w:hyperlink>
        </w:p>
        <w:p w14:paraId="5083A22B" w14:textId="09F95DDA" w:rsidR="00872076" w:rsidRDefault="00872076">
          <w:pPr>
            <w:pStyle w:val="TOC1"/>
            <w:tabs>
              <w:tab w:val="left" w:pos="1000"/>
            </w:tabs>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66" w:history="1">
            <w:r w:rsidRPr="007363EF">
              <w:rPr>
                <w:rStyle w:val="Hyperlink"/>
              </w:rPr>
              <w:t>VIII.</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OTRAS ACCIONES DESARROLLADAS</w:t>
            </w:r>
            <w:r>
              <w:rPr>
                <w:webHidden/>
              </w:rPr>
              <w:tab/>
            </w:r>
            <w:r>
              <w:rPr>
                <w:webHidden/>
              </w:rPr>
              <w:fldChar w:fldCharType="begin"/>
            </w:r>
            <w:r>
              <w:rPr>
                <w:webHidden/>
              </w:rPr>
              <w:instrText xml:space="preserve"> PAGEREF _Toc217402166 \h </w:instrText>
            </w:r>
            <w:r>
              <w:rPr>
                <w:webHidden/>
              </w:rPr>
            </w:r>
            <w:r>
              <w:rPr>
                <w:webHidden/>
              </w:rPr>
              <w:fldChar w:fldCharType="separate"/>
            </w:r>
            <w:r w:rsidR="004C2ADB">
              <w:rPr>
                <w:webHidden/>
              </w:rPr>
              <w:t>169</w:t>
            </w:r>
            <w:r>
              <w:rPr>
                <w:webHidden/>
              </w:rPr>
              <w:fldChar w:fldCharType="end"/>
            </w:r>
          </w:hyperlink>
        </w:p>
        <w:p w14:paraId="64F11DAA" w14:textId="0A1F6B1B"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68" w:history="1">
            <w:r w:rsidRPr="007363EF">
              <w:rPr>
                <w:rStyle w:val="Hyperlink"/>
                <w:rFonts w:cs="Times New Roman"/>
                <w:b/>
                <w:bCs/>
                <w:noProof/>
              </w:rPr>
              <w:t>8.1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Contribución a los Objetivos de Desarrollo Sostenible</w:t>
            </w:r>
            <w:r>
              <w:rPr>
                <w:noProof/>
                <w:webHidden/>
              </w:rPr>
              <w:tab/>
            </w:r>
            <w:r>
              <w:rPr>
                <w:noProof/>
                <w:webHidden/>
              </w:rPr>
              <w:fldChar w:fldCharType="begin"/>
            </w:r>
            <w:r>
              <w:rPr>
                <w:noProof/>
                <w:webHidden/>
              </w:rPr>
              <w:instrText xml:space="preserve"> PAGEREF _Toc217402168 \h </w:instrText>
            </w:r>
            <w:r>
              <w:rPr>
                <w:noProof/>
                <w:webHidden/>
              </w:rPr>
            </w:r>
            <w:r>
              <w:rPr>
                <w:noProof/>
                <w:webHidden/>
              </w:rPr>
              <w:fldChar w:fldCharType="separate"/>
            </w:r>
            <w:r w:rsidR="004C2ADB">
              <w:rPr>
                <w:noProof/>
                <w:webHidden/>
              </w:rPr>
              <w:t>169</w:t>
            </w:r>
            <w:r>
              <w:rPr>
                <w:noProof/>
                <w:webHidden/>
              </w:rPr>
              <w:fldChar w:fldCharType="end"/>
            </w:r>
          </w:hyperlink>
        </w:p>
        <w:p w14:paraId="110BFEFE" w14:textId="663CA7AC"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69" w:history="1">
            <w:r w:rsidRPr="007363EF">
              <w:rPr>
                <w:rStyle w:val="Hyperlink"/>
                <w:rFonts w:cs="Times New Roman"/>
                <w:b/>
                <w:bCs/>
                <w:noProof/>
              </w:rPr>
              <w:t>8.2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Impacto de las Ejecutorias en Políticas Transversales</w:t>
            </w:r>
            <w:r>
              <w:rPr>
                <w:noProof/>
                <w:webHidden/>
              </w:rPr>
              <w:tab/>
            </w:r>
            <w:r>
              <w:rPr>
                <w:noProof/>
                <w:webHidden/>
              </w:rPr>
              <w:fldChar w:fldCharType="begin"/>
            </w:r>
            <w:r>
              <w:rPr>
                <w:noProof/>
                <w:webHidden/>
              </w:rPr>
              <w:instrText xml:space="preserve"> PAGEREF _Toc217402169 \h </w:instrText>
            </w:r>
            <w:r>
              <w:rPr>
                <w:noProof/>
                <w:webHidden/>
              </w:rPr>
            </w:r>
            <w:r>
              <w:rPr>
                <w:noProof/>
                <w:webHidden/>
              </w:rPr>
              <w:fldChar w:fldCharType="separate"/>
            </w:r>
            <w:r w:rsidR="004C2ADB">
              <w:rPr>
                <w:noProof/>
                <w:webHidden/>
              </w:rPr>
              <w:t>170</w:t>
            </w:r>
            <w:r>
              <w:rPr>
                <w:noProof/>
                <w:webHidden/>
              </w:rPr>
              <w:fldChar w:fldCharType="end"/>
            </w:r>
          </w:hyperlink>
        </w:p>
        <w:p w14:paraId="14420FE5" w14:textId="5D075B94" w:rsidR="00872076" w:rsidRDefault="00872076">
          <w:pPr>
            <w:pStyle w:val="TOC1"/>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70" w:history="1">
            <w:r w:rsidRPr="007363EF">
              <w:rPr>
                <w:rStyle w:val="Hyperlink"/>
              </w:rPr>
              <w:t>IX.</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PROYECCIONES AL PRÓXIMO AÑO</w:t>
            </w:r>
            <w:r>
              <w:rPr>
                <w:webHidden/>
              </w:rPr>
              <w:tab/>
            </w:r>
            <w:r>
              <w:rPr>
                <w:webHidden/>
              </w:rPr>
              <w:fldChar w:fldCharType="begin"/>
            </w:r>
            <w:r>
              <w:rPr>
                <w:webHidden/>
              </w:rPr>
              <w:instrText xml:space="preserve"> PAGEREF _Toc217402170 \h </w:instrText>
            </w:r>
            <w:r>
              <w:rPr>
                <w:webHidden/>
              </w:rPr>
            </w:r>
            <w:r>
              <w:rPr>
                <w:webHidden/>
              </w:rPr>
              <w:fldChar w:fldCharType="separate"/>
            </w:r>
            <w:r w:rsidR="004C2ADB">
              <w:rPr>
                <w:webHidden/>
              </w:rPr>
              <w:t>181</w:t>
            </w:r>
            <w:r>
              <w:rPr>
                <w:webHidden/>
              </w:rPr>
              <w:fldChar w:fldCharType="end"/>
            </w:r>
          </w:hyperlink>
        </w:p>
        <w:p w14:paraId="456891D1" w14:textId="0827C69F" w:rsidR="00872076" w:rsidRDefault="00872076">
          <w:pPr>
            <w:pStyle w:val="TOC1"/>
            <w:rPr>
              <w:rFonts w:asciiTheme="minorHAnsi" w:eastAsiaTheme="minorEastAsia" w:hAnsiTheme="minorHAnsi" w:cstheme="minorBidi"/>
              <w:b w:val="0"/>
              <w:bCs w:val="0"/>
              <w:color w:val="auto"/>
              <w:spacing w:val="0"/>
              <w:kern w:val="2"/>
              <w:position w:val="0"/>
              <w:sz w:val="24"/>
              <w:szCs w:val="24"/>
              <w:lang w:val="en-US"/>
              <w14:ligatures w14:val="standardContextual"/>
            </w:rPr>
          </w:pPr>
          <w:hyperlink w:anchor="_Toc217402171" w:history="1">
            <w:r w:rsidRPr="007363EF">
              <w:rPr>
                <w:rStyle w:val="Hyperlink"/>
              </w:rPr>
              <w:t>X.</w:t>
            </w:r>
            <w:r>
              <w:rPr>
                <w:rFonts w:asciiTheme="minorHAnsi" w:eastAsiaTheme="minorEastAsia" w:hAnsiTheme="minorHAnsi" w:cstheme="minorBidi"/>
                <w:b w:val="0"/>
                <w:bCs w:val="0"/>
                <w:color w:val="auto"/>
                <w:spacing w:val="0"/>
                <w:kern w:val="2"/>
                <w:position w:val="0"/>
                <w:sz w:val="24"/>
                <w:szCs w:val="24"/>
                <w:lang w:val="en-US"/>
                <w14:ligatures w14:val="standardContextual"/>
              </w:rPr>
              <w:tab/>
            </w:r>
            <w:r w:rsidRPr="007363EF">
              <w:rPr>
                <w:rStyle w:val="Hyperlink"/>
              </w:rPr>
              <w:t>ANEXOS</w:t>
            </w:r>
            <w:r>
              <w:rPr>
                <w:webHidden/>
              </w:rPr>
              <w:tab/>
            </w:r>
            <w:r>
              <w:rPr>
                <w:webHidden/>
              </w:rPr>
              <w:fldChar w:fldCharType="begin"/>
            </w:r>
            <w:r>
              <w:rPr>
                <w:webHidden/>
              </w:rPr>
              <w:instrText xml:space="preserve"> PAGEREF _Toc217402171 \h </w:instrText>
            </w:r>
            <w:r>
              <w:rPr>
                <w:webHidden/>
              </w:rPr>
            </w:r>
            <w:r>
              <w:rPr>
                <w:webHidden/>
              </w:rPr>
              <w:fldChar w:fldCharType="separate"/>
            </w:r>
            <w:r w:rsidR="004C2ADB">
              <w:rPr>
                <w:webHidden/>
              </w:rPr>
              <w:t>186</w:t>
            </w:r>
            <w:r>
              <w:rPr>
                <w:webHidden/>
              </w:rPr>
              <w:fldChar w:fldCharType="end"/>
            </w:r>
          </w:hyperlink>
        </w:p>
        <w:p w14:paraId="57AEDFA8" w14:textId="62ECE9E6"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74" w:history="1">
            <w:r w:rsidRPr="007363EF">
              <w:rPr>
                <w:rStyle w:val="Hyperlink"/>
                <w:rFonts w:cs="Times New Roman"/>
                <w:b/>
                <w:bCs/>
                <w:noProof/>
              </w:rPr>
              <w:t>10.1</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Plan Anual de Compras MOPC Año 2025</w:t>
            </w:r>
            <w:r>
              <w:rPr>
                <w:noProof/>
                <w:webHidden/>
              </w:rPr>
              <w:tab/>
            </w:r>
            <w:r>
              <w:rPr>
                <w:noProof/>
                <w:webHidden/>
              </w:rPr>
              <w:fldChar w:fldCharType="begin"/>
            </w:r>
            <w:r>
              <w:rPr>
                <w:noProof/>
                <w:webHidden/>
              </w:rPr>
              <w:instrText xml:space="preserve"> PAGEREF _Toc217402174 \h </w:instrText>
            </w:r>
            <w:r>
              <w:rPr>
                <w:noProof/>
                <w:webHidden/>
              </w:rPr>
            </w:r>
            <w:r>
              <w:rPr>
                <w:noProof/>
                <w:webHidden/>
              </w:rPr>
              <w:fldChar w:fldCharType="separate"/>
            </w:r>
            <w:r w:rsidR="004C2ADB">
              <w:rPr>
                <w:noProof/>
                <w:webHidden/>
              </w:rPr>
              <w:t>187</w:t>
            </w:r>
            <w:r>
              <w:rPr>
                <w:noProof/>
                <w:webHidden/>
              </w:rPr>
              <w:fldChar w:fldCharType="end"/>
            </w:r>
          </w:hyperlink>
        </w:p>
        <w:p w14:paraId="6AC71CFA" w14:textId="6DCA41CF"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75" w:history="1">
            <w:r w:rsidRPr="007363EF">
              <w:rPr>
                <w:rStyle w:val="Hyperlink"/>
                <w:rFonts w:cs="Times New Roman"/>
                <w:b/>
                <w:bCs/>
                <w:noProof/>
              </w:rPr>
              <w:t>10.2</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Matriz Logros Relevantes MOPC</w:t>
            </w:r>
            <w:r>
              <w:rPr>
                <w:noProof/>
                <w:webHidden/>
              </w:rPr>
              <w:tab/>
            </w:r>
            <w:r>
              <w:rPr>
                <w:noProof/>
                <w:webHidden/>
              </w:rPr>
              <w:fldChar w:fldCharType="begin"/>
            </w:r>
            <w:r>
              <w:rPr>
                <w:noProof/>
                <w:webHidden/>
              </w:rPr>
              <w:instrText xml:space="preserve"> PAGEREF _Toc217402175 \h </w:instrText>
            </w:r>
            <w:r>
              <w:rPr>
                <w:noProof/>
                <w:webHidden/>
              </w:rPr>
            </w:r>
            <w:r>
              <w:rPr>
                <w:noProof/>
                <w:webHidden/>
              </w:rPr>
              <w:fldChar w:fldCharType="separate"/>
            </w:r>
            <w:r w:rsidR="004C2ADB">
              <w:rPr>
                <w:noProof/>
                <w:webHidden/>
              </w:rPr>
              <w:t>189</w:t>
            </w:r>
            <w:r>
              <w:rPr>
                <w:noProof/>
                <w:webHidden/>
              </w:rPr>
              <w:fldChar w:fldCharType="end"/>
            </w:r>
          </w:hyperlink>
        </w:p>
        <w:p w14:paraId="73AF80B4" w14:textId="03410D9B" w:rsidR="00872076" w:rsidRDefault="00872076">
          <w:pPr>
            <w:pStyle w:val="TOC2"/>
            <w:rPr>
              <w:rFonts w:asciiTheme="minorHAnsi" w:eastAsiaTheme="minorEastAsia" w:hAnsiTheme="minorHAnsi"/>
              <w:noProof/>
              <w:color w:val="auto"/>
              <w:spacing w:val="0"/>
              <w:kern w:val="2"/>
              <w:szCs w:val="24"/>
              <w:lang w:val="en-US"/>
              <w14:ligatures w14:val="standardContextual"/>
            </w:rPr>
          </w:pPr>
          <w:hyperlink w:anchor="_Toc217402176" w:history="1">
            <w:r w:rsidRPr="007363EF">
              <w:rPr>
                <w:rStyle w:val="Hyperlink"/>
                <w:rFonts w:cs="Times New Roman"/>
                <w:b/>
                <w:bCs/>
                <w:noProof/>
              </w:rPr>
              <w:t>10.3</w:t>
            </w:r>
            <w:r>
              <w:rPr>
                <w:rFonts w:asciiTheme="minorHAnsi" w:eastAsiaTheme="minorEastAsia" w:hAnsiTheme="minorHAnsi"/>
                <w:noProof/>
                <w:color w:val="auto"/>
                <w:spacing w:val="0"/>
                <w:kern w:val="2"/>
                <w:szCs w:val="24"/>
                <w:lang w:val="en-US"/>
                <w14:ligatures w14:val="standardContextual"/>
              </w:rPr>
              <w:tab/>
            </w:r>
            <w:r w:rsidRPr="007363EF">
              <w:rPr>
                <w:rStyle w:val="Hyperlink"/>
                <w:rFonts w:cs="Times New Roman"/>
                <w:b/>
                <w:bCs/>
                <w:noProof/>
              </w:rPr>
              <w:t>Matriz de principales indicadores de gestión</w:t>
            </w:r>
            <w:r>
              <w:rPr>
                <w:noProof/>
                <w:webHidden/>
              </w:rPr>
              <w:tab/>
            </w:r>
            <w:r>
              <w:rPr>
                <w:noProof/>
                <w:webHidden/>
              </w:rPr>
              <w:fldChar w:fldCharType="begin"/>
            </w:r>
            <w:r>
              <w:rPr>
                <w:noProof/>
                <w:webHidden/>
              </w:rPr>
              <w:instrText xml:space="preserve"> PAGEREF _Toc217402176 \h </w:instrText>
            </w:r>
            <w:r>
              <w:rPr>
                <w:noProof/>
                <w:webHidden/>
              </w:rPr>
            </w:r>
            <w:r>
              <w:rPr>
                <w:noProof/>
                <w:webHidden/>
              </w:rPr>
              <w:fldChar w:fldCharType="separate"/>
            </w:r>
            <w:r w:rsidR="004C2ADB">
              <w:rPr>
                <w:noProof/>
                <w:webHidden/>
              </w:rPr>
              <w:t>190</w:t>
            </w:r>
            <w:r>
              <w:rPr>
                <w:noProof/>
                <w:webHidden/>
              </w:rPr>
              <w:fldChar w:fldCharType="end"/>
            </w:r>
          </w:hyperlink>
        </w:p>
        <w:p w14:paraId="25A4B545" w14:textId="2EE96A29" w:rsidR="002208F1" w:rsidRDefault="002208F1">
          <w:r>
            <w:rPr>
              <w:b/>
              <w:bCs/>
              <w:noProof/>
            </w:rPr>
            <w:fldChar w:fldCharType="end"/>
          </w:r>
        </w:p>
      </w:sdtContent>
    </w:sdt>
    <w:p w14:paraId="705C4FD5" w14:textId="77777777" w:rsidR="00B22319" w:rsidRDefault="00B22319" w:rsidP="00BC27E9">
      <w:pPr>
        <w:pStyle w:val="EstilodePrrafoNormal1RdeC"/>
      </w:pPr>
    </w:p>
    <w:p w14:paraId="63E601C9" w14:textId="77777777" w:rsidR="00571D3D" w:rsidRDefault="00571D3D" w:rsidP="00BC27E9">
      <w:pPr>
        <w:pStyle w:val="EstilodePrrafoNormal1RdeC"/>
      </w:pPr>
    </w:p>
    <w:p w14:paraId="59F8D30E" w14:textId="77777777" w:rsidR="00571D3D" w:rsidRDefault="00571D3D" w:rsidP="00BC27E9">
      <w:pPr>
        <w:pStyle w:val="EstilodePrrafoNormal1RdeC"/>
      </w:pPr>
    </w:p>
    <w:p w14:paraId="6F32CDCC" w14:textId="77777777" w:rsidR="00571D3D" w:rsidRDefault="00571D3D" w:rsidP="00BC27E9">
      <w:pPr>
        <w:pStyle w:val="EstilodePrrafoNormal1RdeC"/>
      </w:pPr>
    </w:p>
    <w:p w14:paraId="346792BA" w14:textId="77777777" w:rsidR="00571D3D" w:rsidRDefault="00571D3D" w:rsidP="00BC27E9">
      <w:pPr>
        <w:pStyle w:val="EstilodePrrafoNormal1RdeC"/>
      </w:pPr>
    </w:p>
    <w:p w14:paraId="0A2C765A" w14:textId="77777777" w:rsidR="00571D3D" w:rsidRDefault="00571D3D" w:rsidP="00BC27E9">
      <w:pPr>
        <w:pStyle w:val="EstilodePrrafoNormal1RdeC"/>
      </w:pPr>
    </w:p>
    <w:p w14:paraId="317E16FE" w14:textId="77777777" w:rsidR="00571D3D" w:rsidRDefault="00571D3D" w:rsidP="00BC27E9">
      <w:pPr>
        <w:pStyle w:val="EstilodePrrafoNormal1RdeC"/>
      </w:pPr>
    </w:p>
    <w:p w14:paraId="0FF782C1" w14:textId="77777777" w:rsidR="00B22319" w:rsidRDefault="00B22319" w:rsidP="00BC27E9">
      <w:pPr>
        <w:pStyle w:val="EstilodePrrafoNormal1RdeC"/>
      </w:pPr>
    </w:p>
    <w:p w14:paraId="262A316A" w14:textId="58463C18" w:rsidR="00BC27E9" w:rsidRPr="000F012D" w:rsidRDefault="00BC27E9" w:rsidP="00F73212">
      <w:pPr>
        <w:pStyle w:val="Heading1"/>
        <w:numPr>
          <w:ilvl w:val="0"/>
          <w:numId w:val="0"/>
        </w:numPr>
        <w:ind w:left="432"/>
        <w:jc w:val="center"/>
        <w:rPr>
          <w:rFonts w:ascii="Times New Roman" w:hAnsi="Times New Roman" w:cs="Times New Roman"/>
          <w:b/>
          <w:bCs/>
          <w:color w:val="767171"/>
          <w:sz w:val="28"/>
          <w:szCs w:val="28"/>
        </w:rPr>
      </w:pPr>
      <w:bookmarkStart w:id="13" w:name="_Toc217070872"/>
      <w:bookmarkStart w:id="14" w:name="_Toc217387675"/>
      <w:bookmarkStart w:id="15" w:name="_Toc217402108"/>
      <w:bookmarkStart w:id="16" w:name="_Hlk58570834"/>
      <w:r w:rsidRPr="000F012D">
        <w:rPr>
          <w:rFonts w:ascii="Times New Roman" w:hAnsi="Times New Roman" w:cs="Times New Roman"/>
          <w:b/>
          <w:bCs/>
          <w:color w:val="767171"/>
          <w:sz w:val="28"/>
          <w:szCs w:val="28"/>
        </w:rPr>
        <w:lastRenderedPageBreak/>
        <w:t>RESUMEN EJECUTIVO</w:t>
      </w:r>
      <w:bookmarkEnd w:id="13"/>
      <w:bookmarkEnd w:id="14"/>
      <w:bookmarkEnd w:id="15"/>
    </w:p>
    <w:p w14:paraId="70B853AE" w14:textId="197C5663" w:rsidR="00F51751" w:rsidRPr="00F51751" w:rsidRDefault="000F012D" w:rsidP="00F51751">
      <w:r w:rsidRPr="00954407">
        <w:rPr>
          <w:rFonts w:eastAsia="Calibri" w:cs="Times New Roman"/>
          <w:noProof/>
          <w:sz w:val="18"/>
          <w:lang w:eastAsia="es-DO"/>
        </w:rPr>
        <mc:AlternateContent>
          <mc:Choice Requires="wps">
            <w:drawing>
              <wp:anchor distT="0" distB="0" distL="114300" distR="114300" simplePos="0" relativeHeight="251689984" behindDoc="0" locked="0" layoutInCell="1" allowOverlap="1" wp14:anchorId="465D7AA2" wp14:editId="79B9C3D4">
                <wp:simplePos x="0" y="0"/>
                <wp:positionH relativeFrom="margin">
                  <wp:posOffset>2336800</wp:posOffset>
                </wp:positionH>
                <wp:positionV relativeFrom="paragraph">
                  <wp:posOffset>26670</wp:posOffset>
                </wp:positionV>
                <wp:extent cx="463550" cy="0"/>
                <wp:effectExtent l="0" t="19050" r="31750" b="19050"/>
                <wp:wrapNone/>
                <wp:docPr id="7496225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B665D" id="Straight Connector 21"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4pt,2.1pt" to="220.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" strokecolor="#ee2a24" strokeweight="2.25pt">
                <v:stroke joinstyle="miter"/>
                <w10:wrap anchorx="margin"/>
              </v:line>
            </w:pict>
          </mc:Fallback>
        </mc:AlternateContent>
      </w:r>
    </w:p>
    <w:p w14:paraId="62EB6215" w14:textId="77777777" w:rsidR="00BC27E9" w:rsidRPr="000F012D" w:rsidRDefault="00BC27E9" w:rsidP="00BC27E9">
      <w:pPr>
        <w:pStyle w:val="EstilodePrrafoNormal1RdeC"/>
        <w:jc w:val="center"/>
        <w:rPr>
          <w:b/>
          <w:bCs/>
        </w:rPr>
      </w:pPr>
      <w:r w:rsidRPr="000F012D">
        <w:rPr>
          <w:b/>
          <w:bCs/>
        </w:rPr>
        <w:t>Memoria Institucional 2025</w:t>
      </w:r>
    </w:p>
    <w:p w14:paraId="7B1EAC92" w14:textId="77777777" w:rsidR="00BC27E9" w:rsidRPr="00954407" w:rsidRDefault="00BC27E9" w:rsidP="00BC27E9">
      <w:pPr>
        <w:pStyle w:val="EstilodePrrafoNormal1RdeC"/>
      </w:pPr>
    </w:p>
    <w:p w14:paraId="62CF6149" w14:textId="77777777" w:rsidR="00BC27E9" w:rsidRPr="00954407" w:rsidRDefault="00BC27E9" w:rsidP="00BC27E9">
      <w:pPr>
        <w:rPr>
          <w:rFonts w:eastAsia="Calibri" w:cs="Times New Roman"/>
        </w:rPr>
      </w:pPr>
      <w:r w:rsidRPr="00954407">
        <w:rPr>
          <w:rFonts w:eastAsia="Calibri" w:cs="Times New Roman"/>
        </w:rPr>
        <w:t xml:space="preserve">El Ministerio de Obras Públicas y Comunicaciones (MOPC), es el ente rector del sector infraestructura de transporte y comunicaciones del país, en el marco de sus competencias exclusivas y compartidas que le otorga la ley. En tal sentido, es responsable de emitir </w:t>
      </w:r>
      <w:r w:rsidRPr="00954407">
        <w:t>normas</w:t>
      </w:r>
      <w:r w:rsidRPr="00954407">
        <w:rPr>
          <w:rFonts w:eastAsia="Calibri" w:cs="Times New Roman"/>
        </w:rPr>
        <w:t xml:space="preserve"> técnicas para la gestión del sistema de transporte, planificar, diseñar, construir, supervisar y mantener la infraestructura del sector; además de coadyuvar con otras instituciones en la generación de políticas para la seguridad del territorio nacional y en la eficacia del servicio de transporte que dispone la nación. Este documento considera los logros de los objetivos y metas establecidas en el plan estratégico institucional y el Plan Operativo Anual del MOPC, Plan Plurianual del Sector Público 2025-2028, con el Cumplimiento de las Promesas, Iniciativas y Políticas Públicas Gubernamentales, los Objetivos de Desarrollo Sostenible de la Agenda Mundial 2030; y con la visión de mejorar la calidad de vida de la población residente en el país; en consonancia con la Estrategia Nacional de Desarrollo (END) 2030. </w:t>
      </w:r>
    </w:p>
    <w:p w14:paraId="48D41E49" w14:textId="77777777" w:rsidR="00BC27E9" w:rsidRPr="00954407" w:rsidRDefault="00BC27E9" w:rsidP="00BC27E9">
      <w:pPr>
        <w:pStyle w:val="EstilodePrrafoNormal1RdeC"/>
        <w:rPr>
          <w:rFonts w:eastAsia="Calibri"/>
        </w:rPr>
      </w:pPr>
      <w:r w:rsidRPr="00954407">
        <w:rPr>
          <w:rFonts w:eastAsia="Calibri"/>
        </w:rPr>
        <w:t>A continuación, se presentan los principales logros alcanzados durante el año 2025.</w:t>
      </w:r>
    </w:p>
    <w:p w14:paraId="0C9ABE86" w14:textId="0BA18870" w:rsidR="00BC27E9" w:rsidRPr="00954407" w:rsidRDefault="00BC27E9" w:rsidP="00E81F11">
      <w:pPr>
        <w:pStyle w:val="EstilodePrrafoNormal1RdeC"/>
        <w:spacing w:afterLines="240" w:after="576"/>
      </w:pPr>
      <w:r w:rsidRPr="00954407">
        <w:t xml:space="preserve">Preparación del programa de los proyectos de inversión a ejecutarse durante el año 2026, los cuales fueron consignados en el  anteproyecto de presupuesto inversión del Ministerio de Obras Públicas y Comunicaciones (MOPC), y luego en el presupuesto de la nación, con valor aprobado por el  Congreso Nacional RD$40,000,000,000.00 (Cuarenta Mil Millones de Pesos   con 00/100), para un total de 467 (Cuatrocientos Sesenta y Siete)  proyectos con recursos internos y 4,940,715,000.00 (Cuatro Mil Novecientos Cuarenta Millones Setecientos Quince Mil Pesos con 00/100) para contrapartida local para  4 (Cuatro) proyectos con financiamiento de </w:t>
      </w:r>
      <w:r w:rsidRPr="00954407">
        <w:lastRenderedPageBreak/>
        <w:t>recursos externos, específicamente, financiados  por Banco de Cooperación Multilaterales</w:t>
      </w:r>
      <w:r w:rsidR="00E81F11">
        <w:t>.</w:t>
      </w:r>
    </w:p>
    <w:p w14:paraId="278BD2A7" w14:textId="77777777" w:rsidR="00BC27E9" w:rsidRPr="00954407" w:rsidRDefault="00BC27E9" w:rsidP="004C2ADB">
      <w:pPr>
        <w:pStyle w:val="EstilodePrrafoNormal1RdeC"/>
        <w:numPr>
          <w:ilvl w:val="0"/>
          <w:numId w:val="177"/>
        </w:numPr>
        <w:spacing w:afterLines="150" w:after="360"/>
        <w:ind w:left="0" w:firstLine="0"/>
      </w:pPr>
      <w:r w:rsidRPr="00954407">
        <w:t>Durante el año 2025, la institución recibió del presupuesto nacional la suma RD$26,430,401,449.00 (Veinte Seis Mil Cuatrocientos Treinta Millones Cuatrocientos Un Mil Cuatrocientos Cuarenta y Nueve Pesos con 00/100) para proyectos de inversión; además recibió la suma de RD$6,663,014,028.00 (Seis Mil Seiscientos Sesenta y Tres   Millones Catorce Mil Veintiocho Pesos con 00/100) de contrapartida local para proyectos con recursos externos; También recibió un presupuesto suplementario por la suma de RD$13,540,000,000.00 (Trece Mil Quinientos Cuarenta Millones de Pesos con 00/100). El indicador correspondiente a la ejecución presupuestaria de la inversión nos proporciona un porcentaje de 96.0%, el cual es excelente e indica la eficiencia en el cumplimiento de su misión del Ministerio de Obras Públicas y Comunicaciones.</w:t>
      </w:r>
    </w:p>
    <w:p w14:paraId="3A1D1E72" w14:textId="77777777" w:rsidR="00BC27E9" w:rsidRPr="00954407" w:rsidRDefault="00BC27E9" w:rsidP="000F012D">
      <w:pPr>
        <w:pStyle w:val="EstilodePrrafoNormal1RdeC"/>
        <w:numPr>
          <w:ilvl w:val="0"/>
          <w:numId w:val="177"/>
        </w:numPr>
        <w:spacing w:after="240"/>
        <w:ind w:left="0" w:firstLine="0"/>
      </w:pPr>
      <w:r w:rsidRPr="00954407">
        <w:t>En el componente de obras inauguradas o entregadas a la población en el subsector infraestructura de transporte terrestre de pasajeros y cargas se logró la construcción de 87.8 km. de carreteras nuevos, incrementando la conectividad y movilidad de los viajes entre los distintos destinos del país; además, se concluyeron 4,295.83 km. en los programas de asfaltados o rehabilitación de carreteras a nivel nacional, beneficiando a un total de 6.0 millones de personas de la población económicamente activa del país. Dentro de estas obras se destacan:</w:t>
      </w:r>
    </w:p>
    <w:p w14:paraId="0A25C3B9" w14:textId="77777777" w:rsidR="00BC27E9" w:rsidRPr="00954407" w:rsidRDefault="00BC27E9" w:rsidP="000F012D">
      <w:pPr>
        <w:pStyle w:val="EstilodePrrafoNormal1RdeC"/>
        <w:numPr>
          <w:ilvl w:val="0"/>
          <w:numId w:val="177"/>
        </w:numPr>
        <w:spacing w:after="240"/>
        <w:ind w:left="0" w:firstLine="0"/>
      </w:pPr>
      <w:r w:rsidRPr="00954407">
        <w:t xml:space="preserve">Construcción de la Avenida Circunvalación Bani, Municipio   Bani, provincia Peravia; con una longitud de 19.8 km. con una calzada y un (1) carril de circulación por sentido, incluye la construcción de diecisiete (17) puentes, una estación de peaje y un costo aproximado de construcción de RD$7,700,000,000.00, financiados por el Fidecomiso RD Vial. La puesta en operación del proyecto contribuye a elevar la calidad de vida a los </w:t>
      </w:r>
      <w:r w:rsidRPr="00954407">
        <w:lastRenderedPageBreak/>
        <w:t>residentes del área urbana del municipio de Bani, y a los habitantes de las regiones de Valdesia, Enriquillo y el Valle, que se cuantifican con una Población Económicamente Activa (PEA) de 826,200 habitantes, generando empleos directos a más de 360 personas.</w:t>
      </w:r>
    </w:p>
    <w:p w14:paraId="65D24E8C" w14:textId="77777777" w:rsidR="00BC27E9" w:rsidRPr="00954407" w:rsidRDefault="00BC27E9" w:rsidP="000F012D">
      <w:pPr>
        <w:pStyle w:val="EstilodePrrafoNormal1RdeC"/>
        <w:numPr>
          <w:ilvl w:val="0"/>
          <w:numId w:val="177"/>
        </w:numPr>
        <w:spacing w:after="240"/>
        <w:ind w:left="0" w:firstLine="0"/>
      </w:pPr>
      <w:r w:rsidRPr="00954407">
        <w:t>Reconstrucción y Mejoramiento de la Carretera Villa Elisa-Punta Rusia-La Ensenada, Provincia Monte Cristi, con longitud de 23.2 km., con valor de presupuesto de RD$1,224,000,000.00 (Mil Doscientos Veinticuatro Millones de pesos con 00/100). Esta carretera tiene un trazado que facilita la conexión de las provincias Monte Cristi y Puerto Plata, con accesos a lugares turísticos muy importantes para el país.  Beneficia a una Población Económicamente Activa (PEA) de 198,000 personas, y generó durante su ejecución más de 60 empleos directos.</w:t>
      </w:r>
    </w:p>
    <w:p w14:paraId="501C2F7E" w14:textId="77777777" w:rsidR="00BC27E9" w:rsidRPr="00954407" w:rsidRDefault="00BC27E9" w:rsidP="000F012D">
      <w:pPr>
        <w:pStyle w:val="EstilodePrrafoNormal1RdeC"/>
        <w:numPr>
          <w:ilvl w:val="0"/>
          <w:numId w:val="177"/>
        </w:numPr>
        <w:spacing w:after="240"/>
        <w:ind w:left="0" w:firstLine="0"/>
      </w:pPr>
      <w:r w:rsidRPr="00954407">
        <w:t>Terminación Construcción Paso a Desnivel en la Intersección de las Avenidas Prolongación 27 de Febrero con Isabel Aguiar (Pintura), Municipio Santo Domingo Oeste, Provincia Santo Domingo, con longitud de 480 m., con once (11) carriles de circulación; con valor presupuestado de RD$2,562,500,000.00 (Dos Mil Quinientos Sesenta y Dos Millones Quinientos Mil pesos con 00/100). Obra financiada con recursos provenientes de la renegociación del Contrato de Concesión de Aeropuertos Dominicanos Siglo XXI (AERODÓM) con El Estado Dominicano. Este proyecto beneficia directamente a los habitantes del Municipio Santo Domingo Oeste con población económicamente activa de 200,000 habitantes y a los usuarios de las Regiones Valdesia, Enriquillo y El valle que tienen como destino la Región Ozama, estos se cuantifican en PEA (Población Económicamente Activa) de 150,000 personas adicionales.  En la etapa de ejecución del proyecto se generaron, aproximadamente, 120 empleos directos.</w:t>
      </w:r>
    </w:p>
    <w:p w14:paraId="6456DE6C" w14:textId="77777777" w:rsidR="00BC27E9" w:rsidRPr="00954407" w:rsidRDefault="00BC27E9" w:rsidP="000F012D">
      <w:pPr>
        <w:pStyle w:val="EstilodePrrafoNormal1RdeC"/>
        <w:numPr>
          <w:ilvl w:val="0"/>
          <w:numId w:val="177"/>
        </w:numPr>
        <w:spacing w:after="240"/>
        <w:ind w:left="0" w:firstLine="0"/>
      </w:pPr>
      <w:r w:rsidRPr="00954407">
        <w:t xml:space="preserve">Construcción y puesta en servicio de la nueva Estación de Peaje, ubicada en el km.32 de la Autopista Duarte, la cual reemplaza la antigua </w:t>
      </w:r>
      <w:r w:rsidRPr="00954407">
        <w:lastRenderedPageBreak/>
        <w:t>estación ubicada en el km. 25, eliminando la barrera para el crecimiento económico del Municipio de Pedro Brand, al no tener que pagar peaje los habitantes de este Municipio para desplazarse al Gran Polo Económico, Educacional, Social y Político como es el Gran Santo Domingo. La plaza de peaje actual cuenta con 22 carriles (11 de ida y 11 de regreso), 10 carriles para “Paso Rápido” con sistema de monitoreo en tiempo real. El valor aproximado del presupuesto de ejecución fue de RD$600,000,000.00 (Seiscientos Millones de Pesos 00/100). Esta nueva infraestructura beneficia diariamente a más de 50 mil vehículos por día que circulan por la nueva estación, con menor tiempo de espera en “cola”, y aumento de la seguridad al circular por la estación de peaje moderna con carriles suficientes para cobro peaje a las distintas categorías de vehículos. Este proyecto beneficia a las regiones Cibao Norte, Cibao Nordeste, Cibao Sur y Cibao Noroeste, con una población aproximada (PEA) de 1.5 millones de personas; durante el proceso constructivo se generaron, aproximadamente 85 empleos directos.</w:t>
      </w:r>
    </w:p>
    <w:p w14:paraId="50B2F613" w14:textId="37EAE280" w:rsidR="00BC27E9" w:rsidRPr="00E81F11" w:rsidRDefault="00BC27E9" w:rsidP="00E81F11">
      <w:pPr>
        <w:pStyle w:val="EstilodePrrafoNormal1RdeC"/>
        <w:numPr>
          <w:ilvl w:val="0"/>
          <w:numId w:val="177"/>
        </w:numPr>
        <w:spacing w:after="240"/>
        <w:ind w:left="0" w:firstLine="0"/>
      </w:pPr>
      <w:r w:rsidRPr="00954407">
        <w:t>Reconstrucción del Paso a Desnivel de la Avenida Hípica, Municipio Santo Domingo Este, Provincia Santo Domingo, con longitud de 500 m</w:t>
      </w:r>
      <w:r w:rsidR="004C2ADB">
        <w:t xml:space="preserve">, </w:t>
      </w:r>
      <w:r w:rsidRPr="00E81F11">
        <w:rPr>
          <w:rFonts w:eastAsia="Calibri"/>
        </w:rPr>
        <w:t xml:space="preserve">el proyecto incluyó la reconstrucción de rampas de entrada y salida, instalación de nuevos muros de contención, barandas de seguridad, optimizando los giros y construyendo un nuevo carril para incorporar el flujo vehicular a la Avenida Las Américas, contribuyendo al descongestionamiento del tránsito en la zona y mejorando la conectividad de importantes sectores de Santo Domingo Este, con un valor de presupuesto de RD$700,000,000.00 (Setecientos Millones de Pesos con 00/100), beneficiando a una Población Económicamente Activa de más de 300,000 mil personas; generando alrededor de 40 empleos directos.   </w:t>
      </w:r>
    </w:p>
    <w:p w14:paraId="7C970772" w14:textId="77777777" w:rsidR="00BC27E9" w:rsidRPr="00954407" w:rsidRDefault="00BC27E9" w:rsidP="000F012D">
      <w:pPr>
        <w:pStyle w:val="EstilodePrrafoNormal1RdeC"/>
        <w:numPr>
          <w:ilvl w:val="0"/>
          <w:numId w:val="177"/>
        </w:numPr>
        <w:spacing w:after="240"/>
        <w:ind w:left="0" w:firstLine="0"/>
      </w:pPr>
      <w:r w:rsidRPr="00954407">
        <w:t xml:space="preserve">Construcción Avenida La Ecológica Tramo II, la cual permite la conexión con la Avenida Las Américas y el Puerto Multimodal Caucedo, </w:t>
      </w:r>
      <w:r w:rsidRPr="00954407">
        <w:lastRenderedPageBreak/>
        <w:t xml:space="preserve">impactando favorablemente en el transporte de carga y disminuyendo el nivel de congestión del tránsito en la Autopista Las Américas. Este tramo tiene longitud de 3.32 km. y valor presupuestado de RD$1,515,317,083.610 (Setecientos Ochenta y Cinco Millones Trescientos Diecisiete Mil Ochenta y Tres pesos con 00/100); ubicada en Provincia Santo Domingo. Con este proyecto se beneficia una PEA de 514,000 personas y en el proceso constructivo se generaron 85 empleos directos.   </w:t>
      </w:r>
    </w:p>
    <w:p w14:paraId="4905AABB" w14:textId="77777777" w:rsidR="00BC27E9" w:rsidRPr="00954407" w:rsidRDefault="00BC27E9" w:rsidP="000F012D">
      <w:pPr>
        <w:pStyle w:val="EstilodePrrafoNormal1RdeC"/>
        <w:numPr>
          <w:ilvl w:val="0"/>
          <w:numId w:val="177"/>
        </w:numPr>
        <w:spacing w:after="240"/>
        <w:ind w:left="0" w:firstLine="0"/>
      </w:pPr>
      <w:r w:rsidRPr="00954407">
        <w:t xml:space="preserve">Reconstrucción de la Carretera El Cercado-Juan Santiago-Hondo Valle, Provincias San Juan de la Maguana y Elías Piña, con longitud de 22.4 Km. y costo de construcción RD$1,120,000,000.00 (Mil Cientos Veinte Millones de pesos con 00/100). Esta obra beneficia una Población Económicamente Activa superior a las 50,000 personas y se crearon más de 65 empleos directos. La reconstrucción de esta carretera incrementa la calidad de vida de los residentes dentro de la cobertura de la vía, debido que la misma impacta en forma positiva en la producción agrícola y el turismo. Además, la movilidad se incrementa significativamente, al reducir tiempo de viaje de los usuarios entre el origen y destino de la carretera en forma drástica; debido a la pésima condición de la superficie de rodadura de la vía antes de ser intervenida, se estima que la velocidad de recorrido antes del proyecto era de aproximadamente 12 km/hora y con la realización del proyecto se incrementa en promedio a 65 km/hora.  Dentro del proyecto se rehabilitaron 8.5 km. de calles en el municipio del cercado, 3.1 km en el poblado urbano de Juan Santiago y 7.5 km. de calles en municipio de Hondo Valle.  </w:t>
      </w:r>
    </w:p>
    <w:p w14:paraId="7973ADC2" w14:textId="77777777" w:rsidR="00BC27E9" w:rsidRPr="00954407" w:rsidRDefault="00BC27E9" w:rsidP="000F012D">
      <w:pPr>
        <w:pStyle w:val="EstilodePrrafoNormal1RdeC"/>
        <w:numPr>
          <w:ilvl w:val="0"/>
          <w:numId w:val="177"/>
        </w:numPr>
        <w:spacing w:after="240"/>
        <w:ind w:left="0" w:firstLine="0"/>
      </w:pPr>
      <w:r w:rsidRPr="00954407">
        <w:t>Construcción Palacio de Justicia Santo Domingo Este (SDE), Provincia Santo Domingo, con superficie total de construcción de 50,000 m</w:t>
      </w:r>
      <w:r w:rsidRPr="00954407">
        <w:rPr>
          <w:vertAlign w:val="superscript"/>
        </w:rPr>
        <w:t>2,</w:t>
      </w:r>
      <w:r w:rsidRPr="00954407">
        <w:t xml:space="preserve"> distribuidos en edificios para el Poder judicial, Ministerio Público y Defensa Pública, con inversión aproximada de RD$4,486,000,000.00 (Cuatro mil Cuatro Cientos Ochenta y Seis Millones de pesos con 00/100), </w:t>
      </w:r>
      <w:r w:rsidRPr="00954407">
        <w:lastRenderedPageBreak/>
        <w:t>beneficiando a una población aproximada de 500 mil personas y generando 85 empleos directos anuales, durante proceso construcción.</w:t>
      </w:r>
    </w:p>
    <w:p w14:paraId="65DDE5E8" w14:textId="77777777" w:rsidR="00BC27E9" w:rsidRPr="00954407" w:rsidRDefault="00BC27E9" w:rsidP="000F012D">
      <w:pPr>
        <w:pStyle w:val="EstilodePrrafoNormal1RdeC"/>
        <w:numPr>
          <w:ilvl w:val="0"/>
          <w:numId w:val="177"/>
        </w:numPr>
        <w:spacing w:after="240"/>
        <w:ind w:left="0" w:firstLine="0"/>
      </w:pPr>
      <w:r w:rsidRPr="00954407">
        <w:t>Construcción de puente sobre Río Bajabonico, en el poblado Bajabonico Arriba, Municipio Altamira, Provincia Puerto Plata, con longitud de 40.0 m. y un valor Presupuestado de RD$60,000,000.00. beneficiando a una PEA (Población Económica Activa) de alrededor de 1, 800 personas, generando 12 empleos directos.</w:t>
      </w:r>
    </w:p>
    <w:p w14:paraId="0CC9EDFF" w14:textId="77777777" w:rsidR="00BC27E9" w:rsidRPr="00954407" w:rsidRDefault="00BC27E9" w:rsidP="000F012D">
      <w:pPr>
        <w:pStyle w:val="EstilodePrrafoNormal1RdeC"/>
        <w:numPr>
          <w:ilvl w:val="0"/>
          <w:numId w:val="177"/>
        </w:numPr>
        <w:spacing w:after="240"/>
        <w:ind w:left="0" w:firstLine="0"/>
      </w:pPr>
      <w:r w:rsidRPr="00954407">
        <w:t>Reconstrucción de la Carretera Gautier – Guayabal (1ra.Etapa), Provincia San Pedro de Macorís, con longitud de 9.00 km., con valor de presupuestado de RD$298,000,000.00 (Doscientos Noventa y Ocho Millones de pesos 00/100). Este proyecto eleva la calidad de vida a los habitantes de las comunidades de Guayabal, Gautier, Santana, entre otros. Con alto impacto en la ganadería, agricultura y turismo. Beneficia   a una Población Económicamente Activa (PEA) de 3,300 personas y el proyecto generó alrededor de 30 empleos directos.</w:t>
      </w:r>
    </w:p>
    <w:p w14:paraId="39BBF4A7" w14:textId="77777777" w:rsidR="00BC27E9" w:rsidRPr="00954407" w:rsidRDefault="00BC27E9" w:rsidP="000F012D">
      <w:pPr>
        <w:pStyle w:val="EstilodePrrafoNormal1RdeC"/>
        <w:numPr>
          <w:ilvl w:val="0"/>
          <w:numId w:val="177"/>
        </w:numPr>
        <w:spacing w:after="240"/>
        <w:ind w:left="0" w:firstLine="0"/>
        <w:rPr>
          <w:rFonts w:eastAsia="Calibri"/>
        </w:rPr>
      </w:pPr>
      <w:r w:rsidRPr="00954407">
        <w:t>Construcción Puente sobre Rio Yuna, en la comunidad de Rincón Bebedero, Municipio Arenoso, Provincia Duarte con longitud de 25 m. y con un valor presupuestado de RD$48,000,000.00 (Cuarenta y Ocho Millones de pesos con 00/100). Población PEA beneficiada con el Proyecto, aproximadamente, 2,400 personas, generando un promedio de 15 empleos directos.</w:t>
      </w:r>
      <w:r w:rsidRPr="00954407">
        <w:rPr>
          <w:rFonts w:eastAsia="Calibri"/>
        </w:rPr>
        <w:t xml:space="preserve">  </w:t>
      </w:r>
    </w:p>
    <w:p w14:paraId="7AA57A2A" w14:textId="77777777" w:rsidR="00BC27E9" w:rsidRPr="00954407" w:rsidRDefault="00BC27E9" w:rsidP="000F012D">
      <w:pPr>
        <w:pStyle w:val="EstilodePrrafoNormal1RdeC"/>
        <w:numPr>
          <w:ilvl w:val="0"/>
          <w:numId w:val="177"/>
        </w:numPr>
        <w:spacing w:after="240"/>
        <w:ind w:left="0" w:firstLine="0"/>
      </w:pPr>
      <w:r w:rsidRPr="00954407">
        <w:t xml:space="preserve">La programación de los proyectos de inversión en etapa de Ejecución, fueron incluidos en el anteproyecto de presupuesto del Ministerio de Obras Públicas y Comunicaciones (MOPC) para año 2026, y luego en el Presupuesto de la Nación, con valor aprobado por el Congreso Nacional de RD$40,000,000,000.00 (Cuarenta Mil Millones de pesos   con 00/100); este monto es para proyectos financiados con fondos locales. La contrapartida local aprobada por el Congreso Nacional para proyectos </w:t>
      </w:r>
      <w:r w:rsidRPr="00954407">
        <w:lastRenderedPageBreak/>
        <w:t xml:space="preserve">Financiados con recursos externos fue de RD$4,940,715,000.00 (Cuatro Mil Novecientos Cuarenta Millones Setecientos Quince Mil Pesos con 00/100), para un total de cuatro (4) proyectos, que disponen financiamiento del Banco Interamericano de Desarrollo (BID). Entre los principales proyectos en ejecución se destacan los siguientes: Construcción paso a desnivel en la Intersección Av. 27 de Febrero-Av. Gral. Gregorio Luperón con avance de 39%; Distrito Nacional, Construcción  Avenida Circunvalación de Navarrete Tramos I y II , con avances de 31% y 33 %,respectivamente ; Solución Vial al congestionamiento del tránsito  en la Avenida Colombia desde La Autopista Duarte hasta Avenida Los Proceres, con avance de 35%, Provincia Santo domingo y Distrito Nacional, Circunvalación San Francisco de Macorís con avance de 93%, Provincia Duarte;  Construcción Carretera Enriquillo–Pedernales, Provincia Pedernales  con avance de 93%, Construcción Carretera Barahona -Enriquillo con avance de 94%, Provincias Barahona; Construcción Av. Circunvalación Otra Banda  con avance de 13%, Provincia La Altagracia; Reconstrucción Carretera  Bayaguana-El Puerto con avance 94%, Provincia Monte Plata; Reconstrucción Carretera Guerra-Bayaguana con avance de 78 %, Provincias  Santo  Domingo y Monte Plata; entre otras .  </w:t>
      </w:r>
    </w:p>
    <w:p w14:paraId="394C92BF" w14:textId="77777777" w:rsidR="00BC27E9" w:rsidRPr="00954407" w:rsidRDefault="00BC27E9" w:rsidP="000F012D">
      <w:pPr>
        <w:pStyle w:val="EstilodePrrafoNormal1RdeC"/>
        <w:numPr>
          <w:ilvl w:val="0"/>
          <w:numId w:val="177"/>
        </w:numPr>
        <w:spacing w:after="240"/>
        <w:ind w:left="0" w:firstLine="0"/>
        <w:rPr>
          <w:rFonts w:eastAsia="Calibri"/>
        </w:rPr>
      </w:pPr>
      <w:r w:rsidRPr="00954407">
        <w:rPr>
          <w:rFonts w:eastAsia="Calibri"/>
        </w:rPr>
        <w:t xml:space="preserve">En el subsector Puerto 2 (dos) obras están programadas para ejecución, destacándose: Mejoramiento Puerto de Manzanillo y su conectividad, en la Provincia Montecristi y la Construcción Barrera de Protección Marina y Obras complementarias en el tramo vial de la carretera No.5, en Nagua con avance de 90 %; provincia María Trinidad Sánchez. </w:t>
      </w:r>
    </w:p>
    <w:p w14:paraId="49A67C08" w14:textId="77777777" w:rsidR="00BC27E9" w:rsidRPr="00954407" w:rsidRDefault="00BC27E9" w:rsidP="000F012D">
      <w:pPr>
        <w:pStyle w:val="EstilodePrrafoNormal1RdeC"/>
        <w:numPr>
          <w:ilvl w:val="0"/>
          <w:numId w:val="177"/>
        </w:numPr>
        <w:spacing w:after="240"/>
        <w:ind w:left="0" w:firstLine="0"/>
      </w:pPr>
      <w:r w:rsidRPr="00954407">
        <w:t xml:space="preserve">En la Categoría de Caminos Vecinales se ejecutan 427.0 km.  a nivel nacional con un presupuesto de RD$3,882,242,505.36 (Tres Mil Ochocientos Ochenta y Dos Millones Doscientos Cuarenta y Dos Mil Quinientos Cinco Pesos con 36/100) , entre las proyectos en ejecución  se destacan: a) Construcción Caminos Vecinal La Siembra (DM)-Padre Las </w:t>
      </w:r>
      <w:r w:rsidRPr="00954407">
        <w:lastRenderedPageBreak/>
        <w:t xml:space="preserve">Casas, con longitud de 5.20 km., con avance de 35%, Provincia Azua; Reconstrucción de Camino Vecinal Cruce La Piña –Naranjo Dulce –La Explanada–Río Boba con longitud de 5.0 km., con avance de 41%, Provincia Duarte; Reconstrucción camino vecinal Ranchito–Los Tres Pasos-Los Hidalgos, con longitud de 6.50 km., con avance de 38%, Provincia Puerto Plata ; Rehabilitación de Caminos Vecinales Naranjal Arriba-Parra—Rancho Arriba-Río Mahoma y sabana Grande De Boya-Los Pomos, con longitud de 20.87 km., con avance de 33%, en Provincia de San José de Ocoa; Asfaltado de Caminos Grupo II, lote I, El Puerto –Los Lirios – El Charco-La Lanza –Lanza Abajo, con longitud de 10.8 km., con avance de 35%;, Provincia Barahona, Construcción de tres (3)  puentes en camino vecinal Las Espinas, Municipio Jamao al Norte, Provincia Espaillat, con avance de 60%.  </w:t>
      </w:r>
      <w:r w:rsidRPr="00954407">
        <w:tab/>
      </w:r>
    </w:p>
    <w:p w14:paraId="12F12629" w14:textId="77777777" w:rsidR="00BC27E9" w:rsidRPr="00954407" w:rsidRDefault="00BC27E9" w:rsidP="000F012D">
      <w:pPr>
        <w:pStyle w:val="EstilodePrrafoNormal1RdeC"/>
        <w:numPr>
          <w:ilvl w:val="0"/>
          <w:numId w:val="177"/>
        </w:numPr>
        <w:spacing w:after="240"/>
        <w:ind w:left="0" w:firstLine="0"/>
        <w:rPr>
          <w:rFonts w:eastAsia="Calibri"/>
        </w:rPr>
      </w:pPr>
      <w:r w:rsidRPr="00954407">
        <w:rPr>
          <w:rFonts w:eastAsia="Calibri"/>
        </w:rPr>
        <w:t>La gestión de la Oficina Coordinadora del Fidecomiso RD-Vial, tiene la responsabilidad de la supervisión técnica y operativa de las estaciones de peajes y de las obras que se ejecutan con fondos del Fideicomiso RD-Vial. En su memoria correspondiente al periodo enero – diciembre del 2025, informa haber captado ingresos por concepto de pago de peajes por la suma de RD$12,720,426,847.00 (Doce Mil Setecientos Veinte Millones Cuatrocientos Veintiséis Mil Ochocientos Cuarenta y Siete pesos con 00/100), proyectando el mes de diciembre 2025. En comparación con el año 2024, se observa un incremento de RD$3,693,823,707.00, superior al 29.0% en la recaudación en el año 2024, justificada con el ingreso de dos nuevas estaciones de peajes (Circunvalación Baní y Avenida Ecológica); además por el crecimiento normal del volumen vehicular, teniendo presente que varias estaciones de peajes se ubican en área suburbana de algunos municipios. El sistema dispone en la actualidad con 18 Estaciones de peajes, en todo el territorio nacional.</w:t>
      </w:r>
    </w:p>
    <w:p w14:paraId="4851B1E9" w14:textId="77777777" w:rsidR="00BC27E9" w:rsidRPr="00954407" w:rsidRDefault="00BC27E9" w:rsidP="000F012D">
      <w:pPr>
        <w:pStyle w:val="EstilodePrrafoNormal1RdeC"/>
        <w:numPr>
          <w:ilvl w:val="0"/>
          <w:numId w:val="177"/>
        </w:numPr>
        <w:spacing w:after="240"/>
        <w:ind w:left="0" w:firstLine="0"/>
      </w:pPr>
      <w:r w:rsidRPr="00954407">
        <w:t xml:space="preserve">El Fideicomiso RD Vial bajo la gerencia del Ministerio de Obras </w:t>
      </w:r>
      <w:r w:rsidRPr="00954407">
        <w:lastRenderedPageBreak/>
        <w:t>Públicas y Comunicaciones (MOPC), tiene entre sus objetivos básicos proveer a los usuarios asistencia y servicio oportuno en los 21 (veintiún) corredores viales y 33 (treinta y tres) tramos de vías rurales y urbanas donde se ha implementado este programa. En este contexto se  proporcionaron  a los usuarios de estas infraestructuras viales un total de 220,517 (Doscientos Veinte Mil Quinientos Diecisiete) asistencias  en el año 2025, de las cuales 33% corresponde a fallas en los neumáticos, 31% a fallas mecánicas  de vehículos , 16% a  problemas de seguridad , 8.0 %  falta de combustibles, 3.0 % en problemas de calentamientos de vehículos, 2.0% problemas de accidentes,2.0% solicitud de  grúas, 2.0  % solicitud de talleres móviles,2.0 % en fallas eléctrica,1.0% requerimientos de ambulancias y rescate.</w:t>
      </w:r>
    </w:p>
    <w:p w14:paraId="01230846" w14:textId="77777777" w:rsidR="00BC27E9" w:rsidRPr="00954407" w:rsidRDefault="00BC27E9" w:rsidP="000F012D">
      <w:pPr>
        <w:pStyle w:val="EstilodePrrafoNormal1RdeC"/>
        <w:numPr>
          <w:ilvl w:val="0"/>
          <w:numId w:val="177"/>
        </w:numPr>
        <w:spacing w:after="240"/>
        <w:ind w:left="0" w:firstLine="0"/>
      </w:pPr>
      <w:r w:rsidRPr="00954407">
        <w:t>Las acciones para el control del derecho de vía y para fiscalizar las construcciones ilegales en el entorno de las carreteras troncales del país, tiene el propósito de contribuir con la seguridad de los usuarios y preservar la integridad de los terrenos estales. En el año 2025 se fiscalizaron 692 construcciones, de las cuales 92 fueron paralizadas,44 notificadas,20 accesos ilegales e informales cerrados, 277 desmanteladas, 248 demolidas y 11 con permisos.</w:t>
      </w:r>
    </w:p>
    <w:p w14:paraId="380103A0" w14:textId="77777777" w:rsidR="00BC27E9" w:rsidRPr="00954407" w:rsidRDefault="00BC27E9" w:rsidP="000F012D">
      <w:pPr>
        <w:pStyle w:val="EstilodePrrafoNormal1RdeC"/>
        <w:numPr>
          <w:ilvl w:val="0"/>
          <w:numId w:val="177"/>
        </w:numPr>
        <w:spacing w:after="240"/>
        <w:ind w:left="0" w:firstLine="0"/>
      </w:pPr>
      <w:r w:rsidRPr="00954407">
        <w:t xml:space="preserve">El Ministerio de Obras Públicas y Comunicaciones (MOPC), adquiere a través del Banco Interamericano de Desarrollo (BID), recursos para la adquisición de Equipos auscultación (equipos que no dañan o destruyen la superficie de rodamiento) para medir parámetros de control de calidad de los pavimentos y suelos (subrasante) de las obras que construye el Ministerio. En el presenta año llegaron al país 2 (dos) deflectometros FWD de caída libre, para pavimentos flexibles y un HWD para pavimentos rígido y pista de aeropuertos, para medir capacidad de carga de los pavimentos y sus capas soporte. Además, se adquirieron dos (2) medidores de fricción, que se utilizan para obtener el coeficiente de fricción de la superficie de rodamiento, el cual es muy importante para la seguridad de la </w:t>
      </w:r>
      <w:r w:rsidRPr="00954407">
        <w:lastRenderedPageBreak/>
        <w:t>circulación vehicular en las carreteras.   Estos equipos y las cinco (5) camionetas preparadas remolcan los equipos, que son operados por brigadas respectivas que fueron entrenados por los fabricantes. En la actualidad, las brigadas que están Operando los equipos trabajan en la Autopista Duarte Subtramo: El Pino (7S) - Entrada Jarabacoa y en el peaje de la Autopista Duarte. Estos equipos son soporte para el control de calidad de los proyectos viales en ejecución y para preparar la rehabilitación o reconstrucción.</w:t>
      </w:r>
    </w:p>
    <w:p w14:paraId="19F4F2AF" w14:textId="77777777" w:rsidR="00BC27E9" w:rsidRPr="00954407" w:rsidRDefault="00BC27E9" w:rsidP="00BC27E9">
      <w:pPr>
        <w:pStyle w:val="EstilodePrrafoNormal1RdeC"/>
        <w:sectPr w:rsidR="00BC27E9" w:rsidRPr="00954407" w:rsidSect="00BC27E9">
          <w:footerReference w:type="default" r:id="rId13"/>
          <w:pgSz w:w="12240" w:h="15840" w:code="1"/>
          <w:pgMar w:top="1440" w:right="2160" w:bottom="1699" w:left="2160" w:header="706" w:footer="176" w:gutter="0"/>
          <w:pgNumType w:fmt="lowerRoman" w:start="2"/>
          <w:cols w:space="708"/>
          <w:docGrid w:linePitch="360"/>
        </w:sectPr>
      </w:pPr>
    </w:p>
    <w:bookmarkStart w:id="17" w:name="_Toc505070500"/>
    <w:bookmarkStart w:id="18" w:name="_Toc504947225"/>
    <w:bookmarkStart w:id="19" w:name="_Toc504947325"/>
    <w:bookmarkStart w:id="20" w:name="_Toc504947751"/>
    <w:bookmarkStart w:id="21" w:name="_Toc505070501"/>
    <w:bookmarkStart w:id="22" w:name="_Toc217070873"/>
    <w:bookmarkStart w:id="23" w:name="_Toc217387676"/>
    <w:bookmarkStart w:id="24" w:name="_Toc217402109"/>
    <w:bookmarkEnd w:id="17"/>
    <w:bookmarkEnd w:id="18"/>
    <w:bookmarkEnd w:id="19"/>
    <w:bookmarkEnd w:id="20"/>
    <w:bookmarkEnd w:id="21"/>
    <w:p w14:paraId="650EF58B" w14:textId="4FD5E0D3" w:rsidR="00BC27E9" w:rsidRPr="00BC27E9" w:rsidRDefault="00F51751" w:rsidP="00F51751">
      <w:pPr>
        <w:pStyle w:val="Heading1"/>
        <w:numPr>
          <w:ilvl w:val="0"/>
          <w:numId w:val="108"/>
        </w:numPr>
        <w:jc w:val="center"/>
        <w:rPr>
          <w:rFonts w:ascii="Times New Roman" w:hAnsi="Times New Roman" w:cs="Times New Roman"/>
          <w:color w:val="767171"/>
          <w:sz w:val="28"/>
          <w:szCs w:val="28"/>
        </w:rPr>
      </w:pPr>
      <w:r w:rsidRPr="00954407">
        <w:rPr>
          <w:rFonts w:ascii="Times New Roman" w:eastAsia="Calibri" w:hAnsi="Times New Roman" w:cs="Times New Roman"/>
          <w:noProof/>
          <w:sz w:val="18"/>
          <w:lang w:eastAsia="es-DO"/>
        </w:rPr>
        <w:lastRenderedPageBreak/>
        <mc:AlternateContent>
          <mc:Choice Requires="wps">
            <w:drawing>
              <wp:anchor distT="0" distB="0" distL="114300" distR="114300" simplePos="0" relativeHeight="251668480" behindDoc="0" locked="0" layoutInCell="1" allowOverlap="1" wp14:anchorId="07EC0401" wp14:editId="7EAADC22">
                <wp:simplePos x="0" y="0"/>
                <wp:positionH relativeFrom="margin">
                  <wp:posOffset>2254250</wp:posOffset>
                </wp:positionH>
                <wp:positionV relativeFrom="paragraph">
                  <wp:posOffset>584835</wp:posOffset>
                </wp:positionV>
                <wp:extent cx="463550" cy="0"/>
                <wp:effectExtent l="22860" t="15875" r="18415" b="22225"/>
                <wp:wrapNone/>
                <wp:docPr id="107374189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61F86" id="Straight Connector 21"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6.05pt" to="214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" strokecolor="#ee2a24" strokeweight="2.25pt">
                <v:stroke joinstyle="miter"/>
                <w10:wrap anchorx="margin"/>
              </v:line>
            </w:pict>
          </mc:Fallback>
        </mc:AlternateContent>
      </w:r>
      <w:r w:rsidR="00BC27E9" w:rsidRPr="00BC27E9">
        <w:rPr>
          <w:rFonts w:ascii="Times New Roman" w:hAnsi="Times New Roman" w:cs="Times New Roman"/>
          <w:color w:val="767171"/>
          <w:sz w:val="28"/>
          <w:szCs w:val="28"/>
        </w:rPr>
        <w:t>INFORMACIÓN INSTITUCIONAL</w:t>
      </w:r>
      <w:bookmarkEnd w:id="22"/>
      <w:bookmarkEnd w:id="23"/>
      <w:bookmarkEnd w:id="24"/>
    </w:p>
    <w:p w14:paraId="09EECAC3" w14:textId="36FE2B74" w:rsidR="00BC27E9" w:rsidRPr="00954407" w:rsidRDefault="00BC27E9" w:rsidP="00BC27E9">
      <w:pPr>
        <w:pStyle w:val="EstilodePrrafoNormal1RdeC"/>
        <w:rPr>
          <w:rFonts w:eastAsia="Calibri"/>
          <w:sz w:val="18"/>
        </w:rPr>
      </w:pPr>
    </w:p>
    <w:p w14:paraId="28E55895" w14:textId="77777777" w:rsidR="00BC27E9" w:rsidRPr="00954407" w:rsidRDefault="00BC27E9" w:rsidP="00F51751">
      <w:pPr>
        <w:pStyle w:val="EstilodePrrafoNormal1RdeC"/>
        <w:jc w:val="center"/>
      </w:pPr>
      <w:r w:rsidRPr="00954407">
        <w:t>Memoria Institucional 2025</w:t>
      </w:r>
    </w:p>
    <w:p w14:paraId="01841962" w14:textId="77777777" w:rsidR="00BC27E9" w:rsidRPr="00954407" w:rsidRDefault="00BC27E9" w:rsidP="00BC27E9">
      <w:pPr>
        <w:pStyle w:val="EstilodePrrafoNormal1RdeC"/>
      </w:pPr>
    </w:p>
    <w:p w14:paraId="027F99A4" w14:textId="77777777" w:rsidR="00CF3199" w:rsidRPr="00CF3199" w:rsidRDefault="00CF3199" w:rsidP="00CF3199">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25" w:name="_Toc90884462"/>
      <w:bookmarkStart w:id="26" w:name="_Toc217394523"/>
      <w:bookmarkStart w:id="27" w:name="_Toc217394777"/>
      <w:bookmarkStart w:id="28" w:name="_Toc217394882"/>
      <w:bookmarkStart w:id="29" w:name="_Toc217402041"/>
      <w:bookmarkStart w:id="30" w:name="_Toc217402110"/>
      <w:bookmarkStart w:id="31" w:name="_Toc217070874"/>
      <w:bookmarkEnd w:id="25"/>
      <w:bookmarkEnd w:id="26"/>
      <w:bookmarkEnd w:id="27"/>
      <w:bookmarkEnd w:id="28"/>
      <w:bookmarkEnd w:id="29"/>
      <w:bookmarkEnd w:id="30"/>
    </w:p>
    <w:p w14:paraId="50732054" w14:textId="77777777" w:rsidR="00CF3199" w:rsidRPr="00CF3199" w:rsidRDefault="00CF3199" w:rsidP="00CF3199">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32" w:name="_Toc217394524"/>
      <w:bookmarkStart w:id="33" w:name="_Toc217394778"/>
      <w:bookmarkStart w:id="34" w:name="_Toc217394883"/>
      <w:bookmarkStart w:id="35" w:name="_Toc217402042"/>
      <w:bookmarkStart w:id="36" w:name="_Toc217402111"/>
      <w:bookmarkEnd w:id="32"/>
      <w:bookmarkEnd w:id="33"/>
      <w:bookmarkEnd w:id="34"/>
      <w:bookmarkEnd w:id="35"/>
      <w:bookmarkEnd w:id="36"/>
    </w:p>
    <w:p w14:paraId="43CE827E" w14:textId="7435D682" w:rsidR="00BC27E9" w:rsidRPr="00CF3199" w:rsidRDefault="00BC27E9" w:rsidP="00CF3199">
      <w:pPr>
        <w:pStyle w:val="Heading2"/>
        <w:rPr>
          <w:rFonts w:ascii="Times New Roman" w:hAnsi="Times New Roman" w:cs="Times New Roman"/>
          <w:b/>
          <w:bCs/>
          <w:color w:val="767171"/>
          <w:sz w:val="24"/>
          <w:szCs w:val="24"/>
        </w:rPr>
      </w:pPr>
      <w:bookmarkStart w:id="37" w:name="_Toc217402112"/>
      <w:r w:rsidRPr="00CF3199">
        <w:rPr>
          <w:rFonts w:ascii="Times New Roman" w:hAnsi="Times New Roman" w:cs="Times New Roman"/>
          <w:b/>
          <w:bCs/>
          <w:color w:val="767171"/>
          <w:sz w:val="24"/>
          <w:szCs w:val="24"/>
        </w:rPr>
        <w:t>Marco Filosófico Institucional</w:t>
      </w:r>
      <w:bookmarkEnd w:id="31"/>
      <w:bookmarkEnd w:id="37"/>
    </w:p>
    <w:p w14:paraId="6470F6F6" w14:textId="77777777" w:rsidR="00BC27E9" w:rsidRPr="00954407" w:rsidRDefault="00BC27E9" w:rsidP="00BC27E9">
      <w:pPr>
        <w:pStyle w:val="EstilodePrrafoNormal1RdeC"/>
      </w:pPr>
    </w:p>
    <w:p w14:paraId="5CBF22D7" w14:textId="77777777" w:rsidR="00BC27E9" w:rsidRPr="00954407" w:rsidRDefault="00BC27E9" w:rsidP="00BC27E9">
      <w:pPr>
        <w:pStyle w:val="EstilodePrrafoNormal1RdeC"/>
      </w:pPr>
    </w:p>
    <w:p w14:paraId="2BA88C64" w14:textId="77777777" w:rsidR="00BC27E9" w:rsidRPr="00954407" w:rsidRDefault="00BC27E9" w:rsidP="00BC27E9">
      <w:pPr>
        <w:pStyle w:val="EstilodePrrafoNormal1RdeC"/>
        <w:rPr>
          <w:color w:val="767171"/>
        </w:rPr>
      </w:pPr>
      <w:r w:rsidRPr="00954407">
        <w:rPr>
          <w:color w:val="767171"/>
        </w:rPr>
        <w:t xml:space="preserve">El marco filosófico del Ministerio de Obras Públicas y Comunicaciones (MOPC), expresa los principios éticos y valores fundamentales que la institución ejerce en la actualidad, como la misión, visión y los valores que guían su accionar, lo que constituye el fundamento ideológico y las bases doctrinales que sustentan su ser o identidad, como entidad gubernamental. </w:t>
      </w:r>
    </w:p>
    <w:p w14:paraId="7C1E9C96" w14:textId="77777777" w:rsidR="00BC27E9" w:rsidRPr="00954407" w:rsidRDefault="00BC27E9" w:rsidP="00BC27E9">
      <w:pPr>
        <w:pStyle w:val="EstilodePrrafoNormal1RdeC"/>
      </w:pPr>
    </w:p>
    <w:p w14:paraId="3D6A128A" w14:textId="14C1D588" w:rsidR="00BC27E9" w:rsidRPr="00CF3199" w:rsidRDefault="00BC27E9" w:rsidP="00F73212">
      <w:pPr>
        <w:pStyle w:val="Heading2"/>
        <w:rPr>
          <w:rFonts w:ascii="Times New Roman" w:hAnsi="Times New Roman" w:cs="Times New Roman"/>
          <w:b/>
          <w:bCs/>
          <w:color w:val="767171"/>
          <w:sz w:val="24"/>
          <w:szCs w:val="24"/>
        </w:rPr>
      </w:pPr>
      <w:bookmarkStart w:id="38" w:name="_Toc217070875"/>
      <w:bookmarkStart w:id="39" w:name="_Toc217402113"/>
      <w:r w:rsidRPr="00CF3199">
        <w:rPr>
          <w:rFonts w:ascii="Times New Roman" w:hAnsi="Times New Roman" w:cs="Times New Roman"/>
          <w:b/>
          <w:bCs/>
          <w:color w:val="767171"/>
          <w:sz w:val="24"/>
          <w:szCs w:val="24"/>
        </w:rPr>
        <w:t>Misión</w:t>
      </w:r>
      <w:bookmarkEnd w:id="38"/>
      <w:bookmarkEnd w:id="39"/>
    </w:p>
    <w:p w14:paraId="29560F47" w14:textId="77777777" w:rsidR="00BC27E9" w:rsidRPr="00954407" w:rsidRDefault="00BC27E9" w:rsidP="00BC27E9">
      <w:pPr>
        <w:pStyle w:val="EstilodePrrafoNormal1RdeC"/>
      </w:pPr>
    </w:p>
    <w:p w14:paraId="6594D3C8" w14:textId="77777777" w:rsidR="00BC27E9" w:rsidRPr="00954407" w:rsidRDefault="00BC27E9" w:rsidP="00BC27E9">
      <w:pPr>
        <w:pStyle w:val="EstilodePrrafoNormal1RdeC"/>
        <w:rPr>
          <w:color w:val="767171"/>
        </w:rPr>
      </w:pPr>
      <w:r w:rsidRPr="00954407">
        <w:rPr>
          <w:color w:val="767171"/>
        </w:rPr>
        <w:t>Gestionar el sector de Obras Públicas y Comunicaciones, a través de la regulación, planificación, construcción y mantenimiento de la infraestructura física requerida para el desarrollo socioeconómico sostenible de la República Dominicana.</w:t>
      </w:r>
    </w:p>
    <w:p w14:paraId="198D9A51" w14:textId="77777777" w:rsidR="00BC27E9" w:rsidRPr="00954407" w:rsidRDefault="00BC27E9" w:rsidP="00BC27E9">
      <w:pPr>
        <w:pStyle w:val="EstilodePrrafoNormal1RdeC"/>
        <w:rPr>
          <w:sz w:val="18"/>
          <w:szCs w:val="18"/>
        </w:rPr>
      </w:pPr>
    </w:p>
    <w:p w14:paraId="6865D629" w14:textId="6B29908E" w:rsidR="00BC27E9" w:rsidRPr="00CF3199" w:rsidRDefault="00BC27E9" w:rsidP="00F73212">
      <w:pPr>
        <w:pStyle w:val="Heading2"/>
        <w:rPr>
          <w:rFonts w:ascii="Times New Roman" w:hAnsi="Times New Roman" w:cs="Times New Roman"/>
          <w:b/>
          <w:bCs/>
          <w:color w:val="767171"/>
          <w:sz w:val="24"/>
          <w:szCs w:val="24"/>
        </w:rPr>
      </w:pPr>
      <w:bookmarkStart w:id="40" w:name="_Toc217070876"/>
      <w:bookmarkStart w:id="41" w:name="_Toc217402114"/>
      <w:r w:rsidRPr="00CF3199">
        <w:rPr>
          <w:rFonts w:ascii="Times New Roman" w:hAnsi="Times New Roman" w:cs="Times New Roman"/>
          <w:b/>
          <w:bCs/>
          <w:color w:val="767171"/>
          <w:sz w:val="24"/>
          <w:szCs w:val="24"/>
        </w:rPr>
        <w:t>Visión</w:t>
      </w:r>
      <w:bookmarkEnd w:id="40"/>
      <w:bookmarkEnd w:id="41"/>
    </w:p>
    <w:p w14:paraId="25D5E0B3" w14:textId="77777777" w:rsidR="00BC27E9" w:rsidRPr="00954407" w:rsidRDefault="00BC27E9" w:rsidP="00BC27E9">
      <w:pPr>
        <w:pStyle w:val="EstilodePrrafoNormal1RdeC"/>
      </w:pPr>
    </w:p>
    <w:p w14:paraId="191A0BE5" w14:textId="77777777" w:rsidR="00BC27E9" w:rsidRPr="00954407" w:rsidRDefault="00BC27E9" w:rsidP="00BC27E9">
      <w:pPr>
        <w:pStyle w:val="EstilodePrrafoNormal1RdeC"/>
        <w:rPr>
          <w:color w:val="767171"/>
        </w:rPr>
      </w:pPr>
      <w:r w:rsidRPr="00954407">
        <w:rPr>
          <w:color w:val="767171"/>
        </w:rPr>
        <w:t>Construir la más avanzada, moderna y segura infraestructura de vías y construcciones sectoriales de la región, con una eficiente red de servicios, que permita al país su desarrollo y competitividad, el acceso e inclusión de todo su territorio en las fuentes y procesos de producción y facilite la convivencia entre sus comunidades.</w:t>
      </w:r>
    </w:p>
    <w:p w14:paraId="17471401" w14:textId="77777777" w:rsidR="00BC27E9" w:rsidRPr="00954407" w:rsidRDefault="00BC27E9" w:rsidP="00BC27E9">
      <w:pPr>
        <w:pStyle w:val="EstilodePrrafoNormal1RdeC"/>
        <w:rPr>
          <w:color w:val="767171"/>
        </w:rPr>
      </w:pPr>
    </w:p>
    <w:p w14:paraId="1CD72C9A" w14:textId="349B82BC" w:rsidR="00BC27E9" w:rsidRPr="00CF3199" w:rsidRDefault="00BC27E9" w:rsidP="00F73212">
      <w:pPr>
        <w:pStyle w:val="Heading2"/>
        <w:rPr>
          <w:rFonts w:ascii="Times New Roman" w:hAnsi="Times New Roman" w:cs="Times New Roman"/>
          <w:b/>
          <w:bCs/>
          <w:color w:val="767171"/>
          <w:sz w:val="24"/>
          <w:szCs w:val="24"/>
        </w:rPr>
      </w:pPr>
      <w:bookmarkStart w:id="42" w:name="_Toc217070877"/>
      <w:bookmarkStart w:id="43" w:name="_Toc217402115"/>
      <w:r w:rsidRPr="00CF3199">
        <w:rPr>
          <w:rFonts w:ascii="Times New Roman" w:hAnsi="Times New Roman" w:cs="Times New Roman"/>
          <w:b/>
          <w:bCs/>
          <w:color w:val="767171"/>
          <w:sz w:val="24"/>
          <w:szCs w:val="24"/>
        </w:rPr>
        <w:lastRenderedPageBreak/>
        <w:t>Valores</w:t>
      </w:r>
      <w:bookmarkEnd w:id="42"/>
      <w:bookmarkEnd w:id="43"/>
    </w:p>
    <w:p w14:paraId="05D6D94E" w14:textId="77777777" w:rsidR="00BC27E9" w:rsidRPr="00954407" w:rsidRDefault="00BC27E9" w:rsidP="00BC27E9">
      <w:pPr>
        <w:pStyle w:val="EstilodePrrafoNormal1RdeC"/>
      </w:pPr>
    </w:p>
    <w:p w14:paraId="1E5B3225" w14:textId="77777777" w:rsidR="00BC27E9" w:rsidRPr="00954407" w:rsidRDefault="00BC27E9" w:rsidP="00BC27E9">
      <w:pPr>
        <w:pStyle w:val="EstilodePrrafoNormal1RdeC"/>
      </w:pPr>
      <w:r w:rsidRPr="00954407">
        <w:t>Los valores son los principios éticos y creencias que proporcionan un marco de referencia común para el comportamiento y las acciones a ejecutar, asegurando que estén alineados con el propósito y los objetivos de la institución. Estos valores incluyen:</w:t>
      </w:r>
    </w:p>
    <w:p w14:paraId="2B9F80BF" w14:textId="77777777" w:rsidR="00BC27E9" w:rsidRPr="00954407" w:rsidRDefault="00BC27E9" w:rsidP="00BC27E9">
      <w:pPr>
        <w:pStyle w:val="EstilodePrrafoNormal1RdeC"/>
      </w:pPr>
    </w:p>
    <w:p w14:paraId="211AE7EB" w14:textId="77777777" w:rsidR="00BC27E9" w:rsidRPr="00954407" w:rsidRDefault="00BC27E9" w:rsidP="00A360E6">
      <w:pPr>
        <w:pStyle w:val="EstilodePrrafoNormal1RdeC"/>
        <w:numPr>
          <w:ilvl w:val="0"/>
          <w:numId w:val="179"/>
        </w:numPr>
        <w:spacing w:after="240"/>
        <w:rPr>
          <w:color w:val="767171"/>
        </w:rPr>
      </w:pPr>
      <w:r w:rsidRPr="00A360E6">
        <w:rPr>
          <w:b/>
          <w:bCs/>
          <w:color w:val="767171"/>
        </w:rPr>
        <w:t>Cuidado del Medio Ambiente:</w:t>
      </w:r>
      <w:r w:rsidRPr="00954407">
        <w:rPr>
          <w:color w:val="767171"/>
        </w:rPr>
        <w:t xml:space="preserve"> procurando que el crecimiento y desarrollo se realice en armonía con el medio ambiente, velando porque siempre se otorgue la prioridad necesaria en cada proyecto u obra a la protección de nuestros recursos naturales.</w:t>
      </w:r>
    </w:p>
    <w:p w14:paraId="50BE80AB" w14:textId="77777777" w:rsidR="00BC27E9" w:rsidRPr="00954407" w:rsidRDefault="00BC27E9" w:rsidP="00A360E6">
      <w:pPr>
        <w:pStyle w:val="EstilodePrrafoNormal1RdeC"/>
        <w:numPr>
          <w:ilvl w:val="0"/>
          <w:numId w:val="179"/>
        </w:numPr>
        <w:spacing w:after="240"/>
        <w:rPr>
          <w:color w:val="767171"/>
        </w:rPr>
      </w:pPr>
      <w:r w:rsidRPr="00A360E6">
        <w:rPr>
          <w:b/>
          <w:bCs/>
          <w:color w:val="767171"/>
        </w:rPr>
        <w:t>Moderación:</w:t>
      </w:r>
      <w:r w:rsidRPr="00954407">
        <w:rPr>
          <w:color w:val="767171"/>
        </w:rPr>
        <w:t xml:space="preserve"> promoviendo una cultura que evite los excesos, así como la valoración de alternativas viables en cada acción y decisión que sea necesaria.</w:t>
      </w:r>
    </w:p>
    <w:p w14:paraId="3ABDC6D0" w14:textId="77777777" w:rsidR="00BC27E9" w:rsidRPr="00954407" w:rsidRDefault="00BC27E9" w:rsidP="00A360E6">
      <w:pPr>
        <w:pStyle w:val="EstilodePrrafoNormal1RdeC"/>
        <w:numPr>
          <w:ilvl w:val="0"/>
          <w:numId w:val="179"/>
        </w:numPr>
        <w:spacing w:after="240"/>
        <w:rPr>
          <w:color w:val="767171"/>
        </w:rPr>
      </w:pPr>
      <w:r w:rsidRPr="00A360E6">
        <w:rPr>
          <w:b/>
          <w:bCs/>
          <w:color w:val="767171"/>
        </w:rPr>
        <w:t>Transparencia:</w:t>
      </w:r>
      <w:r w:rsidRPr="00954407">
        <w:rPr>
          <w:color w:val="767171"/>
        </w:rPr>
        <w:t xml:space="preserve"> motivando una conducta ética y honesta de nuestros empleados y una administración que vele por el cumplimiento de las leyes y procedimientos relativos al buen uso de los recursos del Estado.</w:t>
      </w:r>
    </w:p>
    <w:p w14:paraId="755D1B3A" w14:textId="77777777" w:rsidR="00BC27E9" w:rsidRPr="00954407" w:rsidRDefault="00BC27E9" w:rsidP="00A360E6">
      <w:pPr>
        <w:pStyle w:val="EstilodePrrafoNormal1RdeC"/>
        <w:numPr>
          <w:ilvl w:val="0"/>
          <w:numId w:val="179"/>
        </w:numPr>
        <w:spacing w:after="240"/>
        <w:rPr>
          <w:color w:val="767171"/>
        </w:rPr>
      </w:pPr>
      <w:r w:rsidRPr="00A360E6">
        <w:rPr>
          <w:b/>
          <w:bCs/>
          <w:color w:val="767171"/>
        </w:rPr>
        <w:t>Calidad:</w:t>
      </w:r>
      <w:r w:rsidRPr="00954407">
        <w:rPr>
          <w:color w:val="767171"/>
        </w:rPr>
        <w:t xml:space="preserve"> desarrollando estándares que garanticen los mejores resultados posibles con los recursos disponibles, a través de fomentar la búsqueda, conocimiento y uso constante de las mejores prácticas y referencias en la planificación y ejecución de proyectos.</w:t>
      </w:r>
    </w:p>
    <w:p w14:paraId="31A116AE" w14:textId="77777777" w:rsidR="00BC27E9" w:rsidRPr="00954407" w:rsidRDefault="00BC27E9" w:rsidP="00A360E6">
      <w:pPr>
        <w:pStyle w:val="EstilodePrrafoNormal1RdeC"/>
        <w:numPr>
          <w:ilvl w:val="0"/>
          <w:numId w:val="179"/>
        </w:numPr>
        <w:spacing w:after="240"/>
        <w:rPr>
          <w:color w:val="767171"/>
        </w:rPr>
      </w:pPr>
      <w:r w:rsidRPr="00A360E6">
        <w:rPr>
          <w:b/>
          <w:bCs/>
          <w:color w:val="767171"/>
        </w:rPr>
        <w:t>Equidad:</w:t>
      </w:r>
      <w:r w:rsidRPr="00954407">
        <w:rPr>
          <w:color w:val="767171"/>
        </w:rPr>
        <w:t> fomentando un ambiente de respeto e igualdad en el trato con nuestros relacionados.</w:t>
      </w:r>
    </w:p>
    <w:p w14:paraId="0AA6AB1A" w14:textId="77777777" w:rsidR="00BC27E9" w:rsidRPr="00954407" w:rsidRDefault="00BC27E9" w:rsidP="00A360E6">
      <w:pPr>
        <w:pStyle w:val="EstilodePrrafoNormal1RdeC"/>
        <w:numPr>
          <w:ilvl w:val="0"/>
          <w:numId w:val="179"/>
        </w:numPr>
        <w:spacing w:after="240"/>
        <w:rPr>
          <w:color w:val="767171"/>
        </w:rPr>
      </w:pPr>
      <w:r w:rsidRPr="00A360E6">
        <w:rPr>
          <w:b/>
          <w:bCs/>
          <w:color w:val="767171"/>
        </w:rPr>
        <w:t>Compromiso Social:</w:t>
      </w:r>
      <w:r w:rsidRPr="00954407">
        <w:rPr>
          <w:color w:val="767171"/>
        </w:rPr>
        <w:t> velando por las necesidades y demandas de todos los ciudadanos, trabajando en bien de su progreso y desarrollo.</w:t>
      </w:r>
    </w:p>
    <w:p w14:paraId="36FEB6A6" w14:textId="72CD47DD" w:rsidR="00BC27E9" w:rsidRPr="00CF3199" w:rsidRDefault="00BC27E9" w:rsidP="00F73212">
      <w:pPr>
        <w:pStyle w:val="Heading2"/>
        <w:rPr>
          <w:rFonts w:ascii="Times New Roman" w:hAnsi="Times New Roman" w:cs="Times New Roman"/>
          <w:b/>
          <w:bCs/>
          <w:color w:val="767171"/>
          <w:sz w:val="24"/>
          <w:szCs w:val="24"/>
        </w:rPr>
      </w:pPr>
      <w:bookmarkStart w:id="44" w:name="_Toc441696885"/>
      <w:bookmarkStart w:id="45" w:name="_Toc471986252"/>
      <w:bookmarkStart w:id="46" w:name="_Toc472434763"/>
      <w:bookmarkStart w:id="47" w:name="_Toc504947328"/>
      <w:bookmarkStart w:id="48" w:name="_Toc504947754"/>
      <w:bookmarkStart w:id="49" w:name="_Toc505070610"/>
      <w:bookmarkStart w:id="50" w:name="_Toc976994"/>
      <w:bookmarkStart w:id="51" w:name="_Toc1381783"/>
      <w:bookmarkStart w:id="52" w:name="_Toc1418532"/>
      <w:bookmarkStart w:id="53" w:name="_Toc217070878"/>
      <w:bookmarkStart w:id="54" w:name="_Toc217402116"/>
      <w:r w:rsidRPr="00CF3199">
        <w:rPr>
          <w:rFonts w:ascii="Times New Roman" w:hAnsi="Times New Roman" w:cs="Times New Roman"/>
          <w:b/>
          <w:bCs/>
          <w:color w:val="767171"/>
          <w:sz w:val="24"/>
          <w:szCs w:val="24"/>
        </w:rPr>
        <w:lastRenderedPageBreak/>
        <w:t>Base Legal</w:t>
      </w:r>
      <w:bookmarkEnd w:id="44"/>
      <w:bookmarkEnd w:id="45"/>
      <w:bookmarkEnd w:id="46"/>
      <w:bookmarkEnd w:id="47"/>
      <w:bookmarkEnd w:id="48"/>
      <w:bookmarkEnd w:id="49"/>
      <w:bookmarkEnd w:id="50"/>
      <w:bookmarkEnd w:id="51"/>
      <w:bookmarkEnd w:id="52"/>
      <w:bookmarkEnd w:id="53"/>
      <w:bookmarkEnd w:id="54"/>
    </w:p>
    <w:p w14:paraId="64B1CC9A" w14:textId="77777777" w:rsidR="00BC27E9" w:rsidRPr="00954407" w:rsidRDefault="00BC27E9" w:rsidP="00BC27E9">
      <w:pPr>
        <w:pStyle w:val="EstilodePrrafoNormal1RdeC"/>
        <w:rPr>
          <w:color w:val="767171"/>
        </w:rPr>
      </w:pPr>
    </w:p>
    <w:p w14:paraId="14032908" w14:textId="77777777" w:rsidR="00BC27E9" w:rsidRPr="00954407" w:rsidRDefault="00BC27E9" w:rsidP="00BC27E9">
      <w:pPr>
        <w:pStyle w:val="EstilodePrrafoNormal1RdeC"/>
      </w:pPr>
      <w:r w:rsidRPr="00954407">
        <w:t>El marco legal del Ministerio de Obras Públicas y Comunicaciones (MOPC), desde su creación en el año 1854 hasta la fecha, incluye la Constitución, Leyes, Decretos y Resoluciones emitidas por el gobierno, así como normativas y manuales de procedimientos que establecen el funcionamiento y políticas internas.  Las principales leyes y decretos que constituyen el marco legal de la institución se detallan a continuación:</w:t>
      </w:r>
    </w:p>
    <w:p w14:paraId="5849DFC3" w14:textId="77777777" w:rsidR="00BC27E9" w:rsidRPr="00954407" w:rsidRDefault="00BC27E9" w:rsidP="00BC27E9">
      <w:pPr>
        <w:pStyle w:val="EstilodePrrafoNormal1RdeC"/>
      </w:pPr>
    </w:p>
    <w:p w14:paraId="251A1D19" w14:textId="77777777" w:rsidR="00BC27E9" w:rsidRPr="00954407" w:rsidRDefault="00BC27E9" w:rsidP="00A360E6">
      <w:pPr>
        <w:pStyle w:val="EstilodePrrafoNormal1RdeC"/>
        <w:numPr>
          <w:ilvl w:val="0"/>
          <w:numId w:val="180"/>
        </w:numPr>
        <w:spacing w:after="240"/>
      </w:pPr>
      <w:r w:rsidRPr="00954407">
        <w:t xml:space="preserve">Decreto Núm. 340 de fecha 4 de mayo del año 1854, crea la Secretaría de Estado de Guerra, Marina y Obras Públicas, pero la reforma constitucional de noviembre de 1854 retoma la nomenclatura anterior y suprime la referencia a las obras públicas. Fue reinstituido permanentemente en el año 1887 como Secretaría de Estado de Fomento y Obras Públicas. </w:t>
      </w:r>
    </w:p>
    <w:p w14:paraId="715DFBAA" w14:textId="77777777" w:rsidR="00BC27E9" w:rsidRPr="00954407" w:rsidRDefault="00BC27E9" w:rsidP="00A360E6">
      <w:pPr>
        <w:pStyle w:val="EstilodePrrafoNormal1RdeC"/>
        <w:numPr>
          <w:ilvl w:val="0"/>
          <w:numId w:val="180"/>
        </w:numPr>
        <w:spacing w:after="240"/>
      </w:pPr>
      <w:r w:rsidRPr="00954407">
        <w:t>Reglamento Núm. 5269, de fecha 30 de julio del año 1913, Gaceta Oficial Núm. 2428, describe la organización del Departamento de Obras Públicas, dependiente de la Secretaría de Estado de Fomento y Comunicaciones. Para el año 1916, todavía tenía por nombre Secretaría de Estado de Fomento y Comunicaciones, estando encargada “del servicio postal de la República, del telégrafo y el teléfono nacional, de los faros y de las obras públicas efectuadas por el gobierno”.</w:t>
      </w:r>
    </w:p>
    <w:p w14:paraId="564C4D5B" w14:textId="77777777" w:rsidR="00BC27E9" w:rsidRPr="00954407" w:rsidRDefault="00BC27E9" w:rsidP="00A360E6">
      <w:pPr>
        <w:pStyle w:val="EstilodePrrafoNormal1RdeC"/>
        <w:numPr>
          <w:ilvl w:val="0"/>
          <w:numId w:val="180"/>
        </w:numPr>
        <w:spacing w:after="240"/>
      </w:pPr>
      <w:r w:rsidRPr="00954407">
        <w:t>Ley Núm.1146, de fecha 25 de mayo del año 1929, Gaceta Oficial Núm. 4098, que crea la Secretaría de Estado de Fomento y Obras Públicas y le asigna sus funciones.</w:t>
      </w:r>
    </w:p>
    <w:p w14:paraId="6FAF3F6B" w14:textId="77777777" w:rsidR="00BC27E9" w:rsidRPr="00954407" w:rsidRDefault="00BC27E9" w:rsidP="00A360E6">
      <w:pPr>
        <w:pStyle w:val="EstilodePrrafoNormal1RdeC"/>
        <w:numPr>
          <w:ilvl w:val="0"/>
          <w:numId w:val="180"/>
        </w:numPr>
        <w:spacing w:after="240"/>
      </w:pPr>
      <w:r w:rsidRPr="00954407">
        <w:t xml:space="preserve">Ley Núm. 1474, de fecha 22 de marzo del año 1938, Gaceta Oficial Núm. 5142, sobre Vías de Comunicaciones, mediante la cual se apodera a Obras Públicas de todo lo concerniente a las Vías </w:t>
      </w:r>
      <w:r w:rsidRPr="00954407">
        <w:lastRenderedPageBreak/>
        <w:t>Nacionales.</w:t>
      </w:r>
    </w:p>
    <w:p w14:paraId="53C8EC35" w14:textId="77777777" w:rsidR="00BC27E9" w:rsidRPr="00954407" w:rsidRDefault="00BC27E9" w:rsidP="00A360E6">
      <w:pPr>
        <w:pStyle w:val="EstilodePrrafoNormal1RdeC"/>
        <w:numPr>
          <w:ilvl w:val="0"/>
          <w:numId w:val="180"/>
        </w:numPr>
        <w:spacing w:after="240"/>
      </w:pPr>
      <w:r w:rsidRPr="00954407">
        <w:t>Ley Núm. 675, de fecha 31 de agosto del 1944, Gaceta Oficial Núm. 6138, sobre Urbanización, Ornato Público y Construcciones en la República Dominicana, establece las normas para el desarrollo de proyectos de urbanización, el mantenimiento del ornato público y las reglas para las construcciones, rigiendo la zonificación de terrenos, la regulación de edificaciones y la preservación de áreas públicas como parques y calles.</w:t>
      </w:r>
    </w:p>
    <w:p w14:paraId="3C2A84F7" w14:textId="77777777" w:rsidR="00BC27E9" w:rsidRPr="00954407" w:rsidRDefault="00BC27E9" w:rsidP="00A360E6">
      <w:pPr>
        <w:pStyle w:val="EstilodePrrafoNormal1RdeC"/>
        <w:numPr>
          <w:ilvl w:val="0"/>
          <w:numId w:val="180"/>
        </w:numPr>
        <w:spacing w:after="240"/>
      </w:pPr>
      <w:r w:rsidRPr="00954407">
        <w:t>Ley Núm. 118, de fecha 1ero. de febrero del año 1956, Gaceta Oficial Núm. 8970, sobre Telecomunicaciones, crea la Dirección General de Telecomunicaciones.</w:t>
      </w:r>
    </w:p>
    <w:p w14:paraId="01E068D3" w14:textId="77777777" w:rsidR="00BC27E9" w:rsidRPr="00954407" w:rsidRDefault="00BC27E9" w:rsidP="00A360E6">
      <w:pPr>
        <w:pStyle w:val="EstilodePrrafoNormal1RdeC"/>
        <w:numPr>
          <w:ilvl w:val="0"/>
          <w:numId w:val="180"/>
        </w:numPr>
        <w:spacing w:after="240"/>
      </w:pPr>
      <w:r w:rsidRPr="00954407">
        <w:t>Ley Orgánica Núm. 4378, de fecha 10 de febrero del año 1956, es la que establece las bases para la organización y definición de las funciones de las Secretarías de Estado, permitiendo que el Presidente de la República asuma temporalmente las funciones de una o varias de ellas en caso de vacante. Publicada en la Gaceta Oficial Núm. 7947 del 18 de febrero del año 1956.</w:t>
      </w:r>
    </w:p>
    <w:p w14:paraId="4C2BD758" w14:textId="77777777" w:rsidR="00BC27E9" w:rsidRPr="00954407" w:rsidRDefault="00BC27E9" w:rsidP="00A360E6">
      <w:pPr>
        <w:pStyle w:val="EstilodePrrafoNormal1RdeC"/>
        <w:numPr>
          <w:ilvl w:val="0"/>
          <w:numId w:val="180"/>
        </w:numPr>
        <w:spacing w:after="240"/>
      </w:pPr>
      <w:r w:rsidRPr="00954407">
        <w:t>Decreto Núm. 1489, de fecha 11 de febrero del año 1956 y sus modificaciones, Gaceta Oficial Núm. 7947, sobre funciones a cargo de la Secretaría de Estado.</w:t>
      </w:r>
    </w:p>
    <w:p w14:paraId="6606EBE7" w14:textId="77777777" w:rsidR="00BC27E9" w:rsidRPr="00954407" w:rsidRDefault="00BC27E9" w:rsidP="00A360E6">
      <w:pPr>
        <w:pStyle w:val="EstilodePrrafoNormal1RdeC"/>
        <w:numPr>
          <w:ilvl w:val="0"/>
          <w:numId w:val="180"/>
        </w:numPr>
        <w:spacing w:after="240"/>
      </w:pPr>
      <w:r w:rsidRPr="00954407">
        <w:t>Decreto Núm. 5406, de fecha 28 de noviembre del año 1959, Gaceta Oficial Núm. 8438, que la denomina Secretaría de Estado de Obras Públicas y Comunicaciones.</w:t>
      </w:r>
    </w:p>
    <w:p w14:paraId="17DF2A06" w14:textId="77777777" w:rsidR="00BC27E9" w:rsidRPr="00954407" w:rsidRDefault="00BC27E9" w:rsidP="00A360E6">
      <w:pPr>
        <w:pStyle w:val="EstilodePrrafoNormal1RdeC"/>
        <w:numPr>
          <w:ilvl w:val="0"/>
          <w:numId w:val="180"/>
        </w:numPr>
        <w:spacing w:after="240"/>
      </w:pPr>
      <w:r w:rsidRPr="00954407">
        <w:t>Ley Núm. 55, de fecha 22 de noviembre del año 1965, Gaceta Oficial Núm. 8958, establece la creación de Oficinas de Programación en los diferentes Ministerios e Instituciones Autónomas, con la finalidad de que brinden asesoría a los ejecutivos de dichas instituciones.</w:t>
      </w:r>
    </w:p>
    <w:p w14:paraId="4C22F564" w14:textId="77777777" w:rsidR="00BC27E9" w:rsidRPr="00954407" w:rsidRDefault="00BC27E9" w:rsidP="00A360E6">
      <w:pPr>
        <w:pStyle w:val="EstilodePrrafoNormal1RdeC"/>
        <w:numPr>
          <w:ilvl w:val="0"/>
          <w:numId w:val="180"/>
        </w:numPr>
        <w:spacing w:after="240"/>
      </w:pPr>
      <w:r w:rsidRPr="00954407">
        <w:lastRenderedPageBreak/>
        <w:t>Ley Núm. 165, de fecha 28 de marzo del año 1966, Gaceta Oficial Núm. 8987, que crea la Dirección General de Tránsito Terrestre. Constitución Política de la República, reformada el 14 de agosto del 1994, Gaceta Oficial Núm. 9890.</w:t>
      </w:r>
    </w:p>
    <w:p w14:paraId="7616AC00" w14:textId="77777777" w:rsidR="00BC27E9" w:rsidRPr="00954407" w:rsidRDefault="00BC27E9" w:rsidP="00A360E6">
      <w:pPr>
        <w:pStyle w:val="EstilodePrrafoNormal1RdeC"/>
        <w:numPr>
          <w:ilvl w:val="0"/>
          <w:numId w:val="180"/>
        </w:numPr>
        <w:spacing w:after="240"/>
      </w:pPr>
      <w:r w:rsidRPr="00954407">
        <w:t>Ley Núm. 8, de fecha 15 de noviembre del año 1978, Gaceta Oficial Núm. 9489, que adscribe la Comisión Aeroportuaria a la Secretaría de Estado de Obras Públicas y Comunicaciones.</w:t>
      </w:r>
    </w:p>
    <w:p w14:paraId="21FED206" w14:textId="77777777" w:rsidR="00BC27E9" w:rsidRPr="00954407" w:rsidRDefault="00BC27E9" w:rsidP="00A360E6">
      <w:pPr>
        <w:pStyle w:val="EstilodePrrafoNormal1RdeC"/>
        <w:numPr>
          <w:ilvl w:val="0"/>
          <w:numId w:val="180"/>
        </w:numPr>
        <w:spacing w:after="240"/>
      </w:pPr>
      <w:r w:rsidRPr="00954407">
        <w:t xml:space="preserve">Ley Núm. 687, de fecha 27 de julio del año 1982, Gaceta Oficial Núm. 9593, que crea la Dirección General de Reglamentos y Sistemas. </w:t>
      </w:r>
    </w:p>
    <w:p w14:paraId="770B719E" w14:textId="77777777" w:rsidR="00BC27E9" w:rsidRPr="00954407" w:rsidRDefault="00BC27E9" w:rsidP="00A360E6">
      <w:pPr>
        <w:pStyle w:val="EstilodePrrafoNormal1RdeC"/>
        <w:numPr>
          <w:ilvl w:val="0"/>
          <w:numId w:val="180"/>
        </w:numPr>
        <w:spacing w:after="240"/>
      </w:pPr>
      <w:r w:rsidRPr="00954407">
        <w:t xml:space="preserve">Decreto No. 44, de fecha 17 de febrero del año 1999, Gaceta Oficial Núm. 10008, que crea la Dirección General de Control, Mantenimiento y Supervisión del Sistema de Peajes Nacionales. </w:t>
      </w:r>
    </w:p>
    <w:p w14:paraId="22A75675" w14:textId="77777777" w:rsidR="00BC27E9" w:rsidRPr="00954407" w:rsidRDefault="00BC27E9" w:rsidP="00A360E6">
      <w:pPr>
        <w:pStyle w:val="EstilodePrrafoNormal1RdeC"/>
        <w:numPr>
          <w:ilvl w:val="0"/>
          <w:numId w:val="180"/>
        </w:numPr>
        <w:spacing w:after="240"/>
      </w:pPr>
      <w:r w:rsidRPr="00954407">
        <w:t>Ley Núm. 498-06, de fecha 28 de noviembre del año 2006, que establece el Sistema Nacional de Planificación e Inversión Pública, por la cual se cambia la nomenclatura de la Dirección General de Planificación y Programación de Inversiones por Dirección General de Planificación y Desarrollo.</w:t>
      </w:r>
    </w:p>
    <w:p w14:paraId="5BF0026E" w14:textId="77777777" w:rsidR="00BC27E9" w:rsidRPr="00954407" w:rsidRDefault="00BC27E9" w:rsidP="00A360E6">
      <w:pPr>
        <w:pStyle w:val="EstilodePrrafoNormal1RdeC"/>
        <w:numPr>
          <w:ilvl w:val="0"/>
          <w:numId w:val="180"/>
        </w:numPr>
        <w:spacing w:after="240"/>
      </w:pPr>
      <w:r w:rsidRPr="00954407">
        <w:t>Decreto No 896-09, de fecha 15 de noviembre del año 2009, que crea la Dirección General de Estudios, Diseños de Infraestructura y Presupuestos y la Dirección General de Operaciones y Mantenimiento Vial y deroga el Decreto 326-87 del 18 de junio de 1987, en sus artículos 1, 2, 3, 5 y 6, así como el Decreto No. 435-96 del 12 de septiembre de 1996, en todas sus partes. Estableció un cambio en la estructura orgánica del Ministerio de Obras Públicas y Comunicaciones.</w:t>
      </w:r>
    </w:p>
    <w:p w14:paraId="330027BC" w14:textId="77777777" w:rsidR="00BC27E9" w:rsidRPr="00954407" w:rsidRDefault="00BC27E9" w:rsidP="00A360E6">
      <w:pPr>
        <w:pStyle w:val="EstilodePrrafoNormal1RdeC"/>
        <w:numPr>
          <w:ilvl w:val="0"/>
          <w:numId w:val="180"/>
        </w:numPr>
        <w:spacing w:after="240"/>
      </w:pPr>
      <w:r w:rsidRPr="00954407">
        <w:t xml:space="preserve">Decreto 56-10 de fecha 8 de febrero del año 2010, dispone que las </w:t>
      </w:r>
      <w:r w:rsidRPr="00954407">
        <w:lastRenderedPageBreak/>
        <w:t>Secretarías de Estado pasarán a denominarse Ministerios; la Secretaría de Estado de Obras Públicas y Comunicaciones, se denomina Ministerio de Obras Públicas y Comunicaciones (MOPC).</w:t>
      </w:r>
    </w:p>
    <w:p w14:paraId="4E9C1659" w14:textId="77777777" w:rsidR="00BC27E9" w:rsidRPr="00954407" w:rsidRDefault="00BC27E9" w:rsidP="00A360E6">
      <w:pPr>
        <w:pStyle w:val="EstilodePrrafoNormal1RdeC"/>
        <w:numPr>
          <w:ilvl w:val="0"/>
          <w:numId w:val="180"/>
        </w:numPr>
        <w:spacing w:after="240"/>
      </w:pPr>
      <w:r w:rsidRPr="00954407">
        <w:t>Constitución de la República Dominicana de fecha 13 de junio del año 2015, publicada en la Gaceta Oficial No. 10805 de fecha 10 de julio de 2015.</w:t>
      </w:r>
    </w:p>
    <w:p w14:paraId="33E71227" w14:textId="77777777" w:rsidR="00BC27E9" w:rsidRPr="00954407" w:rsidRDefault="00BC27E9" w:rsidP="00A360E6">
      <w:pPr>
        <w:pStyle w:val="EstilodePrrafoNormal1RdeC"/>
        <w:numPr>
          <w:ilvl w:val="0"/>
          <w:numId w:val="180"/>
        </w:numPr>
        <w:spacing w:after="240"/>
      </w:pPr>
      <w:r w:rsidRPr="00954407">
        <w:t>Ley 63-17, de fecha 21 de febrero del año 2017, que crea el Instituto Nacional de Tránsito y Transporte Terrestre (INTRANT), como organismo rector del sistema de movilidad, transporte terrestre, tránsito y seguridad vial de la República Dominicana, adscrito al Ministerio de Obras Públicas y Comunicaciones (MOPC).</w:t>
      </w:r>
    </w:p>
    <w:p w14:paraId="42B0230E" w14:textId="77777777" w:rsidR="00BC27E9" w:rsidRPr="00954407" w:rsidRDefault="00BC27E9" w:rsidP="00BC27E9">
      <w:pPr>
        <w:pStyle w:val="EstilodePrrafoNormal1RdeC"/>
      </w:pPr>
    </w:p>
    <w:p w14:paraId="7A3DB576" w14:textId="0BBD85D2" w:rsidR="00BC27E9" w:rsidRPr="00954407" w:rsidRDefault="00BC27E9" w:rsidP="00BC27E9">
      <w:pPr>
        <w:pStyle w:val="EstilodePrrafoNormal1RdeC"/>
      </w:pPr>
      <w:r w:rsidRPr="00954407">
        <w:t>2.2.1</w:t>
      </w:r>
      <w:r w:rsidR="00F73212">
        <w:t xml:space="preserve"> </w:t>
      </w:r>
      <w:r w:rsidRPr="00954407">
        <w:t>Otras Leyes y Decretos</w:t>
      </w:r>
    </w:p>
    <w:p w14:paraId="2C6766DB" w14:textId="77777777" w:rsidR="00BC27E9" w:rsidRPr="00954407" w:rsidRDefault="00BC27E9" w:rsidP="00BC27E9">
      <w:pPr>
        <w:pStyle w:val="EstilodePrrafoNormal1RdeC"/>
      </w:pPr>
    </w:p>
    <w:p w14:paraId="15E1A41F" w14:textId="77777777" w:rsidR="00BC27E9" w:rsidRPr="00954407" w:rsidRDefault="00BC27E9" w:rsidP="00A360E6">
      <w:pPr>
        <w:pStyle w:val="EstilodePrrafoNormal1RdeC"/>
        <w:numPr>
          <w:ilvl w:val="0"/>
          <w:numId w:val="181"/>
        </w:numPr>
        <w:spacing w:after="240"/>
      </w:pPr>
      <w:r w:rsidRPr="00954407">
        <w:t>Ley Núm. 687-82, de fecha 27 de julio del año 1982, y sus Reglamentos R-004 y R-021, que crea la Dirección General de Reglamentos y Sistemas, publicada en la Gaceta Oficial No. 9593 de esa fecha, y tiene como objetivo principal crear un sistema de reglamentación técnica para la ingeniería, la arquitectura y ramas afines.</w:t>
      </w:r>
    </w:p>
    <w:p w14:paraId="24EBF303" w14:textId="77777777" w:rsidR="00BC27E9" w:rsidRPr="00954407" w:rsidRDefault="00BC27E9" w:rsidP="00A360E6">
      <w:pPr>
        <w:pStyle w:val="EstilodePrrafoNormal1RdeC"/>
        <w:numPr>
          <w:ilvl w:val="0"/>
          <w:numId w:val="181"/>
        </w:numPr>
        <w:spacing w:after="240"/>
      </w:pPr>
      <w:r w:rsidRPr="00954407">
        <w:t>Ley Núm. 247-12, de fecha 09 de agosto del año 2012, que establece los principios rectores y las normas básicas para la organización y el funcionamiento de la Administración Pública, fue reglamentada mediante el </w:t>
      </w:r>
      <w:hyperlink r:id="rId14" w:tgtFrame="_blank" w:history="1">
        <w:r w:rsidRPr="00954407">
          <w:t>Decreto 353-24</w:t>
        </w:r>
      </w:hyperlink>
      <w:r w:rsidRPr="00954407">
        <w:t xml:space="preserve">, de fecha 29 de junio del año 2024 y publicado en la Gaceta Oficial. No. 11155. La Ley Orgánica de Administración Pública Núm. 247-12 ha derogado la Ley Orgánica Núm. 4378 en su totalidad. </w:t>
      </w:r>
    </w:p>
    <w:p w14:paraId="6485C82D" w14:textId="77777777" w:rsidR="00BC27E9" w:rsidRPr="00954407" w:rsidRDefault="00BC27E9" w:rsidP="00A360E6">
      <w:pPr>
        <w:pStyle w:val="EstilodePrrafoNormal1RdeC"/>
        <w:numPr>
          <w:ilvl w:val="0"/>
          <w:numId w:val="181"/>
        </w:numPr>
        <w:spacing w:after="240"/>
      </w:pPr>
      <w:r w:rsidRPr="00954407">
        <w:t xml:space="preserve">Reforma a la Constitución de la República Dominicana de fecha 27 </w:t>
      </w:r>
      <w:r w:rsidRPr="00954407">
        <w:lastRenderedPageBreak/>
        <w:t>de octubre del año 2024, es la versión reformada de la carta magna, proclamada por la Asamblea Nacional y publicada en la Gaceta Oficial No. 11170 de fecha 31 de octubre del año 2024.</w:t>
      </w:r>
    </w:p>
    <w:p w14:paraId="7B5D4700" w14:textId="77777777" w:rsidR="00BC27E9" w:rsidRPr="00954407" w:rsidRDefault="00BC27E9" w:rsidP="00BC27E9">
      <w:pPr>
        <w:pStyle w:val="EstilodePrrafoNormal1RdeC"/>
      </w:pPr>
    </w:p>
    <w:p w14:paraId="4479D757" w14:textId="2D2E4B91" w:rsidR="00BC27E9" w:rsidRPr="00CF3199" w:rsidRDefault="00BC27E9" w:rsidP="00F73212">
      <w:pPr>
        <w:pStyle w:val="Heading2"/>
        <w:rPr>
          <w:rFonts w:ascii="Times New Roman" w:hAnsi="Times New Roman" w:cs="Times New Roman"/>
          <w:b/>
          <w:bCs/>
          <w:color w:val="767171"/>
          <w:sz w:val="24"/>
          <w:szCs w:val="24"/>
        </w:rPr>
      </w:pPr>
      <w:bookmarkStart w:id="55" w:name="_Toc217070879"/>
      <w:bookmarkStart w:id="56" w:name="_Toc217402117"/>
      <w:r w:rsidRPr="00CF3199">
        <w:rPr>
          <w:rFonts w:ascii="Times New Roman" w:hAnsi="Times New Roman" w:cs="Times New Roman"/>
          <w:b/>
          <w:bCs/>
          <w:color w:val="767171"/>
          <w:sz w:val="24"/>
          <w:szCs w:val="24"/>
        </w:rPr>
        <w:t>Estructura Organizativa</w:t>
      </w:r>
      <w:bookmarkEnd w:id="55"/>
      <w:bookmarkEnd w:id="56"/>
    </w:p>
    <w:p w14:paraId="114706B1" w14:textId="77777777" w:rsidR="00BC27E9" w:rsidRPr="00954407" w:rsidRDefault="00BC27E9" w:rsidP="00BC27E9">
      <w:pPr>
        <w:pStyle w:val="EstilodePrrafoNormal1RdeC"/>
        <w:rPr>
          <w:rFonts w:eastAsia="Calibri"/>
          <w:spacing w:val="0"/>
        </w:rPr>
      </w:pPr>
    </w:p>
    <w:p w14:paraId="6CD85EDC" w14:textId="77777777" w:rsidR="00BC27E9" w:rsidRPr="00954407" w:rsidRDefault="00BC27E9" w:rsidP="00BC27E9">
      <w:pPr>
        <w:pStyle w:val="EstilodePrrafoNormal1RdeC"/>
        <w:rPr>
          <w:rFonts w:eastAsia="Calibri"/>
          <w:color w:val="767171"/>
        </w:rPr>
      </w:pPr>
      <w:r w:rsidRPr="00954407">
        <w:rPr>
          <w:rFonts w:eastAsia="Calibri"/>
          <w:color w:val="767171"/>
        </w:rPr>
        <w:t xml:space="preserve">La estructura organizativa vigente del Ministerio de Obras Públicas y Comunicaciones (MOPC), está compuesta por las unidades siguientes: 1. Unidades Normativas o de Máxima Dirección: Ministro de Obras Públicas y Comunicaciones; 2. Unidades Asesoras Administrativas; 3. Unidades Auxiliares o de Apoyo; 4. Unidades Asesoras Técnicas; 5. Unidades Sustantivas u Operativas: compuestas por seis (6) viceministerios, denominados: Planificación y Regulación Técnica, Infraestructura Sectorial, Infraestructura Vial, Mantenimiento Vial, Supervisión y Fiscalización y Coordinación Regional, los cuales incluyen las Direcciones  Generales correspondientes a sus funciones. Además, se aprueban las dependencias siguientes: a) Oficina Coordinadora General de Proyectos del Fideicomiso RD-Vial; y, b) Dirección de Asistencia y Protección Vial, entre otras.   </w:t>
      </w:r>
    </w:p>
    <w:p w14:paraId="43BBFE5B" w14:textId="77777777" w:rsidR="00BC27E9" w:rsidRPr="00954407" w:rsidRDefault="00BC27E9" w:rsidP="00BC27E9">
      <w:pPr>
        <w:pStyle w:val="EstilodePrrafoNormal1RdeC"/>
        <w:rPr>
          <w:rFonts w:eastAsia="Calibri"/>
          <w:color w:val="767171"/>
        </w:rPr>
      </w:pPr>
    </w:p>
    <w:p w14:paraId="5C09523A" w14:textId="431F564A" w:rsidR="00BC27E9" w:rsidRPr="00954407" w:rsidRDefault="00BC27E9" w:rsidP="00BC27E9">
      <w:pPr>
        <w:pStyle w:val="EstilodePrrafoNormal1RdeC"/>
        <w:rPr>
          <w:rFonts w:eastAsia="Calibri"/>
          <w:color w:val="767171"/>
        </w:rPr>
      </w:pPr>
      <w:r w:rsidRPr="00954407">
        <w:rPr>
          <w:rFonts w:eastAsia="Calibri"/>
          <w:color w:val="767171"/>
        </w:rPr>
        <w:t xml:space="preserve">La estructura organizativa del MOPC fue aprobada formalmente por el Ministerio de Administración Pública (MAP), mediante la Resolución Núm. 0014/2018 de fecha 22 de agosto del 2018. Adicionalmente, fue aprobado el Manual de Cargos Comunes y Típicos del Ministerio, con el objetivo de disponer de servidores públicos idóneos para alcanzar el eficaz cumplimiento de la misión institucional y el desarrollo sostenible de nuestras funciones como ministerio. La resolución Núm. 004/2022 que aprueba el Manual de Organización y Funciones del MOPC en fecha 27 de septiembre del 2022, detalla todas las funciones de las unidades </w:t>
      </w:r>
      <w:r w:rsidRPr="00954407">
        <w:rPr>
          <w:rFonts w:eastAsia="Calibri"/>
          <w:color w:val="767171"/>
        </w:rPr>
        <w:lastRenderedPageBreak/>
        <w:t>organizativas que conforman este Ministerio.</w:t>
      </w:r>
    </w:p>
    <w:p w14:paraId="6CA46624" w14:textId="77777777" w:rsidR="00BC27E9" w:rsidRPr="00954407" w:rsidRDefault="00BC27E9" w:rsidP="00BC27E9">
      <w:pPr>
        <w:pStyle w:val="EstilodePrrafoNormal1RdeC"/>
        <w:rPr>
          <w:rFonts w:eastAsia="Calibri"/>
          <w:color w:val="767171"/>
        </w:rPr>
      </w:pPr>
    </w:p>
    <w:p w14:paraId="79EF6291" w14:textId="43E9DF29" w:rsidR="00BC27E9" w:rsidRPr="00954407" w:rsidRDefault="00BC27E9" w:rsidP="00BC27E9">
      <w:pPr>
        <w:pStyle w:val="EstilodePrrafoNormal1RdeC"/>
        <w:rPr>
          <w:rFonts w:eastAsia="Calibri"/>
        </w:rPr>
      </w:pPr>
      <w:r w:rsidRPr="00954407">
        <w:rPr>
          <w:rFonts w:eastAsia="Calibri"/>
        </w:rPr>
        <w:t>A continuación, se presenta la Estructura Organizativa vigente del MOPC:</w:t>
      </w:r>
    </w:p>
    <w:p w14:paraId="6FA55FAA" w14:textId="5A0A7BF7" w:rsidR="00BC27E9" w:rsidRPr="00954407" w:rsidRDefault="00BC27E9" w:rsidP="00BC27E9">
      <w:pPr>
        <w:pStyle w:val="EstilodePrrafoNormal1RdeC"/>
      </w:pPr>
    </w:p>
    <w:p w14:paraId="3653FADD" w14:textId="668DB8C5" w:rsidR="00BC27E9" w:rsidRPr="00954407" w:rsidRDefault="00A360E6" w:rsidP="00BC27E9">
      <w:pPr>
        <w:pStyle w:val="EstilodePrrafoNormal1RdeC"/>
      </w:pPr>
      <w:r w:rsidRPr="00954407">
        <w:rPr>
          <w:noProof/>
          <w:lang w:eastAsia="es-DO"/>
        </w:rPr>
        <w:drawing>
          <wp:anchor distT="0" distB="0" distL="114300" distR="114300" simplePos="0" relativeHeight="251705344" behindDoc="0" locked="0" layoutInCell="1" allowOverlap="1" wp14:anchorId="4BB292DF" wp14:editId="5F81C4B2">
            <wp:simplePos x="0" y="0"/>
            <wp:positionH relativeFrom="column">
              <wp:posOffset>-844510</wp:posOffset>
            </wp:positionH>
            <wp:positionV relativeFrom="paragraph">
              <wp:posOffset>227370</wp:posOffset>
            </wp:positionV>
            <wp:extent cx="6845300" cy="5900339"/>
            <wp:effectExtent l="0" t="3493" r="0" b="0"/>
            <wp:wrapNone/>
            <wp:docPr id="1398926617" name="Imagen 139892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26617" name="Organigrama-Mopc.png"/>
                    <pic:cNvPicPr/>
                  </pic:nvPicPr>
                  <pic:blipFill rotWithShape="1">
                    <a:blip r:embed="rId15">
                      <a:extLst>
                        <a:ext uri="{28A0092B-C50C-407E-A947-70E740481C1C}">
                          <a14:useLocalDpi xmlns:a14="http://schemas.microsoft.com/office/drawing/2010/main" val="0"/>
                        </a:ext>
                      </a:extLst>
                    </a:blip>
                    <a:srcRect l="5291" r="5001"/>
                    <a:stretch/>
                  </pic:blipFill>
                  <pic:spPr bwMode="auto">
                    <a:xfrm rot="16200000">
                      <a:off x="0" y="0"/>
                      <a:ext cx="6847717" cy="59024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CBBEBC" w14:textId="75B7BEAB" w:rsidR="00BC27E9" w:rsidRPr="00A360E6" w:rsidRDefault="00BC27E9" w:rsidP="00BC27E9">
      <w:pPr>
        <w:pStyle w:val="EstilodePrrafoNormal1RdeC"/>
        <w:rPr>
          <w:noProof/>
          <w:lang w:val="es-DO"/>
        </w:rPr>
      </w:pPr>
      <w:bookmarkStart w:id="57" w:name="_Toc441696886"/>
      <w:bookmarkStart w:id="58" w:name="_Toc471986253"/>
      <w:bookmarkStart w:id="59" w:name="_Toc472434764"/>
      <w:bookmarkStart w:id="60" w:name="_Toc504947329"/>
      <w:bookmarkStart w:id="61" w:name="_Toc504947755"/>
      <w:bookmarkStart w:id="62" w:name="_Toc505070611"/>
      <w:bookmarkStart w:id="63" w:name="_Toc976995"/>
      <w:bookmarkStart w:id="64" w:name="_Toc1381784"/>
      <w:bookmarkStart w:id="65" w:name="_Toc1418533"/>
    </w:p>
    <w:p w14:paraId="796112F4" w14:textId="00529C58" w:rsidR="00BC27E9" w:rsidRDefault="00BC27E9" w:rsidP="00BC27E9">
      <w:pPr>
        <w:pStyle w:val="EstilodePrrafoNormal1RdeC"/>
        <w:rPr>
          <w:noProof/>
          <w:lang w:val="es-DO"/>
        </w:rPr>
      </w:pPr>
    </w:p>
    <w:p w14:paraId="019D9935" w14:textId="5B413955" w:rsidR="00A360E6" w:rsidRDefault="00A360E6" w:rsidP="00BC27E9">
      <w:pPr>
        <w:pStyle w:val="EstilodePrrafoNormal1RdeC"/>
        <w:rPr>
          <w:noProof/>
          <w:lang w:val="es-DO"/>
        </w:rPr>
      </w:pPr>
    </w:p>
    <w:p w14:paraId="4A2AF028" w14:textId="097AC710" w:rsidR="00A360E6" w:rsidRDefault="00A360E6" w:rsidP="00BC27E9">
      <w:pPr>
        <w:pStyle w:val="EstilodePrrafoNormal1RdeC"/>
        <w:rPr>
          <w:noProof/>
          <w:lang w:val="es-DO"/>
        </w:rPr>
      </w:pPr>
    </w:p>
    <w:p w14:paraId="39EE9D0C" w14:textId="3AFEABB1" w:rsidR="00A360E6" w:rsidRDefault="00A360E6" w:rsidP="00BC27E9">
      <w:pPr>
        <w:pStyle w:val="EstilodePrrafoNormal1RdeC"/>
        <w:rPr>
          <w:noProof/>
          <w:lang w:val="es-DO"/>
        </w:rPr>
      </w:pPr>
    </w:p>
    <w:p w14:paraId="6586869C" w14:textId="44B16DFB" w:rsidR="00A360E6" w:rsidRDefault="00A360E6" w:rsidP="00BC27E9">
      <w:pPr>
        <w:pStyle w:val="EstilodePrrafoNormal1RdeC"/>
        <w:rPr>
          <w:noProof/>
          <w:lang w:val="es-DO"/>
        </w:rPr>
      </w:pPr>
    </w:p>
    <w:p w14:paraId="5E46C3A6" w14:textId="36B3BF4C" w:rsidR="00A360E6" w:rsidRDefault="00A360E6" w:rsidP="00BC27E9">
      <w:pPr>
        <w:pStyle w:val="EstilodePrrafoNormal1RdeC"/>
        <w:rPr>
          <w:noProof/>
          <w:lang w:val="es-DO"/>
        </w:rPr>
      </w:pPr>
    </w:p>
    <w:p w14:paraId="567DD559" w14:textId="12181E11" w:rsidR="00A360E6" w:rsidRDefault="00A360E6" w:rsidP="00BC27E9">
      <w:pPr>
        <w:pStyle w:val="EstilodePrrafoNormal1RdeC"/>
        <w:rPr>
          <w:noProof/>
          <w:lang w:val="es-DO"/>
        </w:rPr>
      </w:pPr>
    </w:p>
    <w:p w14:paraId="11AFCC0E" w14:textId="19D45FA3" w:rsidR="00A360E6" w:rsidRDefault="00A360E6" w:rsidP="00BC27E9">
      <w:pPr>
        <w:pStyle w:val="EstilodePrrafoNormal1RdeC"/>
        <w:rPr>
          <w:noProof/>
          <w:lang w:val="es-DO"/>
        </w:rPr>
      </w:pPr>
    </w:p>
    <w:p w14:paraId="03762217" w14:textId="7125EAA7" w:rsidR="00A360E6" w:rsidRDefault="00A360E6" w:rsidP="00BC27E9">
      <w:pPr>
        <w:pStyle w:val="EstilodePrrafoNormal1RdeC"/>
        <w:rPr>
          <w:noProof/>
          <w:lang w:val="es-DO"/>
        </w:rPr>
      </w:pPr>
    </w:p>
    <w:p w14:paraId="22FE1912" w14:textId="77777777" w:rsidR="00A360E6" w:rsidRDefault="00A360E6" w:rsidP="00BC27E9">
      <w:pPr>
        <w:pStyle w:val="EstilodePrrafoNormal1RdeC"/>
        <w:rPr>
          <w:noProof/>
          <w:lang w:val="es-DO"/>
        </w:rPr>
      </w:pPr>
    </w:p>
    <w:p w14:paraId="72D40DB5" w14:textId="3FE098FD" w:rsidR="00A360E6" w:rsidRDefault="00A360E6" w:rsidP="00BC27E9">
      <w:pPr>
        <w:pStyle w:val="EstilodePrrafoNormal1RdeC"/>
        <w:rPr>
          <w:noProof/>
          <w:lang w:val="es-DO"/>
        </w:rPr>
      </w:pPr>
    </w:p>
    <w:p w14:paraId="5498D638" w14:textId="663ACD92" w:rsidR="00A360E6" w:rsidRDefault="00A360E6" w:rsidP="00BC27E9">
      <w:pPr>
        <w:pStyle w:val="EstilodePrrafoNormal1RdeC"/>
        <w:rPr>
          <w:noProof/>
          <w:lang w:val="es-DO"/>
        </w:rPr>
      </w:pPr>
    </w:p>
    <w:p w14:paraId="0500489F" w14:textId="78EE0237" w:rsidR="00A360E6" w:rsidRDefault="00A360E6" w:rsidP="00BC27E9">
      <w:pPr>
        <w:pStyle w:val="EstilodePrrafoNormal1RdeC"/>
        <w:rPr>
          <w:noProof/>
          <w:lang w:val="es-DO"/>
        </w:rPr>
      </w:pPr>
    </w:p>
    <w:p w14:paraId="3D1630B9" w14:textId="77777777" w:rsidR="00A360E6" w:rsidRDefault="00A360E6" w:rsidP="00BC27E9">
      <w:pPr>
        <w:pStyle w:val="EstilodePrrafoNormal1RdeC"/>
        <w:rPr>
          <w:noProof/>
          <w:lang w:val="es-DO"/>
        </w:rPr>
      </w:pPr>
    </w:p>
    <w:p w14:paraId="23D9134C" w14:textId="77777777" w:rsidR="00A360E6" w:rsidRDefault="00A360E6" w:rsidP="00BC27E9">
      <w:pPr>
        <w:pStyle w:val="EstilodePrrafoNormal1RdeC"/>
        <w:rPr>
          <w:noProof/>
          <w:lang w:val="es-DO"/>
        </w:rPr>
      </w:pPr>
    </w:p>
    <w:p w14:paraId="1C695B64" w14:textId="77777777" w:rsidR="00A360E6" w:rsidRDefault="00A360E6" w:rsidP="00BC27E9">
      <w:pPr>
        <w:pStyle w:val="EstilodePrrafoNormal1RdeC"/>
        <w:rPr>
          <w:noProof/>
          <w:lang w:val="es-DO"/>
        </w:rPr>
      </w:pPr>
    </w:p>
    <w:p w14:paraId="0CC26F03" w14:textId="77777777" w:rsidR="00A360E6" w:rsidRDefault="00A360E6" w:rsidP="00BC27E9">
      <w:pPr>
        <w:pStyle w:val="EstilodePrrafoNormal1RdeC"/>
        <w:rPr>
          <w:noProof/>
          <w:lang w:val="es-DO"/>
        </w:rPr>
      </w:pPr>
    </w:p>
    <w:p w14:paraId="42C51162" w14:textId="5A77FD4D" w:rsidR="00A360E6" w:rsidRDefault="00A360E6" w:rsidP="00BC27E9">
      <w:pPr>
        <w:pStyle w:val="EstilodePrrafoNormal1RdeC"/>
        <w:rPr>
          <w:noProof/>
          <w:lang w:val="es-DO"/>
        </w:rPr>
      </w:pPr>
    </w:p>
    <w:p w14:paraId="25820A4B" w14:textId="77777777" w:rsidR="00A360E6" w:rsidRDefault="00A360E6" w:rsidP="00BC27E9">
      <w:pPr>
        <w:pStyle w:val="EstilodePrrafoNormal1RdeC"/>
        <w:rPr>
          <w:noProof/>
          <w:lang w:val="es-DO"/>
        </w:rPr>
      </w:pPr>
    </w:p>
    <w:p w14:paraId="6B0D93D8" w14:textId="77777777" w:rsidR="00A360E6" w:rsidRDefault="00A360E6" w:rsidP="00BC27E9">
      <w:pPr>
        <w:pStyle w:val="EstilodePrrafoNormal1RdeC"/>
        <w:rPr>
          <w:noProof/>
          <w:lang w:val="es-DO"/>
        </w:rPr>
      </w:pPr>
    </w:p>
    <w:p w14:paraId="71C322E8" w14:textId="77777777" w:rsidR="00A360E6" w:rsidRPr="00A360E6" w:rsidRDefault="00A360E6" w:rsidP="00BC27E9">
      <w:pPr>
        <w:pStyle w:val="EstilodePrrafoNormal1RdeC"/>
        <w:rPr>
          <w:noProof/>
          <w:lang w:val="es-DO"/>
        </w:rPr>
      </w:pPr>
    </w:p>
    <w:p w14:paraId="1C21009F" w14:textId="77777777" w:rsidR="00BC27E9" w:rsidRPr="00A360E6" w:rsidRDefault="00BC27E9" w:rsidP="00BC27E9">
      <w:pPr>
        <w:pStyle w:val="EstilodePrrafoNormal1RdeC"/>
        <w:rPr>
          <w:noProof/>
          <w:lang w:val="es-DO"/>
        </w:rPr>
      </w:pPr>
    </w:p>
    <w:p w14:paraId="39218F7B" w14:textId="77777777" w:rsidR="00BC27E9" w:rsidRPr="00A360E6" w:rsidRDefault="00BC27E9" w:rsidP="00BC27E9">
      <w:pPr>
        <w:pStyle w:val="EstilodePrrafoNormal1RdeC"/>
        <w:rPr>
          <w:noProof/>
          <w:lang w:val="es-DO"/>
        </w:rPr>
      </w:pPr>
    </w:p>
    <w:p w14:paraId="578A329B" w14:textId="32E17755" w:rsidR="00BC27E9" w:rsidRPr="00A360E6" w:rsidRDefault="00BC27E9" w:rsidP="00BC27E9">
      <w:pPr>
        <w:pStyle w:val="EstilodePrrafoNormal1RdeC"/>
        <w:rPr>
          <w:noProof/>
          <w:lang w:val="es-DO"/>
        </w:rPr>
      </w:pPr>
    </w:p>
    <w:p w14:paraId="5F217F93" w14:textId="77777777" w:rsidR="004C2ADB" w:rsidRDefault="004C2ADB" w:rsidP="00EE4BB2">
      <w:pPr>
        <w:pStyle w:val="EstilodePrrafoNormal1RdeC"/>
        <w:jc w:val="left"/>
        <w:rPr>
          <w:b/>
          <w:bCs/>
        </w:rPr>
      </w:pPr>
    </w:p>
    <w:p w14:paraId="6BC444BD" w14:textId="1063C8F8" w:rsidR="00BC27E9" w:rsidRPr="004C2ADB" w:rsidRDefault="00BC27E9" w:rsidP="004C2ADB">
      <w:pPr>
        <w:pStyle w:val="Heading3"/>
        <w:spacing w:after="240"/>
        <w:rPr>
          <w:b/>
          <w:bCs/>
          <w:color w:val="808080" w:themeColor="background1" w:themeShade="80"/>
          <w:sz w:val="24"/>
          <w:szCs w:val="24"/>
        </w:rPr>
      </w:pPr>
      <w:r w:rsidRPr="004C2ADB">
        <w:rPr>
          <w:b/>
          <w:bCs/>
          <w:color w:val="808080" w:themeColor="background1" w:themeShade="80"/>
          <w:sz w:val="24"/>
          <w:szCs w:val="24"/>
        </w:rPr>
        <w:lastRenderedPageBreak/>
        <w:t>Principales Funcionarios de la Institución</w:t>
      </w:r>
    </w:p>
    <w:p w14:paraId="50F49910" w14:textId="6E9C0F30" w:rsidR="00EE4BB2" w:rsidRPr="00EE4BB2" w:rsidRDefault="001308EC" w:rsidP="00BC27E9">
      <w:pPr>
        <w:pStyle w:val="EstilodePrrafoNormal1RdeC"/>
        <w:rPr>
          <w:b/>
          <w:bCs/>
        </w:rPr>
      </w:pPr>
      <w:r w:rsidRPr="00EE4BB2">
        <w:rPr>
          <w:b/>
          <w:bCs/>
          <w:noProof/>
          <w:lang w:eastAsia="es-DO"/>
        </w:rPr>
        <w:drawing>
          <wp:anchor distT="0" distB="0" distL="114300" distR="114300" simplePos="0" relativeHeight="251706368" behindDoc="0" locked="0" layoutInCell="1" allowOverlap="1" wp14:anchorId="73D5F200" wp14:editId="6324C420">
            <wp:simplePos x="0" y="0"/>
            <wp:positionH relativeFrom="column">
              <wp:posOffset>-12700</wp:posOffset>
            </wp:positionH>
            <wp:positionV relativeFrom="paragraph">
              <wp:posOffset>22860</wp:posOffset>
            </wp:positionV>
            <wp:extent cx="4813300" cy="7388860"/>
            <wp:effectExtent l="0" t="0" r="6350" b="254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3300" cy="7388860"/>
                    </a:xfrm>
                    <a:prstGeom prst="rect">
                      <a:avLst/>
                    </a:prstGeom>
                    <a:noFill/>
                    <a:ln>
                      <a:noFill/>
                    </a:ln>
                  </pic:spPr>
                </pic:pic>
              </a:graphicData>
            </a:graphic>
            <wp14:sizeRelH relativeFrom="margin">
              <wp14:pctWidth>0</wp14:pctWidth>
            </wp14:sizeRelH>
          </wp:anchor>
        </w:drawing>
      </w:r>
    </w:p>
    <w:p w14:paraId="638DFE18" w14:textId="2C19F160" w:rsidR="00BC27E9" w:rsidRPr="00954407" w:rsidRDefault="00BC27E9" w:rsidP="00BC27E9">
      <w:pPr>
        <w:pStyle w:val="EstilodePrrafoNormal1RdeC"/>
      </w:pPr>
    </w:p>
    <w:p w14:paraId="5959CD3D" w14:textId="265E26DC" w:rsidR="00BC27E9" w:rsidRDefault="00BC27E9" w:rsidP="00BC27E9">
      <w:pPr>
        <w:pStyle w:val="EstilodePrrafoNormal1RdeC"/>
      </w:pPr>
    </w:p>
    <w:p w14:paraId="0AB87B36" w14:textId="77777777" w:rsidR="00A360E6" w:rsidRDefault="00A360E6" w:rsidP="00BC27E9">
      <w:pPr>
        <w:pStyle w:val="EstilodePrrafoNormal1RdeC"/>
      </w:pPr>
    </w:p>
    <w:p w14:paraId="7009BB38" w14:textId="77777777" w:rsidR="00A360E6" w:rsidRDefault="00A360E6" w:rsidP="00BC27E9">
      <w:pPr>
        <w:pStyle w:val="EstilodePrrafoNormal1RdeC"/>
      </w:pPr>
    </w:p>
    <w:p w14:paraId="48302DAD" w14:textId="77777777" w:rsidR="00A360E6" w:rsidRDefault="00A360E6" w:rsidP="00BC27E9">
      <w:pPr>
        <w:pStyle w:val="EstilodePrrafoNormal1RdeC"/>
      </w:pPr>
    </w:p>
    <w:p w14:paraId="0B5A185D" w14:textId="77777777" w:rsidR="00A360E6" w:rsidRDefault="00A360E6" w:rsidP="00BC27E9">
      <w:pPr>
        <w:pStyle w:val="EstilodePrrafoNormal1RdeC"/>
      </w:pPr>
    </w:p>
    <w:p w14:paraId="3E062407" w14:textId="77777777" w:rsidR="00A360E6" w:rsidRDefault="00A360E6" w:rsidP="00BC27E9">
      <w:pPr>
        <w:pStyle w:val="EstilodePrrafoNormal1RdeC"/>
      </w:pPr>
    </w:p>
    <w:p w14:paraId="17C646DC" w14:textId="77777777" w:rsidR="00A360E6" w:rsidRDefault="00A360E6" w:rsidP="00BC27E9">
      <w:pPr>
        <w:pStyle w:val="EstilodePrrafoNormal1RdeC"/>
      </w:pPr>
    </w:p>
    <w:p w14:paraId="0C52C2FC" w14:textId="77777777" w:rsidR="00A360E6" w:rsidRDefault="00A360E6" w:rsidP="00BC27E9">
      <w:pPr>
        <w:pStyle w:val="EstilodePrrafoNormal1RdeC"/>
      </w:pPr>
    </w:p>
    <w:p w14:paraId="7D38D0BF" w14:textId="77777777" w:rsidR="00A360E6" w:rsidRDefault="00A360E6" w:rsidP="00BC27E9">
      <w:pPr>
        <w:pStyle w:val="EstilodePrrafoNormal1RdeC"/>
      </w:pPr>
    </w:p>
    <w:p w14:paraId="1949CE24" w14:textId="77777777" w:rsidR="00A360E6" w:rsidRDefault="00A360E6" w:rsidP="00BC27E9">
      <w:pPr>
        <w:pStyle w:val="EstilodePrrafoNormal1RdeC"/>
      </w:pPr>
    </w:p>
    <w:p w14:paraId="2BCBDE0F" w14:textId="77777777" w:rsidR="00A360E6" w:rsidRDefault="00A360E6" w:rsidP="00BC27E9">
      <w:pPr>
        <w:pStyle w:val="EstilodePrrafoNormal1RdeC"/>
      </w:pPr>
    </w:p>
    <w:p w14:paraId="33897F58" w14:textId="77777777" w:rsidR="00A360E6" w:rsidRDefault="00A360E6" w:rsidP="00BC27E9">
      <w:pPr>
        <w:pStyle w:val="EstilodePrrafoNormal1RdeC"/>
      </w:pPr>
    </w:p>
    <w:p w14:paraId="085ED907" w14:textId="77777777" w:rsidR="00A360E6" w:rsidRDefault="00A360E6" w:rsidP="00BC27E9">
      <w:pPr>
        <w:pStyle w:val="EstilodePrrafoNormal1RdeC"/>
      </w:pPr>
    </w:p>
    <w:p w14:paraId="775F67D3" w14:textId="77777777" w:rsidR="00A360E6" w:rsidRDefault="00A360E6" w:rsidP="00BC27E9">
      <w:pPr>
        <w:pStyle w:val="EstilodePrrafoNormal1RdeC"/>
      </w:pPr>
    </w:p>
    <w:p w14:paraId="1A235B3E" w14:textId="77777777" w:rsidR="00A360E6" w:rsidRDefault="00A360E6" w:rsidP="00BC27E9">
      <w:pPr>
        <w:pStyle w:val="EstilodePrrafoNormal1RdeC"/>
      </w:pPr>
    </w:p>
    <w:p w14:paraId="3F2A7712" w14:textId="77777777" w:rsidR="00A360E6" w:rsidRDefault="00A360E6" w:rsidP="00BC27E9">
      <w:pPr>
        <w:pStyle w:val="EstilodePrrafoNormal1RdeC"/>
      </w:pPr>
    </w:p>
    <w:p w14:paraId="7A767D80" w14:textId="77777777" w:rsidR="00A360E6" w:rsidRDefault="00A360E6" w:rsidP="00BC27E9">
      <w:pPr>
        <w:pStyle w:val="EstilodePrrafoNormal1RdeC"/>
      </w:pPr>
    </w:p>
    <w:p w14:paraId="210645D4" w14:textId="77777777" w:rsidR="00A360E6" w:rsidRDefault="00A360E6" w:rsidP="00BC27E9">
      <w:pPr>
        <w:pStyle w:val="EstilodePrrafoNormal1RdeC"/>
      </w:pPr>
    </w:p>
    <w:p w14:paraId="1E1F9682" w14:textId="77777777" w:rsidR="00A360E6" w:rsidRDefault="00A360E6" w:rsidP="00BC27E9">
      <w:pPr>
        <w:pStyle w:val="EstilodePrrafoNormal1RdeC"/>
      </w:pPr>
    </w:p>
    <w:p w14:paraId="21620E1B" w14:textId="77777777" w:rsidR="00A360E6" w:rsidRDefault="00A360E6" w:rsidP="00BC27E9">
      <w:pPr>
        <w:pStyle w:val="EstilodePrrafoNormal1RdeC"/>
      </w:pPr>
    </w:p>
    <w:p w14:paraId="7A52B23F" w14:textId="77777777" w:rsidR="00A360E6" w:rsidRDefault="00A360E6" w:rsidP="00BC27E9">
      <w:pPr>
        <w:pStyle w:val="EstilodePrrafoNormal1RdeC"/>
      </w:pPr>
    </w:p>
    <w:p w14:paraId="2CD97897" w14:textId="77777777" w:rsidR="00A360E6" w:rsidRDefault="00A360E6" w:rsidP="00BC27E9">
      <w:pPr>
        <w:pStyle w:val="EstilodePrrafoNormal1RdeC"/>
      </w:pPr>
    </w:p>
    <w:p w14:paraId="053C4256" w14:textId="77777777" w:rsidR="00A360E6" w:rsidRDefault="00A360E6" w:rsidP="00BC27E9">
      <w:pPr>
        <w:pStyle w:val="EstilodePrrafoNormal1RdeC"/>
      </w:pPr>
    </w:p>
    <w:p w14:paraId="1457B053" w14:textId="77777777" w:rsidR="00A360E6" w:rsidRDefault="00A360E6" w:rsidP="00BC27E9">
      <w:pPr>
        <w:pStyle w:val="EstilodePrrafoNormal1RdeC"/>
      </w:pPr>
    </w:p>
    <w:p w14:paraId="34C05379" w14:textId="77777777" w:rsidR="00A360E6" w:rsidRDefault="00A360E6" w:rsidP="00BC27E9">
      <w:pPr>
        <w:pStyle w:val="EstilodePrrafoNormal1RdeC"/>
      </w:pPr>
    </w:p>
    <w:p w14:paraId="5FB845AB" w14:textId="77777777" w:rsidR="00A360E6" w:rsidRDefault="00A360E6" w:rsidP="00BC27E9">
      <w:pPr>
        <w:pStyle w:val="EstilodePrrafoNormal1RdeC"/>
      </w:pPr>
    </w:p>
    <w:p w14:paraId="5DCED95F" w14:textId="77777777" w:rsidR="00A360E6" w:rsidRDefault="00A360E6" w:rsidP="00BC27E9">
      <w:pPr>
        <w:pStyle w:val="EstilodePrrafoNormal1RdeC"/>
      </w:pPr>
    </w:p>
    <w:p w14:paraId="3FB87783" w14:textId="77777777" w:rsidR="00A360E6" w:rsidRDefault="00A360E6" w:rsidP="00BC27E9">
      <w:pPr>
        <w:pStyle w:val="EstilodePrrafoNormal1RdeC"/>
      </w:pPr>
    </w:p>
    <w:p w14:paraId="652373ED" w14:textId="3F0BEBA4" w:rsidR="00BC27E9" w:rsidRPr="004C2ADB" w:rsidRDefault="00BC27E9" w:rsidP="004C2ADB">
      <w:pPr>
        <w:pStyle w:val="Heading3"/>
        <w:rPr>
          <w:b/>
          <w:bCs/>
          <w:color w:val="808080" w:themeColor="background1" w:themeShade="80"/>
          <w:sz w:val="24"/>
          <w:szCs w:val="24"/>
        </w:rPr>
      </w:pPr>
      <w:r w:rsidRPr="004C2ADB">
        <w:rPr>
          <w:b/>
          <w:bCs/>
          <w:color w:val="808080" w:themeColor="background1" w:themeShade="80"/>
          <w:sz w:val="24"/>
          <w:szCs w:val="24"/>
        </w:rPr>
        <w:t>Declaraciones Juradas</w:t>
      </w:r>
    </w:p>
    <w:p w14:paraId="1C2331FA" w14:textId="77777777" w:rsidR="00BC27E9" w:rsidRPr="00954407" w:rsidRDefault="00BC27E9" w:rsidP="00BC27E9">
      <w:pPr>
        <w:pStyle w:val="EstilodePrrafoNormal1RdeC"/>
      </w:pPr>
    </w:p>
    <w:p w14:paraId="0D41065C" w14:textId="77777777" w:rsidR="00BC27E9" w:rsidRPr="00954407" w:rsidRDefault="00BC27E9" w:rsidP="00BC27E9">
      <w:pPr>
        <w:pStyle w:val="EstilodePrrafoNormal1RdeC"/>
        <w:rPr>
          <w:rFonts w:eastAsia="Calibri"/>
          <w:color w:val="767171"/>
        </w:rPr>
      </w:pPr>
      <w:r w:rsidRPr="00954407">
        <w:rPr>
          <w:rFonts w:eastAsia="Calibri"/>
          <w:color w:val="767171"/>
        </w:rPr>
        <w:t>Las Declaraciones Juradas de los funcionarios vigentes del Ministerio de Obras Públicas y Comunicaciones (MOPC) correspondientes al periodo enero-diciembre del año 2025, han sido publicadas en el Portal de Trasparencia de la Institución (www.mopc.gob.do). Todos los funcionarios han sido llamados a realizar las declaraciones juradas ante la Cámara de Cuentas de la República Dominicana, para el cumplimiento de las Leyes No. 311-14 de fecha 15 de julio del 2014 sobre Declaración Juradas de Bienes y de Patrimonio y No. 82-79 de fecha 16 de noviembre del 1979 que instituye el Sistema Nacional Autorizado y Uniforme de Declaraciones Juradas de Patrimonio de los Funcionarios y Servidores Públicos, Gaceta Oficial No. No. 10768 de fecha 11 de agosto del 2014 y que obliga a los Funcionarios Públicos a levantar un inventario detallado, Jurado y Legalizado ante Notario Público de los bienes que constituyen su patrimonio, respectivamente.</w:t>
      </w:r>
    </w:p>
    <w:p w14:paraId="129DB64A" w14:textId="77777777" w:rsidR="00BC27E9" w:rsidRPr="00954407" w:rsidRDefault="00BC27E9" w:rsidP="00BC27E9">
      <w:pPr>
        <w:pStyle w:val="EstilodePrrafoNormal1RdeC"/>
        <w:rPr>
          <w:rFonts w:eastAsia="Calibri"/>
          <w:color w:val="767171"/>
          <w:highlight w:val="yellow"/>
        </w:rPr>
      </w:pPr>
    </w:p>
    <w:p w14:paraId="4766F792" w14:textId="77777777" w:rsidR="00BC27E9" w:rsidRPr="00954407" w:rsidRDefault="00BC27E9" w:rsidP="00BC27E9">
      <w:pPr>
        <w:pStyle w:val="EstilodePrrafoNormal1RdeC"/>
        <w:rPr>
          <w:color w:val="767171"/>
        </w:rPr>
      </w:pPr>
      <w:r w:rsidRPr="00954407">
        <w:rPr>
          <w:rFonts w:eastAsia="Calibri"/>
          <w:color w:val="767171"/>
        </w:rPr>
        <w:t>A continuación, se presenta la relación de funcionarios de la institución que han presentado sus Declaraciones Juradas de Bienes y de Patrimonio, las cuales se encuentran publicadas en el Portal de Transparencia del MOPC</w:t>
      </w:r>
      <w:r w:rsidRPr="00954407">
        <w:rPr>
          <w:color w:val="767171"/>
        </w:rPr>
        <w:t xml:space="preserve">: </w:t>
      </w:r>
    </w:p>
    <w:p w14:paraId="543468D7" w14:textId="77777777" w:rsidR="00BC27E9" w:rsidRPr="00954407" w:rsidRDefault="00BC27E9" w:rsidP="00BC27E9">
      <w:pPr>
        <w:pStyle w:val="EstilodePrrafoNormal1RdeC"/>
        <w:rPr>
          <w:color w:val="767171"/>
        </w:rPr>
      </w:pPr>
    </w:p>
    <w:p w14:paraId="79A6E0E9" w14:textId="77777777" w:rsidR="00BC27E9" w:rsidRPr="00954407" w:rsidRDefault="00BC27E9" w:rsidP="00BC27E9">
      <w:pPr>
        <w:pStyle w:val="EstilodePrrafoNormal1RdeC"/>
        <w:rPr>
          <w:color w:val="767171"/>
        </w:rPr>
      </w:pPr>
    </w:p>
    <w:p w14:paraId="120F3E90" w14:textId="77777777" w:rsidR="00BC27E9" w:rsidRPr="00954407" w:rsidRDefault="00BC27E9" w:rsidP="00BC27E9">
      <w:pPr>
        <w:pStyle w:val="EstilodePrrafoNormal1RdeC"/>
        <w:rPr>
          <w:color w:val="767171"/>
        </w:rPr>
      </w:pPr>
    </w:p>
    <w:p w14:paraId="6DDFCDC9" w14:textId="77777777" w:rsidR="00BC27E9" w:rsidRPr="00954407" w:rsidRDefault="00BC27E9" w:rsidP="00BC27E9">
      <w:pPr>
        <w:pStyle w:val="EstilodePrrafoNormal1RdeC"/>
        <w:rPr>
          <w:color w:val="767171"/>
        </w:rPr>
      </w:pPr>
    </w:p>
    <w:p w14:paraId="3DE6900E" w14:textId="77777777" w:rsidR="00BC27E9" w:rsidRPr="00954407" w:rsidRDefault="00BC27E9" w:rsidP="00BC27E9">
      <w:pPr>
        <w:pStyle w:val="EstilodePrrafoNormal1RdeC"/>
        <w:rPr>
          <w:color w:val="767171"/>
        </w:rPr>
      </w:pPr>
    </w:p>
    <w:p w14:paraId="513142A0" w14:textId="77777777" w:rsidR="00BC27E9" w:rsidRPr="00954407" w:rsidRDefault="00BC27E9" w:rsidP="00BC27E9">
      <w:pPr>
        <w:pStyle w:val="EstilodePrrafoNormal1RdeC"/>
        <w:rPr>
          <w:color w:val="767171"/>
        </w:rPr>
      </w:pPr>
    </w:p>
    <w:p w14:paraId="69D5D049" w14:textId="77777777" w:rsidR="00BC27E9" w:rsidRPr="00954407" w:rsidRDefault="00BC27E9" w:rsidP="00BC27E9">
      <w:pPr>
        <w:pStyle w:val="EstilodePrrafoNormal1RdeC"/>
        <w:rPr>
          <w:color w:val="767171"/>
        </w:rPr>
      </w:pPr>
    </w:p>
    <w:p w14:paraId="4AA46A65" w14:textId="77777777" w:rsidR="00BC27E9" w:rsidRPr="00954407" w:rsidRDefault="00BC27E9" w:rsidP="00BC27E9">
      <w:pPr>
        <w:pStyle w:val="EstilodePrrafoNormal1RdeC"/>
        <w:rPr>
          <w:color w:val="767171"/>
        </w:rPr>
      </w:pPr>
    </w:p>
    <w:p w14:paraId="2092716C" w14:textId="77777777" w:rsidR="00BC27E9" w:rsidRPr="00954407" w:rsidRDefault="00BC27E9" w:rsidP="00BC27E9">
      <w:pPr>
        <w:pStyle w:val="EstilodePrrafoNormal1RdeC"/>
        <w:rPr>
          <w:color w:val="767171"/>
        </w:rPr>
      </w:pPr>
    </w:p>
    <w:tbl>
      <w:tblPr>
        <w:tblStyle w:val="TableGrid"/>
        <w:tblW w:w="8725" w:type="dxa"/>
        <w:jc w:val="center"/>
        <w:tblLayout w:type="fixed"/>
        <w:tblLook w:val="04A0" w:firstRow="1" w:lastRow="0" w:firstColumn="1" w:lastColumn="0" w:noHBand="0" w:noVBand="1"/>
      </w:tblPr>
      <w:tblGrid>
        <w:gridCol w:w="2965"/>
        <w:gridCol w:w="1710"/>
        <w:gridCol w:w="1983"/>
        <w:gridCol w:w="2067"/>
      </w:tblGrid>
      <w:tr w:rsidR="00BC27E9" w:rsidRPr="00954407" w14:paraId="246F3C49" w14:textId="77777777" w:rsidTr="00220FA8">
        <w:trPr>
          <w:trHeight w:val="419"/>
          <w:jc w:val="center"/>
        </w:trPr>
        <w:tc>
          <w:tcPr>
            <w:tcW w:w="2965" w:type="dxa"/>
            <w:shd w:val="clear" w:color="auto" w:fill="002060"/>
            <w:vAlign w:val="center"/>
          </w:tcPr>
          <w:p w14:paraId="2D15EFB6" w14:textId="77777777" w:rsidR="00BC27E9" w:rsidRPr="00954407" w:rsidRDefault="00BC27E9" w:rsidP="00220FA8">
            <w:pPr>
              <w:pStyle w:val="EstilodePrrafoNormal1RdeC"/>
              <w:rPr>
                <w:color w:val="FFFFFF" w:themeColor="background1"/>
              </w:rPr>
            </w:pPr>
            <w:r w:rsidRPr="00954407">
              <w:rPr>
                <w:color w:val="FFFFFF" w:themeColor="background1"/>
              </w:rPr>
              <w:lastRenderedPageBreak/>
              <w:t>NOMBRE FUNCIONARIO</w:t>
            </w:r>
          </w:p>
        </w:tc>
        <w:tc>
          <w:tcPr>
            <w:tcW w:w="1710" w:type="dxa"/>
            <w:shd w:val="clear" w:color="auto" w:fill="002060"/>
            <w:vAlign w:val="center"/>
          </w:tcPr>
          <w:p w14:paraId="3D99EACA" w14:textId="77777777" w:rsidR="00BC27E9" w:rsidRPr="00954407" w:rsidRDefault="00BC27E9" w:rsidP="00220FA8">
            <w:pPr>
              <w:pStyle w:val="EstilodePrrafoNormal1RdeC"/>
              <w:rPr>
                <w:color w:val="FFFFFF" w:themeColor="background1"/>
              </w:rPr>
            </w:pPr>
            <w:r w:rsidRPr="00954407">
              <w:rPr>
                <w:color w:val="FFFFFF" w:themeColor="background1"/>
              </w:rPr>
              <w:t>CARGO</w:t>
            </w:r>
          </w:p>
        </w:tc>
        <w:tc>
          <w:tcPr>
            <w:tcW w:w="1983" w:type="dxa"/>
            <w:shd w:val="clear" w:color="auto" w:fill="002060"/>
            <w:vAlign w:val="center"/>
          </w:tcPr>
          <w:p w14:paraId="54D120C5" w14:textId="77777777" w:rsidR="00BC27E9" w:rsidRPr="00954407" w:rsidRDefault="00BC27E9" w:rsidP="00220FA8">
            <w:pPr>
              <w:pStyle w:val="EstilodePrrafoNormal1RdeC"/>
              <w:rPr>
                <w:color w:val="FFFFFF" w:themeColor="background1"/>
              </w:rPr>
            </w:pPr>
            <w:r w:rsidRPr="00954407">
              <w:rPr>
                <w:color w:val="FFFFFF" w:themeColor="background1"/>
              </w:rPr>
              <w:t>DECLARACIÓN JURADA No.</w:t>
            </w:r>
          </w:p>
        </w:tc>
        <w:tc>
          <w:tcPr>
            <w:tcW w:w="2067" w:type="dxa"/>
            <w:shd w:val="clear" w:color="auto" w:fill="002060"/>
            <w:vAlign w:val="center"/>
          </w:tcPr>
          <w:p w14:paraId="75E31A27" w14:textId="77777777" w:rsidR="00BC27E9" w:rsidRPr="00954407" w:rsidRDefault="00BC27E9" w:rsidP="00220FA8">
            <w:pPr>
              <w:pStyle w:val="EstilodePrrafoNormal1RdeC"/>
              <w:rPr>
                <w:color w:val="FFFFFF" w:themeColor="background1"/>
              </w:rPr>
            </w:pPr>
            <w:r w:rsidRPr="00954407">
              <w:rPr>
                <w:color w:val="FFFFFF" w:themeColor="background1"/>
              </w:rPr>
              <w:t>PUBLICADA/NO      PUBLICADA</w:t>
            </w:r>
          </w:p>
        </w:tc>
      </w:tr>
      <w:tr w:rsidR="00BC27E9" w:rsidRPr="00954407" w14:paraId="5A1E27C8" w14:textId="77777777" w:rsidTr="00220FA8">
        <w:trPr>
          <w:trHeight w:val="923"/>
          <w:jc w:val="center"/>
        </w:trPr>
        <w:tc>
          <w:tcPr>
            <w:tcW w:w="2965" w:type="dxa"/>
            <w:vAlign w:val="center"/>
          </w:tcPr>
          <w:p w14:paraId="5A688892" w14:textId="77777777" w:rsidR="00BC27E9" w:rsidRPr="00954407" w:rsidRDefault="00BC27E9" w:rsidP="00220FA8">
            <w:pPr>
              <w:pStyle w:val="EstilodePrrafoNormal1RdeC"/>
            </w:pPr>
            <w:r w:rsidRPr="00954407">
              <w:t>Rafael Eduardo Estrella Virella</w:t>
            </w:r>
          </w:p>
        </w:tc>
        <w:tc>
          <w:tcPr>
            <w:tcW w:w="1710" w:type="dxa"/>
            <w:vAlign w:val="center"/>
          </w:tcPr>
          <w:p w14:paraId="774C30E3" w14:textId="77777777" w:rsidR="00BC27E9" w:rsidRPr="00954407" w:rsidRDefault="00BC27E9" w:rsidP="00220FA8">
            <w:pPr>
              <w:pStyle w:val="EstilodePrrafoNormal1RdeC"/>
            </w:pPr>
            <w:r w:rsidRPr="00954407">
              <w:t>Ministro</w:t>
            </w:r>
          </w:p>
        </w:tc>
        <w:tc>
          <w:tcPr>
            <w:tcW w:w="1983" w:type="dxa"/>
            <w:vAlign w:val="center"/>
          </w:tcPr>
          <w:p w14:paraId="40FC6B3A" w14:textId="77777777" w:rsidR="00BC27E9" w:rsidRPr="00954407" w:rsidRDefault="00BC27E9" w:rsidP="00220FA8">
            <w:pPr>
              <w:pStyle w:val="EstilodePrrafoNormal1RdeC"/>
            </w:pPr>
            <w:r w:rsidRPr="00954407">
              <w:t>DJP-43566</w:t>
            </w:r>
          </w:p>
        </w:tc>
        <w:tc>
          <w:tcPr>
            <w:tcW w:w="2067" w:type="dxa"/>
            <w:vAlign w:val="center"/>
          </w:tcPr>
          <w:p w14:paraId="2EAA662A" w14:textId="77777777" w:rsidR="00BC27E9" w:rsidRPr="00954407" w:rsidRDefault="00BC27E9" w:rsidP="00220FA8">
            <w:pPr>
              <w:pStyle w:val="EstilodePrrafoNormal1RdeC"/>
            </w:pPr>
            <w:r w:rsidRPr="00954407">
              <w:t>Publicada</w:t>
            </w:r>
          </w:p>
        </w:tc>
      </w:tr>
      <w:tr w:rsidR="00BC27E9" w:rsidRPr="00954407" w14:paraId="58870825" w14:textId="77777777" w:rsidTr="00220FA8">
        <w:trPr>
          <w:trHeight w:val="640"/>
          <w:jc w:val="center"/>
        </w:trPr>
        <w:tc>
          <w:tcPr>
            <w:tcW w:w="2965" w:type="dxa"/>
            <w:vAlign w:val="center"/>
          </w:tcPr>
          <w:p w14:paraId="51E90B48" w14:textId="77777777" w:rsidR="00BC27E9" w:rsidRPr="00954407" w:rsidRDefault="00BC27E9" w:rsidP="00220FA8">
            <w:pPr>
              <w:pStyle w:val="EstilodePrrafoNormal1RdeC"/>
            </w:pPr>
            <w:r w:rsidRPr="00954407">
              <w:t>Fernando Hiram Taveras R.</w:t>
            </w:r>
          </w:p>
        </w:tc>
        <w:tc>
          <w:tcPr>
            <w:tcW w:w="1710" w:type="dxa"/>
            <w:vAlign w:val="center"/>
          </w:tcPr>
          <w:p w14:paraId="7462AB02" w14:textId="77777777" w:rsidR="00BC27E9" w:rsidRPr="00954407" w:rsidRDefault="00BC27E9" w:rsidP="00220FA8">
            <w:pPr>
              <w:pStyle w:val="EstilodePrrafoNormal1RdeC"/>
            </w:pPr>
            <w:r w:rsidRPr="00954407">
              <w:t>Viceministro Mantenim. Vial</w:t>
            </w:r>
          </w:p>
        </w:tc>
        <w:tc>
          <w:tcPr>
            <w:tcW w:w="1983" w:type="dxa"/>
            <w:vAlign w:val="center"/>
          </w:tcPr>
          <w:p w14:paraId="08477479" w14:textId="77777777" w:rsidR="00BC27E9" w:rsidRPr="00954407" w:rsidRDefault="00BC27E9" w:rsidP="00220FA8">
            <w:pPr>
              <w:pStyle w:val="EstilodePrrafoNormal1RdeC"/>
            </w:pPr>
            <w:r w:rsidRPr="00954407">
              <w:t>DJP-43561</w:t>
            </w:r>
          </w:p>
        </w:tc>
        <w:tc>
          <w:tcPr>
            <w:tcW w:w="2067" w:type="dxa"/>
            <w:vAlign w:val="center"/>
          </w:tcPr>
          <w:p w14:paraId="384C0C77" w14:textId="77777777" w:rsidR="00BC27E9" w:rsidRPr="00954407" w:rsidRDefault="00BC27E9" w:rsidP="00220FA8">
            <w:pPr>
              <w:pStyle w:val="EstilodePrrafoNormal1RdeC"/>
            </w:pPr>
            <w:r w:rsidRPr="00954407">
              <w:t>Publicada</w:t>
            </w:r>
          </w:p>
        </w:tc>
      </w:tr>
      <w:tr w:rsidR="00BC27E9" w:rsidRPr="00954407" w14:paraId="0F2A3B52" w14:textId="77777777" w:rsidTr="00220FA8">
        <w:trPr>
          <w:trHeight w:val="628"/>
          <w:jc w:val="center"/>
        </w:trPr>
        <w:tc>
          <w:tcPr>
            <w:tcW w:w="2965" w:type="dxa"/>
            <w:vAlign w:val="center"/>
          </w:tcPr>
          <w:p w14:paraId="4F506841" w14:textId="77777777" w:rsidR="00BC27E9" w:rsidRPr="00954407" w:rsidRDefault="00BC27E9" w:rsidP="00220FA8">
            <w:pPr>
              <w:pStyle w:val="EstilodePrrafoNormal1RdeC"/>
            </w:pPr>
            <w:r w:rsidRPr="00954407">
              <w:t>Gilberto Valdéz Garrido</w:t>
            </w:r>
          </w:p>
        </w:tc>
        <w:tc>
          <w:tcPr>
            <w:tcW w:w="1710" w:type="dxa"/>
            <w:vAlign w:val="center"/>
          </w:tcPr>
          <w:p w14:paraId="5ABC6645" w14:textId="77777777" w:rsidR="00BC27E9" w:rsidRPr="00954407" w:rsidRDefault="00BC27E9" w:rsidP="00220FA8">
            <w:pPr>
              <w:pStyle w:val="EstilodePrrafoNormal1RdeC"/>
            </w:pPr>
            <w:r w:rsidRPr="00954407">
              <w:t>Director Administrativo y Finanzas</w:t>
            </w:r>
          </w:p>
        </w:tc>
        <w:tc>
          <w:tcPr>
            <w:tcW w:w="1983" w:type="dxa"/>
            <w:vAlign w:val="center"/>
          </w:tcPr>
          <w:p w14:paraId="08AC4B0C" w14:textId="77777777" w:rsidR="00BC27E9" w:rsidRPr="00954407" w:rsidRDefault="00BC27E9" w:rsidP="00220FA8">
            <w:pPr>
              <w:pStyle w:val="EstilodePrrafoNormal1RdeC"/>
            </w:pPr>
            <w:r w:rsidRPr="00954407">
              <w:t>DJP-43581</w:t>
            </w:r>
          </w:p>
        </w:tc>
        <w:tc>
          <w:tcPr>
            <w:tcW w:w="2067" w:type="dxa"/>
            <w:vAlign w:val="center"/>
          </w:tcPr>
          <w:p w14:paraId="54C7C700" w14:textId="77777777" w:rsidR="00BC27E9" w:rsidRPr="00954407" w:rsidRDefault="00BC27E9" w:rsidP="00220FA8">
            <w:pPr>
              <w:pStyle w:val="EstilodePrrafoNormal1RdeC"/>
            </w:pPr>
            <w:r w:rsidRPr="00954407">
              <w:t>No Publicada</w:t>
            </w:r>
          </w:p>
        </w:tc>
      </w:tr>
      <w:tr w:rsidR="00BC27E9" w:rsidRPr="00954407" w14:paraId="53665BFB" w14:textId="77777777" w:rsidTr="00220FA8">
        <w:trPr>
          <w:trHeight w:val="918"/>
          <w:jc w:val="center"/>
        </w:trPr>
        <w:tc>
          <w:tcPr>
            <w:tcW w:w="2965" w:type="dxa"/>
            <w:vAlign w:val="center"/>
          </w:tcPr>
          <w:p w14:paraId="623276FA" w14:textId="77777777" w:rsidR="00BC27E9" w:rsidRPr="00954407" w:rsidRDefault="00BC27E9" w:rsidP="00220FA8">
            <w:pPr>
              <w:pStyle w:val="EstilodePrrafoNormal1RdeC"/>
            </w:pPr>
            <w:r w:rsidRPr="00954407">
              <w:t>Elías A. Santana Germán</w:t>
            </w:r>
          </w:p>
        </w:tc>
        <w:tc>
          <w:tcPr>
            <w:tcW w:w="1710" w:type="dxa"/>
          </w:tcPr>
          <w:p w14:paraId="450B4BE2" w14:textId="77777777" w:rsidR="00BC27E9" w:rsidRPr="00954407" w:rsidRDefault="00BC27E9" w:rsidP="00220FA8">
            <w:pPr>
              <w:pStyle w:val="EstilodePrrafoNormal1RdeC"/>
            </w:pPr>
            <w:r w:rsidRPr="00954407">
              <w:t>Viceministro Infraest. Vial</w:t>
            </w:r>
          </w:p>
        </w:tc>
        <w:tc>
          <w:tcPr>
            <w:tcW w:w="1983" w:type="dxa"/>
            <w:vAlign w:val="center"/>
          </w:tcPr>
          <w:p w14:paraId="5D6AE8A1" w14:textId="77777777" w:rsidR="00BC27E9" w:rsidRPr="00954407" w:rsidRDefault="00BC27E9" w:rsidP="00220FA8">
            <w:pPr>
              <w:pStyle w:val="EstilodePrrafoNormal1RdeC"/>
            </w:pPr>
            <w:r w:rsidRPr="00954407">
              <w:t>DJP-034755</w:t>
            </w:r>
          </w:p>
        </w:tc>
        <w:tc>
          <w:tcPr>
            <w:tcW w:w="2067" w:type="dxa"/>
            <w:vAlign w:val="center"/>
          </w:tcPr>
          <w:p w14:paraId="696B45EC" w14:textId="77777777" w:rsidR="00BC27E9" w:rsidRPr="00954407" w:rsidRDefault="00BC27E9" w:rsidP="00220FA8">
            <w:pPr>
              <w:pStyle w:val="EstilodePrrafoNormal1RdeC"/>
            </w:pPr>
            <w:r w:rsidRPr="00954407">
              <w:t>Publicada</w:t>
            </w:r>
          </w:p>
        </w:tc>
      </w:tr>
      <w:tr w:rsidR="00BC27E9" w:rsidRPr="00954407" w14:paraId="16B8CA04" w14:textId="77777777" w:rsidTr="00220FA8">
        <w:trPr>
          <w:trHeight w:val="914"/>
          <w:jc w:val="center"/>
        </w:trPr>
        <w:tc>
          <w:tcPr>
            <w:tcW w:w="2965" w:type="dxa"/>
            <w:vAlign w:val="center"/>
          </w:tcPr>
          <w:p w14:paraId="18E37F95" w14:textId="77777777" w:rsidR="00BC27E9" w:rsidRPr="00954407" w:rsidRDefault="00BC27E9" w:rsidP="00220FA8">
            <w:pPr>
              <w:pStyle w:val="EstilodePrrafoNormal1RdeC"/>
            </w:pPr>
            <w:r w:rsidRPr="00954407">
              <w:t>Tomasina Pascual Fanir</w:t>
            </w:r>
          </w:p>
        </w:tc>
        <w:tc>
          <w:tcPr>
            <w:tcW w:w="1710" w:type="dxa"/>
            <w:vAlign w:val="center"/>
          </w:tcPr>
          <w:p w14:paraId="6AA230F9" w14:textId="77777777" w:rsidR="00BC27E9" w:rsidRPr="00954407" w:rsidRDefault="00BC27E9" w:rsidP="00220FA8">
            <w:pPr>
              <w:pStyle w:val="EstilodePrrafoNormal1RdeC"/>
            </w:pPr>
            <w:r w:rsidRPr="00954407">
              <w:t>Viceministra Inf. Sectorial</w:t>
            </w:r>
          </w:p>
        </w:tc>
        <w:tc>
          <w:tcPr>
            <w:tcW w:w="1983" w:type="dxa"/>
            <w:vAlign w:val="center"/>
          </w:tcPr>
          <w:p w14:paraId="6B3DA2FC" w14:textId="77777777" w:rsidR="00BC27E9" w:rsidRPr="00954407" w:rsidRDefault="00BC27E9" w:rsidP="00220FA8">
            <w:pPr>
              <w:pStyle w:val="EstilodePrrafoNormal1RdeC"/>
            </w:pPr>
            <w:r w:rsidRPr="00954407">
              <w:t>DJP-023230</w:t>
            </w:r>
          </w:p>
        </w:tc>
        <w:tc>
          <w:tcPr>
            <w:tcW w:w="2067" w:type="dxa"/>
            <w:vAlign w:val="center"/>
          </w:tcPr>
          <w:p w14:paraId="36A29848" w14:textId="77777777" w:rsidR="00BC27E9" w:rsidRPr="00954407" w:rsidRDefault="00BC27E9" w:rsidP="00220FA8">
            <w:pPr>
              <w:pStyle w:val="EstilodePrrafoNormal1RdeC"/>
            </w:pPr>
            <w:r w:rsidRPr="00954407">
              <w:t>Publicada</w:t>
            </w:r>
          </w:p>
        </w:tc>
      </w:tr>
      <w:tr w:rsidR="00BC27E9" w:rsidRPr="00954407" w14:paraId="0E822A89" w14:textId="77777777" w:rsidTr="00220FA8">
        <w:trPr>
          <w:trHeight w:val="710"/>
          <w:jc w:val="center"/>
        </w:trPr>
        <w:tc>
          <w:tcPr>
            <w:tcW w:w="2965" w:type="dxa"/>
            <w:vAlign w:val="center"/>
          </w:tcPr>
          <w:p w14:paraId="4A2AB659" w14:textId="77777777" w:rsidR="00BC27E9" w:rsidRPr="00954407" w:rsidRDefault="00BC27E9" w:rsidP="00220FA8">
            <w:pPr>
              <w:pStyle w:val="EstilodePrrafoNormal1RdeC"/>
            </w:pPr>
            <w:r w:rsidRPr="00954407">
              <w:t>Fernando A. Moore Guzmán</w:t>
            </w:r>
          </w:p>
        </w:tc>
        <w:tc>
          <w:tcPr>
            <w:tcW w:w="1710" w:type="dxa"/>
            <w:vAlign w:val="center"/>
          </w:tcPr>
          <w:p w14:paraId="63A24554" w14:textId="77777777" w:rsidR="00BC27E9" w:rsidRPr="00954407" w:rsidRDefault="00BC27E9" w:rsidP="00220FA8">
            <w:pPr>
              <w:pStyle w:val="EstilodePrrafoNormal1RdeC"/>
            </w:pPr>
            <w:r w:rsidRPr="00954407">
              <w:t>Viceministro Planif. y Reg.Técnica</w:t>
            </w:r>
          </w:p>
        </w:tc>
        <w:tc>
          <w:tcPr>
            <w:tcW w:w="1983" w:type="dxa"/>
            <w:vAlign w:val="center"/>
          </w:tcPr>
          <w:p w14:paraId="634A8EEA" w14:textId="77777777" w:rsidR="00BC27E9" w:rsidRPr="00954407" w:rsidRDefault="00BC27E9" w:rsidP="00220FA8">
            <w:pPr>
              <w:pStyle w:val="EstilodePrrafoNormal1RdeC"/>
            </w:pPr>
            <w:r w:rsidRPr="00954407">
              <w:t>DJP-43598</w:t>
            </w:r>
          </w:p>
        </w:tc>
        <w:tc>
          <w:tcPr>
            <w:tcW w:w="2067" w:type="dxa"/>
            <w:vAlign w:val="center"/>
          </w:tcPr>
          <w:p w14:paraId="3E599A53" w14:textId="77777777" w:rsidR="00BC27E9" w:rsidRPr="00954407" w:rsidRDefault="00BC27E9" w:rsidP="00220FA8">
            <w:pPr>
              <w:pStyle w:val="EstilodePrrafoNormal1RdeC"/>
            </w:pPr>
            <w:r w:rsidRPr="00954407">
              <w:t>Publicada</w:t>
            </w:r>
          </w:p>
        </w:tc>
      </w:tr>
    </w:tbl>
    <w:p w14:paraId="32A68F14" w14:textId="77777777" w:rsidR="00BC27E9" w:rsidRPr="00954407" w:rsidRDefault="00BC27E9" w:rsidP="00BC27E9">
      <w:pPr>
        <w:pStyle w:val="EstilodePrrafoNormal1RdeC"/>
      </w:pPr>
      <w:r w:rsidRPr="00954407">
        <w:br w:type="page"/>
      </w:r>
    </w:p>
    <w:p w14:paraId="3ACBCCC8" w14:textId="544C6C78" w:rsidR="00BC27E9" w:rsidRPr="00CF3199" w:rsidRDefault="00BC27E9" w:rsidP="00F73212">
      <w:pPr>
        <w:pStyle w:val="Heading2"/>
        <w:rPr>
          <w:rFonts w:ascii="Times New Roman" w:hAnsi="Times New Roman" w:cs="Times New Roman"/>
          <w:b/>
          <w:bCs/>
          <w:color w:val="767171"/>
          <w:sz w:val="24"/>
          <w:szCs w:val="24"/>
        </w:rPr>
      </w:pPr>
      <w:bookmarkStart w:id="66" w:name="_Toc217070880"/>
      <w:bookmarkStart w:id="67" w:name="_Toc217402118"/>
      <w:r w:rsidRPr="00CF3199">
        <w:rPr>
          <w:rFonts w:ascii="Times New Roman" w:hAnsi="Times New Roman" w:cs="Times New Roman"/>
          <w:b/>
          <w:bCs/>
          <w:color w:val="767171"/>
          <w:sz w:val="24"/>
          <w:szCs w:val="24"/>
        </w:rPr>
        <w:lastRenderedPageBreak/>
        <w:t>Planificación Estratégica Institucional (PEI)</w:t>
      </w:r>
      <w:bookmarkEnd w:id="66"/>
      <w:bookmarkEnd w:id="67"/>
    </w:p>
    <w:p w14:paraId="377BD851" w14:textId="77777777" w:rsidR="00BC27E9" w:rsidRPr="00954407" w:rsidRDefault="00BC27E9" w:rsidP="00BC27E9">
      <w:pPr>
        <w:pStyle w:val="EstilodePrrafoNormal1RdeC"/>
      </w:pPr>
    </w:p>
    <w:p w14:paraId="25267617" w14:textId="77777777" w:rsidR="00BC27E9" w:rsidRPr="00954407" w:rsidRDefault="00BC27E9" w:rsidP="00BC27E9">
      <w:pPr>
        <w:pStyle w:val="EstilodePrrafoNormal1RdeC"/>
        <w:rPr>
          <w:color w:val="767171"/>
        </w:rPr>
      </w:pPr>
      <w:r w:rsidRPr="00954407">
        <w:rPr>
          <w:color w:val="767171"/>
        </w:rPr>
        <w:t xml:space="preserve">El Ministerio de Obras Públicas y Comunicaciones (MOPC), concluyó durante el año 2025, el proceso de formulación de la Planificación Estratégica para el período 2025-2028, con la actualización del Plan Estratégico Institucional (PEI), conteniendo las políticas, objetivos y prioridades de la institución definidas para mediano plazo y los procesos operativos que permitirán analizar los resultados institucionales esperados, como organismo rector de la infraestructura de transporte, impactando en la ejecución y sostenibilidad de las obras y en los servicios que entregará a la ciudadanía durante el período establecido en el Plan, en cumplimiento con los marcos legales que rigen los instrumentos de planificación global en la República Dominicana, Plan Nacional Plurianual del Sector Público (PNPSP) 2025-2028, Objetivos de Desarrollo Sostenible (ODS); y, acorde al Plan de Gobierno para el periodo 2024-2028 del Presidente Lic. Luis Rodolfo Abinader Corona. </w:t>
      </w:r>
    </w:p>
    <w:p w14:paraId="4F8D21F4" w14:textId="77777777" w:rsidR="00BC27E9" w:rsidRPr="00954407" w:rsidRDefault="00BC27E9" w:rsidP="00BC27E9">
      <w:pPr>
        <w:pStyle w:val="EstilodePrrafoNormal1RdeC"/>
        <w:rPr>
          <w:color w:val="767171"/>
        </w:rPr>
      </w:pPr>
    </w:p>
    <w:p w14:paraId="745C600F" w14:textId="77777777" w:rsidR="00BC27E9" w:rsidRPr="00954407" w:rsidRDefault="00BC27E9" w:rsidP="00BC27E9">
      <w:pPr>
        <w:pStyle w:val="EstilodePrrafoNormal1RdeC"/>
        <w:rPr>
          <w:color w:val="767171"/>
        </w:rPr>
      </w:pPr>
      <w:r w:rsidRPr="00954407">
        <w:rPr>
          <w:color w:val="767171"/>
        </w:rPr>
        <w:t>El Plan Estratégico Institucional del MOPC vigente fue aprobado el 25 de julio del año 2025 por el Ministerio de Hacienda y Economía , integra los principales Ejes Estratégicos y los Objetivos Específicos, definidos por el Ministerio de Obras Públicas y Comunicaciones (MOPC) con los objetivos y prioridades relacionados con las funciones que le competen y la inversión anual presupuestaria requerida por la institución para el periodo, con la finalidad de alcanzar con sus ejecutorias una gestión eficiente y sostenida</w:t>
      </w:r>
      <w:r w:rsidRPr="00954407">
        <w:t xml:space="preserve">, </w:t>
      </w:r>
      <w:r w:rsidRPr="00954407">
        <w:rPr>
          <w:color w:val="767171"/>
        </w:rPr>
        <w:t xml:space="preserve">contribuyendo con la mejora de la calidad de vida de la población que recibe los bienes y servicios que proporciona en toda la geografía nacional, lo que se refleja en los indicadores de medición y en las metas institucionales. </w:t>
      </w:r>
    </w:p>
    <w:p w14:paraId="16DE1829" w14:textId="77777777" w:rsidR="00BC27E9" w:rsidRPr="00954407" w:rsidRDefault="00BC27E9" w:rsidP="00BC27E9">
      <w:pPr>
        <w:pStyle w:val="EstilodePrrafoNormal1RdeC"/>
        <w:rPr>
          <w:color w:val="767171"/>
        </w:rPr>
      </w:pPr>
    </w:p>
    <w:p w14:paraId="6151A858" w14:textId="77777777" w:rsidR="00BC27E9" w:rsidRPr="00954407" w:rsidRDefault="00BC27E9" w:rsidP="00BC27E9">
      <w:pPr>
        <w:pStyle w:val="EstilodePrrafoNormal1RdeC"/>
        <w:rPr>
          <w:color w:val="767171"/>
        </w:rPr>
      </w:pPr>
      <w:r w:rsidRPr="00954407">
        <w:rPr>
          <w:color w:val="767171"/>
        </w:rPr>
        <w:t>Los Ejes Estratégicos Institucionales definidos en el PEIDi vigente del MOPC, son los siguientes:</w:t>
      </w:r>
    </w:p>
    <w:p w14:paraId="14B434CD" w14:textId="77777777" w:rsidR="00BC27E9" w:rsidRPr="00954407" w:rsidRDefault="00BC27E9" w:rsidP="00BC27E9">
      <w:pPr>
        <w:pStyle w:val="EstilodePrrafoNormal1RdeC"/>
        <w:rPr>
          <w:color w:val="767171"/>
        </w:rPr>
      </w:pPr>
    </w:p>
    <w:p w14:paraId="605A6779" w14:textId="77777777" w:rsidR="00BC27E9" w:rsidRPr="00954407" w:rsidRDefault="00BC27E9" w:rsidP="00BC27E9">
      <w:pPr>
        <w:pStyle w:val="EstilodePrrafoNormal1RdeC"/>
        <w:rPr>
          <w:color w:val="767171"/>
        </w:rPr>
      </w:pPr>
      <w:r w:rsidRPr="00954407">
        <w:rPr>
          <w:color w:val="767171"/>
        </w:rPr>
        <w:t>Eje 1: Regulación Técnica y Rectoría Sectorial;</w:t>
      </w:r>
    </w:p>
    <w:p w14:paraId="07408658" w14:textId="77777777" w:rsidR="00BC27E9" w:rsidRPr="00954407" w:rsidRDefault="00BC27E9" w:rsidP="00BC27E9">
      <w:pPr>
        <w:pStyle w:val="EstilodePrrafoNormal1RdeC"/>
        <w:rPr>
          <w:color w:val="767171"/>
        </w:rPr>
      </w:pPr>
      <w:r w:rsidRPr="00954407">
        <w:rPr>
          <w:color w:val="767171"/>
        </w:rPr>
        <w:t>Eje 2: Planificación y Ejecución de Proyectos de Inversión para Infraestructura Moderna, Segura y Sostenible;</w:t>
      </w:r>
    </w:p>
    <w:p w14:paraId="516E9B56" w14:textId="77777777" w:rsidR="00BC27E9" w:rsidRPr="00954407" w:rsidRDefault="00BC27E9" w:rsidP="00BC27E9">
      <w:pPr>
        <w:pStyle w:val="EstilodePrrafoNormal1RdeC"/>
        <w:rPr>
          <w:color w:val="767171"/>
        </w:rPr>
      </w:pPr>
      <w:r w:rsidRPr="00954407">
        <w:rPr>
          <w:color w:val="767171"/>
        </w:rPr>
        <w:t>Eje 3: Operaciones de Mantenimiento, Contingencia, Seguridad y Protección Vial;</w:t>
      </w:r>
    </w:p>
    <w:p w14:paraId="1B4A0304" w14:textId="77777777" w:rsidR="00BC27E9" w:rsidRPr="00954407" w:rsidRDefault="00BC27E9" w:rsidP="00BC27E9">
      <w:pPr>
        <w:pStyle w:val="EstilodePrrafoNormal1RdeC"/>
        <w:rPr>
          <w:color w:val="767171"/>
        </w:rPr>
      </w:pPr>
      <w:r w:rsidRPr="00954407">
        <w:rPr>
          <w:color w:val="767171"/>
        </w:rPr>
        <w:t xml:space="preserve">Eje 4: Fortalecimiento Institucional e Innovación Tecnológica. </w:t>
      </w:r>
    </w:p>
    <w:p w14:paraId="016282F4" w14:textId="77777777" w:rsidR="00BC27E9" w:rsidRPr="00954407" w:rsidRDefault="00BC27E9" w:rsidP="00BC27E9">
      <w:pPr>
        <w:pStyle w:val="EstilodePrrafoNormal1RdeC"/>
      </w:pPr>
    </w:p>
    <w:p w14:paraId="3B467D98" w14:textId="77777777" w:rsidR="00BC27E9" w:rsidRPr="00954407" w:rsidRDefault="00BC27E9" w:rsidP="00BC27E9">
      <w:pPr>
        <w:pStyle w:val="EstilodePrrafoNormal1RdeC"/>
        <w:rPr>
          <w:color w:val="767171"/>
        </w:rPr>
      </w:pPr>
      <w:r w:rsidRPr="00954407">
        <w:rPr>
          <w:color w:val="767171"/>
        </w:rPr>
        <w:t>Los ejes estratégicos representan el ámbito clave de intervención, en el cual el Ministerio concentra sus esfuerzos para cumplir su misión de ampliar, mejorar y mantener la infraestructura vial de la República Dominicana, contribuyendo así al desarrollo sostenible del país.</w:t>
      </w:r>
    </w:p>
    <w:p w14:paraId="1A4CF77B" w14:textId="77777777" w:rsidR="00BC27E9" w:rsidRPr="00954407" w:rsidRDefault="00BC27E9" w:rsidP="00BC27E9">
      <w:pPr>
        <w:pStyle w:val="EstilodePrrafoNormal1RdeC"/>
        <w:rPr>
          <w:color w:val="767171"/>
        </w:rPr>
      </w:pPr>
    </w:p>
    <w:p w14:paraId="15BEDEA9" w14:textId="77777777" w:rsidR="00BC27E9" w:rsidRPr="00954407" w:rsidRDefault="00BC27E9" w:rsidP="00BC27E9">
      <w:pPr>
        <w:pStyle w:val="EstilodePrrafoNormal1RdeC"/>
        <w:rPr>
          <w:color w:val="767171"/>
        </w:rPr>
      </w:pPr>
    </w:p>
    <w:p w14:paraId="5670BCFB" w14:textId="77777777" w:rsidR="00BC27E9" w:rsidRPr="00954407" w:rsidRDefault="00BC27E9" w:rsidP="00BC27E9">
      <w:pPr>
        <w:pStyle w:val="EstilodePrrafoNormal1RdeC"/>
        <w:rPr>
          <w:color w:val="767171"/>
        </w:rPr>
      </w:pPr>
    </w:p>
    <w:p w14:paraId="3E0EBCE1" w14:textId="77777777" w:rsidR="00BC27E9" w:rsidRPr="00954407" w:rsidRDefault="00BC27E9" w:rsidP="00BC27E9">
      <w:pPr>
        <w:pStyle w:val="EstilodePrrafoNormal1RdeC"/>
        <w:rPr>
          <w:color w:val="767171"/>
        </w:rPr>
      </w:pPr>
    </w:p>
    <w:p w14:paraId="5670D975" w14:textId="77777777" w:rsidR="00BC27E9" w:rsidRPr="00954407" w:rsidRDefault="00BC27E9" w:rsidP="00BC27E9">
      <w:pPr>
        <w:pStyle w:val="EstilodePrrafoNormal1RdeC"/>
        <w:rPr>
          <w:color w:val="767171"/>
        </w:rPr>
      </w:pPr>
    </w:p>
    <w:p w14:paraId="42532F8D" w14:textId="77777777" w:rsidR="00BC27E9" w:rsidRPr="00954407" w:rsidRDefault="00BC27E9" w:rsidP="00BC27E9">
      <w:pPr>
        <w:pStyle w:val="EstilodePrrafoNormal1RdeC"/>
        <w:rPr>
          <w:color w:val="767171"/>
        </w:rPr>
      </w:pPr>
    </w:p>
    <w:p w14:paraId="0C540A18" w14:textId="77777777" w:rsidR="00BC27E9" w:rsidRPr="00954407" w:rsidRDefault="00BC27E9" w:rsidP="00BC27E9">
      <w:pPr>
        <w:pStyle w:val="EstilodePrrafoNormal1RdeC"/>
        <w:rPr>
          <w:color w:val="767171"/>
        </w:rPr>
      </w:pPr>
    </w:p>
    <w:p w14:paraId="0F13F458" w14:textId="77777777" w:rsidR="00BC27E9" w:rsidRPr="00954407" w:rsidRDefault="00BC27E9" w:rsidP="00BC27E9">
      <w:pPr>
        <w:pStyle w:val="EstilodePrrafoNormal1RdeC"/>
        <w:rPr>
          <w:color w:val="767171"/>
        </w:rPr>
      </w:pPr>
    </w:p>
    <w:p w14:paraId="0B917B3C" w14:textId="77777777" w:rsidR="00BC27E9" w:rsidRPr="00954407" w:rsidRDefault="00BC27E9" w:rsidP="00BC27E9">
      <w:pPr>
        <w:pStyle w:val="EstilodePrrafoNormal1RdeC"/>
        <w:rPr>
          <w:color w:val="767171"/>
        </w:rPr>
      </w:pPr>
    </w:p>
    <w:p w14:paraId="6731672A" w14:textId="77777777" w:rsidR="00BC27E9" w:rsidRPr="00954407" w:rsidRDefault="00BC27E9" w:rsidP="00BC27E9">
      <w:pPr>
        <w:pStyle w:val="EstilodePrrafoNormal1RdeC"/>
        <w:rPr>
          <w:color w:val="767171"/>
        </w:rPr>
      </w:pPr>
    </w:p>
    <w:p w14:paraId="6D4FA333" w14:textId="77777777" w:rsidR="00BC27E9" w:rsidRPr="00954407" w:rsidRDefault="00BC27E9" w:rsidP="00BC27E9">
      <w:pPr>
        <w:pStyle w:val="EstilodePrrafoNormal1RdeC"/>
        <w:rPr>
          <w:color w:val="767171"/>
        </w:rPr>
      </w:pPr>
    </w:p>
    <w:p w14:paraId="2334DFC7" w14:textId="77777777" w:rsidR="00BC27E9" w:rsidRPr="00954407" w:rsidRDefault="00BC27E9" w:rsidP="00BC27E9">
      <w:pPr>
        <w:pStyle w:val="EstilodePrrafoNormal1RdeC"/>
        <w:rPr>
          <w:color w:val="767171"/>
        </w:rPr>
      </w:pPr>
    </w:p>
    <w:p w14:paraId="3E799FB2" w14:textId="77777777" w:rsidR="00BC27E9" w:rsidRPr="00954407" w:rsidRDefault="00BC27E9" w:rsidP="00BC27E9">
      <w:pPr>
        <w:pStyle w:val="EstilodePrrafoNormal1RdeC"/>
        <w:rPr>
          <w:color w:val="767171"/>
        </w:rPr>
      </w:pPr>
    </w:p>
    <w:p w14:paraId="5AF057AA" w14:textId="77777777" w:rsidR="00BC27E9" w:rsidRPr="00954407" w:rsidRDefault="00BC27E9" w:rsidP="00BC27E9">
      <w:pPr>
        <w:pStyle w:val="EstilodePrrafoNormal1RdeC"/>
        <w:rPr>
          <w:color w:val="767171"/>
        </w:rPr>
      </w:pPr>
    </w:p>
    <w:p w14:paraId="515FF318" w14:textId="77777777" w:rsidR="00BC27E9" w:rsidRPr="00954407" w:rsidRDefault="00BC27E9" w:rsidP="00BC27E9">
      <w:pPr>
        <w:pStyle w:val="EstilodePrrafoNormal1RdeC"/>
        <w:rPr>
          <w:color w:val="767171"/>
        </w:rPr>
      </w:pPr>
    </w:p>
    <w:p w14:paraId="68FDAD7E" w14:textId="77777777" w:rsidR="00BC27E9" w:rsidRPr="00954407" w:rsidRDefault="00BC27E9" w:rsidP="00BC27E9">
      <w:pPr>
        <w:pStyle w:val="EstilodePrrafoNormal1RdeC"/>
        <w:rPr>
          <w:color w:val="767171"/>
        </w:rPr>
      </w:pPr>
    </w:p>
    <w:p w14:paraId="66F5A971" w14:textId="77777777" w:rsidR="00BC27E9" w:rsidRPr="00954407" w:rsidRDefault="00BC27E9" w:rsidP="00BC27E9">
      <w:pPr>
        <w:pStyle w:val="EstilodePrrafoNormal1RdeC"/>
        <w:rPr>
          <w:color w:val="767171"/>
        </w:rPr>
      </w:pPr>
    </w:p>
    <w:p w14:paraId="797238C0" w14:textId="77777777" w:rsidR="00BC27E9" w:rsidRPr="00BC27E9" w:rsidRDefault="00BC27E9" w:rsidP="00BC27E9">
      <w:pPr>
        <w:pStyle w:val="Heading1"/>
        <w:numPr>
          <w:ilvl w:val="0"/>
          <w:numId w:val="108"/>
        </w:numPr>
        <w:jc w:val="center"/>
        <w:rPr>
          <w:rFonts w:ascii="Times New Roman" w:hAnsi="Times New Roman" w:cs="Times New Roman"/>
          <w:color w:val="767171"/>
          <w:sz w:val="28"/>
          <w:szCs w:val="28"/>
        </w:rPr>
      </w:pPr>
      <w:bookmarkStart w:id="68" w:name="_Toc217070881"/>
      <w:bookmarkStart w:id="69" w:name="_Toc217387677"/>
      <w:bookmarkStart w:id="70" w:name="_Toc217402119"/>
      <w:bookmarkEnd w:id="57"/>
      <w:bookmarkEnd w:id="58"/>
      <w:bookmarkEnd w:id="59"/>
      <w:bookmarkEnd w:id="60"/>
      <w:bookmarkEnd w:id="61"/>
      <w:bookmarkEnd w:id="62"/>
      <w:bookmarkEnd w:id="63"/>
      <w:bookmarkEnd w:id="64"/>
      <w:bookmarkEnd w:id="65"/>
      <w:r w:rsidRPr="00BC27E9">
        <w:rPr>
          <w:rFonts w:ascii="Times New Roman" w:hAnsi="Times New Roman" w:cs="Times New Roman"/>
          <w:color w:val="767171"/>
          <w:sz w:val="28"/>
          <w:szCs w:val="28"/>
        </w:rPr>
        <w:lastRenderedPageBreak/>
        <w:t>RESULTADOS MISIONALES, AÑO 2025</w:t>
      </w:r>
      <w:bookmarkEnd w:id="68"/>
      <w:bookmarkEnd w:id="69"/>
      <w:bookmarkEnd w:id="70"/>
    </w:p>
    <w:p w14:paraId="2DF822C0" w14:textId="77777777" w:rsidR="00BC27E9" w:rsidRPr="00954407" w:rsidRDefault="00BC27E9" w:rsidP="00BC27E9">
      <w:pPr>
        <w:pStyle w:val="EstilodePrrafoNormal1RdeC"/>
      </w:pPr>
      <w:r w:rsidRPr="00954407">
        <w:rPr>
          <w:noProof/>
          <w:spacing w:val="8"/>
          <w:lang w:eastAsia="es-DO"/>
        </w:rPr>
        <mc:AlternateContent>
          <mc:Choice Requires="wps">
            <w:drawing>
              <wp:anchor distT="0" distB="0" distL="114300" distR="114300" simplePos="0" relativeHeight="251667456" behindDoc="1" locked="0" layoutInCell="1" allowOverlap="1" wp14:anchorId="65CC0E8A" wp14:editId="6056A53D">
                <wp:simplePos x="0" y="0"/>
                <wp:positionH relativeFrom="column">
                  <wp:posOffset>2330450</wp:posOffset>
                </wp:positionH>
                <wp:positionV relativeFrom="paragraph">
                  <wp:posOffset>97155</wp:posOffset>
                </wp:positionV>
                <wp:extent cx="539750" cy="0"/>
                <wp:effectExtent l="0" t="19050" r="31750" b="19050"/>
                <wp:wrapNone/>
                <wp:docPr id="8" name="Conector recto 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6B5B5" id="Conector recto 8"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5pt,7.65pt" to="22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" strokecolor="red" strokeweight="2.5pt">
                <v:stroke joinstyle="miter"/>
              </v:line>
            </w:pict>
          </mc:Fallback>
        </mc:AlternateContent>
      </w:r>
    </w:p>
    <w:p w14:paraId="2359E31D" w14:textId="72D1A643" w:rsidR="00BC27E9" w:rsidRPr="004C2ADB" w:rsidRDefault="00BC27E9" w:rsidP="00F73212">
      <w:pPr>
        <w:pStyle w:val="EstilodePrrafoNormal1RdeC"/>
        <w:jc w:val="center"/>
      </w:pPr>
      <w:r w:rsidRPr="004C2ADB">
        <w:t xml:space="preserve">Memoria </w:t>
      </w:r>
      <w:r w:rsidR="004C2ADB" w:rsidRPr="004C2ADB">
        <w:t>I</w:t>
      </w:r>
      <w:r w:rsidRPr="004C2ADB">
        <w:t>nstitucional 2025</w:t>
      </w:r>
    </w:p>
    <w:p w14:paraId="4A6A8E53" w14:textId="77777777" w:rsidR="00BC27E9" w:rsidRPr="00954407" w:rsidRDefault="00BC27E9" w:rsidP="00BC27E9">
      <w:pPr>
        <w:pStyle w:val="EstilodePrrafoNormal1RdeC"/>
      </w:pPr>
    </w:p>
    <w:p w14:paraId="74E2E83B" w14:textId="77777777" w:rsidR="00BC27E9" w:rsidRPr="00954407" w:rsidRDefault="00BC27E9" w:rsidP="00BC27E9">
      <w:pPr>
        <w:pStyle w:val="EstilodePrrafoNormal1RdeC"/>
        <w:rPr>
          <w:rFonts w:eastAsia="Calibri"/>
          <w:color w:val="767171"/>
        </w:rPr>
      </w:pPr>
      <w:r w:rsidRPr="00954407">
        <w:rPr>
          <w:rFonts w:eastAsia="Calibri"/>
          <w:color w:val="767171"/>
        </w:rPr>
        <w:t>El Ministerio de Obras Públicas y Comunicaciones (MOPC), en el cumplimiento de los compromisos adquiridos para esta legislatura y de conformidad con lo establecido en la Constitución de la República Dominicana, presenta el Informe de Rendición de Cuentas correspondiente al periodo enero-diciembre del año 2025, con la finalidad de sintetizar las acciones ejecutadas o en proceso de consecución durante el citado período. Los principales resultados misionales obtenidos, se orientaron a la intervención de infraestructuras viales (urbanas y rurales) a nivel nacional, lo que constituye nuestro principal compromiso con la ciudadanía.</w:t>
      </w:r>
    </w:p>
    <w:p w14:paraId="3FF416B8" w14:textId="77777777" w:rsidR="00BC27E9" w:rsidRPr="00954407" w:rsidRDefault="00BC27E9" w:rsidP="00BC27E9">
      <w:pPr>
        <w:pStyle w:val="EstilodePrrafoNormal1RdeC"/>
        <w:rPr>
          <w:rFonts w:eastAsia="Calibri"/>
          <w:color w:val="767171"/>
        </w:rPr>
      </w:pPr>
    </w:p>
    <w:p w14:paraId="12187148" w14:textId="77777777" w:rsidR="00BC27E9" w:rsidRPr="00954407" w:rsidRDefault="00BC27E9" w:rsidP="00BC27E9">
      <w:pPr>
        <w:pStyle w:val="EstilodePrrafoNormal1RdeC"/>
      </w:pPr>
      <w:r w:rsidRPr="00954407">
        <w:rPr>
          <w:rFonts w:eastAsia="Calibri"/>
        </w:rPr>
        <w:t xml:space="preserve">Entre las principales acciones previstas por el MOPC para el logro de los resultados misionales, </w:t>
      </w:r>
      <w:r w:rsidRPr="00954407">
        <w:t xml:space="preserve">se contemplan todas las actividades desarrollada en el 2025, a través de las dependencias  que configuran este organismo, entre las que se </w:t>
      </w:r>
      <w:r w:rsidRPr="00954407">
        <w:rPr>
          <w:rFonts w:eastAsia="Calibri"/>
        </w:rPr>
        <w:t>destacan la regulación, planificación, construcción, rehabilitación y mantenimiento de la infraestructura del sector transporte a nivel nacional, generando impactos positivos en la ciudadanía con la mejora de la movilidad, accesibilidad, conectividad y seguridad de los usuarios, contribuyendo a dinamizar el desarrollo socioeconómico sostenible de las regiones conectadas, reduciendo además, los impactos negativos del medio ambiente y de la vulnerabilidad y riesgos de las infraestructuras viales, entre otros</w:t>
      </w:r>
      <w:r w:rsidRPr="00954407">
        <w:t xml:space="preserve"> </w:t>
      </w:r>
      <w:r w:rsidRPr="00954407">
        <w:rPr>
          <w:rFonts w:eastAsia="Calibri"/>
        </w:rPr>
        <w:t>beneficios para la población que utiliza las obras entregadas por la institución.</w:t>
      </w:r>
      <w:r w:rsidRPr="00954407">
        <w:t xml:space="preserve"> </w:t>
      </w:r>
    </w:p>
    <w:p w14:paraId="4EBE81DD" w14:textId="77777777" w:rsidR="00BC27E9" w:rsidRPr="00954407" w:rsidRDefault="00BC27E9" w:rsidP="00BC27E9">
      <w:pPr>
        <w:pStyle w:val="EstilodePrrafoNormal1RdeC"/>
        <w:rPr>
          <w:rFonts w:eastAsia="Calibri"/>
          <w:color w:val="767171"/>
          <w:lang w:val="es-DO"/>
        </w:rPr>
      </w:pPr>
    </w:p>
    <w:p w14:paraId="7D88E9A7" w14:textId="77777777" w:rsidR="00BC27E9" w:rsidRPr="00954407" w:rsidRDefault="00BC27E9" w:rsidP="00BC27E9">
      <w:pPr>
        <w:pStyle w:val="EstilodePrrafoNormal1RdeC"/>
      </w:pPr>
    </w:p>
    <w:p w14:paraId="6E5B0B5A" w14:textId="77777777" w:rsidR="00CF3199" w:rsidRPr="00CF3199" w:rsidRDefault="00CF3199" w:rsidP="00CF3199">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71" w:name="_Toc217394533"/>
      <w:bookmarkStart w:id="72" w:name="_Toc217394787"/>
      <w:bookmarkStart w:id="73" w:name="_Toc217394892"/>
      <w:bookmarkStart w:id="74" w:name="_Toc217402051"/>
      <w:bookmarkStart w:id="75" w:name="_Toc217402120"/>
      <w:bookmarkEnd w:id="16"/>
      <w:bookmarkEnd w:id="71"/>
      <w:bookmarkEnd w:id="72"/>
      <w:bookmarkEnd w:id="73"/>
      <w:bookmarkEnd w:id="74"/>
      <w:bookmarkEnd w:id="75"/>
    </w:p>
    <w:p w14:paraId="08789ADE" w14:textId="57CCFEE2" w:rsidR="00BC27E9" w:rsidRPr="00CF3199" w:rsidRDefault="00BC27E9" w:rsidP="00CF3199">
      <w:pPr>
        <w:pStyle w:val="Heading2"/>
        <w:rPr>
          <w:rFonts w:ascii="Times New Roman" w:hAnsi="Times New Roman" w:cs="Times New Roman"/>
          <w:b/>
          <w:bCs/>
          <w:color w:val="767171"/>
          <w:sz w:val="24"/>
          <w:szCs w:val="24"/>
        </w:rPr>
      </w:pPr>
      <w:r w:rsidRPr="00CF3199">
        <w:rPr>
          <w:rFonts w:ascii="Times New Roman" w:hAnsi="Times New Roman" w:cs="Times New Roman"/>
          <w:b/>
          <w:bCs/>
          <w:color w:val="767171"/>
          <w:sz w:val="24"/>
          <w:szCs w:val="24"/>
        </w:rPr>
        <w:t xml:space="preserve"> </w:t>
      </w:r>
      <w:bookmarkStart w:id="76" w:name="_Toc217402121"/>
      <w:r w:rsidRPr="00CF3199">
        <w:rPr>
          <w:rFonts w:ascii="Times New Roman" w:hAnsi="Times New Roman" w:cs="Times New Roman"/>
          <w:b/>
          <w:bCs/>
          <w:color w:val="767171"/>
          <w:sz w:val="24"/>
          <w:szCs w:val="24"/>
        </w:rPr>
        <w:t>Información Cuantitativa, Cualitativa e Indicador de los Procesos Misionales del período enero-diciembre</w:t>
      </w:r>
      <w:bookmarkEnd w:id="76"/>
    </w:p>
    <w:p w14:paraId="15D9D90B" w14:textId="77777777" w:rsidR="00BC27E9" w:rsidRPr="00954407" w:rsidRDefault="00BC27E9" w:rsidP="00BC27E9">
      <w:pPr>
        <w:pStyle w:val="EstilodePrrafoNormal1RdeC"/>
      </w:pPr>
    </w:p>
    <w:p w14:paraId="61683CC8" w14:textId="77777777" w:rsidR="00BC27E9" w:rsidRPr="00954407" w:rsidRDefault="00BC27E9" w:rsidP="00BC27E9">
      <w:pPr>
        <w:pStyle w:val="EstilodePrrafoNormal1RdeC"/>
      </w:pPr>
      <w:r w:rsidRPr="00954407">
        <w:t xml:space="preserve">Las metas e indicadores de gestión más relevantes obtenidos por el Ministerio de Obras Públicas y Comunicaciones (MOPC) durante el período enero – noviembre del año 2025, resaltan las ejecutorias efectuadas en el desempeño de sus funciones, viabilizando la prestación de bienes y servicios que ofrece a la población, alineados al Programa de Gobierno de del Presidente Constitucional de la República, lo que constituye nuestro principal compromiso con la ciudadanía. Los resultados misionales del año fiscal vigente, se resumen a continuación: </w:t>
      </w:r>
    </w:p>
    <w:p w14:paraId="76F0B0ED" w14:textId="64CD19F0" w:rsidR="00BC27E9" w:rsidRPr="00954407" w:rsidRDefault="00BC27E9" w:rsidP="001308EC">
      <w:pPr>
        <w:pStyle w:val="EstilodePrrafoNormal1RdeC"/>
        <w:numPr>
          <w:ilvl w:val="0"/>
          <w:numId w:val="183"/>
        </w:numPr>
        <w:spacing w:after="240"/>
        <w:ind w:left="0" w:firstLine="0"/>
        <w:rPr>
          <w:rFonts w:eastAsia="Calibri"/>
        </w:rPr>
      </w:pPr>
      <w:r w:rsidRPr="00954407">
        <w:rPr>
          <w:lang w:val="es-US"/>
        </w:rPr>
        <w:t xml:space="preserve">Conclusión de importantes  proyectos de </w:t>
      </w:r>
      <w:r w:rsidRPr="00954407">
        <w:t>Construcción y Reconstrucción de Carreteras</w:t>
      </w:r>
      <w:r w:rsidRPr="00954407">
        <w:rPr>
          <w:lang w:val="es-US"/>
        </w:rPr>
        <w:t xml:space="preserve"> durante el periodo enero-diciembre del año 2025, </w:t>
      </w:r>
      <w:r w:rsidRPr="00954407">
        <w:t xml:space="preserve">totalizando una longitud de 243.0 km-carril, una inversión  aproximada de RD$11,197,000,000.00, entre los que se destacan: </w:t>
      </w:r>
      <w:r w:rsidRPr="00954407">
        <w:rPr>
          <w:lang w:val="es-US"/>
        </w:rPr>
        <w:t xml:space="preserve">a) </w:t>
      </w:r>
      <w:r w:rsidRPr="00954407">
        <w:rPr>
          <w:rFonts w:eastAsia="Calibri"/>
          <w:lang w:val="es-US"/>
        </w:rPr>
        <w:t>C</w:t>
      </w:r>
      <w:r w:rsidR="004C2ADB" w:rsidRPr="00954407">
        <w:rPr>
          <w:rFonts w:eastAsia="Calibri"/>
        </w:rPr>
        <w:t>onstrucción</w:t>
      </w:r>
      <w:r w:rsidRPr="00954407">
        <w:rPr>
          <w:rFonts w:eastAsia="Calibri"/>
        </w:rPr>
        <w:t xml:space="preserve"> Avenida de Circunvalación de Baní, Provincia Peravia, con una longitud de 19.8 km; b) </w:t>
      </w:r>
      <w:r w:rsidRPr="00954407">
        <w:rPr>
          <w:rFonts w:eastAsia="Calibri"/>
          <w:noProof/>
          <w:spacing w:val="20"/>
        </w:rPr>
        <w:t>Reconstrucción Carretera Villa Elisa - Punta Rucia - La Ensenada, Provincia Montecristi, con una longitud de 23.2 km</w:t>
      </w:r>
      <w:r w:rsidRPr="00954407">
        <w:rPr>
          <w:rFonts w:eastAsia="Calibri"/>
        </w:rPr>
        <w:t xml:space="preserve">; c) </w:t>
      </w:r>
      <w:r w:rsidRPr="00954407">
        <w:rPr>
          <w:rFonts w:eastAsia="Calibri"/>
          <w:noProof/>
          <w:spacing w:val="20"/>
        </w:rPr>
        <w:t>Reconstrucción Cruce Carreteras Los Cajuiles – Palmarito y  Cruce Río San Juan – Los Cajuiles, Provincia María Trinidad Sánchez, con una longitud total de 25.8 km</w:t>
      </w:r>
      <w:r w:rsidRPr="00954407">
        <w:rPr>
          <w:rFonts w:eastAsia="Calibri"/>
        </w:rPr>
        <w:t xml:space="preserve">; d) </w:t>
      </w:r>
      <w:r w:rsidRPr="00954407">
        <w:rPr>
          <w:rFonts w:eastAsia="Calibri"/>
          <w:noProof/>
          <w:spacing w:val="20"/>
        </w:rPr>
        <w:t>Reconstrucción Carretera Gautier – Guayabal (1ra. Etapa), Provincia San Pedro de Macorís, con una longitud de 9.00 km</w:t>
      </w:r>
      <w:r w:rsidRPr="00954407">
        <w:rPr>
          <w:rFonts w:eastAsia="Calibri"/>
        </w:rPr>
        <w:t xml:space="preserve">; </w:t>
      </w:r>
      <w:r w:rsidRPr="00954407">
        <w:rPr>
          <w:rFonts w:eastAsia="Calibri"/>
          <w:noProof/>
          <w:spacing w:val="20"/>
        </w:rPr>
        <w:t>e)  Reconstrucción Carretera Carrera de Yeguas (Distrito Municipal) – Las Matas de Farfán, Provincia San Juan, con una longitud de 12.75 km; f) Reconstrucción Carretera El Cercado – Juan Santiago – Hondo Valle</w:t>
      </w:r>
      <w:r w:rsidRPr="00954407">
        <w:rPr>
          <w:color w:val="000000"/>
          <w:sz w:val="32"/>
          <w:szCs w:val="32"/>
          <w:shd w:val="clear" w:color="auto" w:fill="FFFFFF"/>
        </w:rPr>
        <w:t>,</w:t>
      </w:r>
      <w:r w:rsidRPr="00954407">
        <w:rPr>
          <w:rFonts w:eastAsia="Calibri"/>
          <w:noProof/>
          <w:spacing w:val="20"/>
        </w:rPr>
        <w:t xml:space="preserve"> Provincia Elías Piña, con una longitud de 31.0 km; </w:t>
      </w:r>
      <w:r w:rsidRPr="00954407">
        <w:rPr>
          <w:rFonts w:eastAsia="Calibri"/>
          <w:spacing w:val="20"/>
        </w:rPr>
        <w:t xml:space="preserve">entre otros. </w:t>
      </w:r>
    </w:p>
    <w:p w14:paraId="112F82B2" w14:textId="77777777" w:rsidR="00BC27E9" w:rsidRPr="00954407" w:rsidRDefault="00BC27E9" w:rsidP="001308EC">
      <w:pPr>
        <w:pStyle w:val="EstilodePrrafoNormal1RdeC"/>
        <w:numPr>
          <w:ilvl w:val="0"/>
          <w:numId w:val="183"/>
        </w:numPr>
        <w:spacing w:after="240"/>
        <w:ind w:left="0" w:firstLine="0"/>
        <w:rPr>
          <w:rFonts w:eastAsia="Calibri"/>
          <w:spacing w:val="20"/>
          <w:lang w:val="es-US"/>
        </w:rPr>
      </w:pPr>
      <w:r w:rsidRPr="00954407">
        <w:rPr>
          <w:rFonts w:eastAsia="Calibri"/>
          <w:noProof/>
          <w:spacing w:val="20"/>
        </w:rPr>
        <w:t xml:space="preserve">Continuaron durante el año 2025, la construcción de Avenidas de Circunvalación en todo el territorio nacional, proyectos </w:t>
      </w:r>
      <w:r w:rsidRPr="00954407">
        <w:rPr>
          <w:rFonts w:eastAsia="Calibri"/>
          <w:noProof/>
          <w:spacing w:val="20"/>
        </w:rPr>
        <w:lastRenderedPageBreak/>
        <w:t xml:space="preserve">trascendentaleslas que optimizan la movilidad, impulsan el desarrollo y mejoran la calidad de vida urbana, con la ejecución de 58.5 km de longitud, una inversión  de RD$32,391,283,431.38, entre los cuales citamos: a) Construcción Tramo de Carretera Enlace Vial Estancia Nueva (Circunvalación de Moca), hasta Licey al Medio (abarca 3 etapas), con una longitud </w:t>
      </w:r>
      <w:r w:rsidRPr="00954407">
        <w:t xml:space="preserve">de 10.20 km, Provincia  Espaillat; b) Construcción Viaducto y Distribuidor vial en la intersección de las Avenidas República de Colombia con Avenida Coronel Juan María Lora y Avenida Pérez Ricart, integrando varias Soluciones Viales en las intersecciones con Avenida Los Próceres, Avenida Jacobo Majluta y Ampliación de la República de Colombia desde Autopista Duarte hasta Avenida Los Próceres, Distrito Nacional, con una longitud aproximada de 10.0 km; c) Construcción Avenida de Circunvalación Norte en el Municipio Villa Bisonó (Navarrete), Provincia Santiago, inicia desde la Autopista Joaquín Balaguer hasta la Autopista Duarte con una longitud de 4.03 km; d) </w:t>
      </w:r>
      <w:r w:rsidRPr="00954407">
        <w:rPr>
          <w:rFonts w:eastAsia="Calibri"/>
          <w:noProof/>
          <w:spacing w:val="20"/>
        </w:rPr>
        <w:t>Construcción Barrera de Protección Marina, tramo vial, obras conexas y complementarias del Malecón de Nagua, Provincia María Trinidad Sánchez</w:t>
      </w:r>
      <w:r w:rsidRPr="00954407">
        <w:t xml:space="preserve"> con una longitud de 4.76 km</w:t>
      </w:r>
      <w:r w:rsidRPr="00954407">
        <w:rPr>
          <w:rFonts w:eastAsia="Calibri"/>
          <w:noProof/>
          <w:spacing w:val="20"/>
        </w:rPr>
        <w:t xml:space="preserve">; e) Construcción </w:t>
      </w:r>
      <w:r w:rsidRPr="00954407">
        <w:t xml:space="preserve">Circunvalación  Nuevo Camino (Los Alcarrizos) con una longitud de 8.0 km; f) </w:t>
      </w:r>
      <w:r w:rsidRPr="00954407">
        <w:rPr>
          <w:rFonts w:eastAsia="Calibri"/>
          <w:noProof/>
          <w:spacing w:val="20"/>
        </w:rPr>
        <w:t xml:space="preserve"> Construcción </w:t>
      </w:r>
      <w:r w:rsidRPr="00954407">
        <w:t xml:space="preserve">Circunvalación San Francisco de Macorís, Provincia Duarte con una longitud de 15.0 km; g) </w:t>
      </w:r>
      <w:r w:rsidRPr="00954407">
        <w:rPr>
          <w:rFonts w:eastAsia="Calibri"/>
          <w:noProof/>
          <w:spacing w:val="20"/>
        </w:rPr>
        <w:t xml:space="preserve">Construcción </w:t>
      </w:r>
      <w:r w:rsidRPr="00954407">
        <w:t>Circunvalación La Otra Banda, Municipio Higüey, Provincia La Altagracia con una longitud de 4.13 km; entre otras.</w:t>
      </w:r>
    </w:p>
    <w:p w14:paraId="66B59DF6" w14:textId="77777777" w:rsidR="00BC27E9" w:rsidRPr="00954407" w:rsidRDefault="00BC27E9" w:rsidP="001308EC">
      <w:pPr>
        <w:pStyle w:val="EstilodePrrafoNormal1RdeC"/>
        <w:numPr>
          <w:ilvl w:val="0"/>
          <w:numId w:val="183"/>
        </w:numPr>
        <w:spacing w:after="240"/>
        <w:ind w:left="0" w:firstLine="0"/>
        <w:rPr>
          <w:rFonts w:eastAsia="Calibri"/>
          <w:spacing w:val="20"/>
          <w:lang w:val="es-US"/>
        </w:rPr>
      </w:pPr>
      <w:r w:rsidRPr="00954407">
        <w:rPr>
          <w:lang w:val="es-US"/>
        </w:rPr>
        <w:t xml:space="preserve">Durante el año 2025, las ejecutorias de importantes proyectos de Construcción y Reconstrucción de Carreteras a nivel nacional, presentaron un considerable avance, con una longitud total de 578.0 km y un monto presupuestado de RD$44,824,192,366.00, entre  las que se destacan: a) </w:t>
      </w:r>
      <w:r w:rsidRPr="00954407">
        <w:t xml:space="preserve">Programa de Ampliación, Reconstrucción y Modernización de la Autopista Duarte desde Santo Domingo hasta Monte Cristi, con 270 km de longitud, Multiprovincial; b) Reconstrucción y Ampliación Carretera Jarabacoa – La </w:t>
      </w:r>
      <w:r w:rsidRPr="00954407">
        <w:lastRenderedPageBreak/>
        <w:t>Vega (tramo desde C/ Federico Basilis hasta Junumucú) Municipio Jarabacoa, Provincia La Vega, con una longitud de 38.22 km; c) Terminación Proyecto Reconstrucción Barahona – Enriquillo, con una longitud de 45.5. km, Provincia Barahona; d) Ampliación Carretera Enriquillo- Pedernales, Provincias Barahona y Pedernales, con una longitud de 73.0 km; e) Construcción de Infraestructura Vial para el Desarrollo Turístico de Cabo Rojo, Provincia Pedernales, con una longitud de 12.0 km, entre otros; lo que representa una mejora de la calidad de vida de los usuarios que recibirán los beneficios de las obras.</w:t>
      </w:r>
    </w:p>
    <w:p w14:paraId="6079C227" w14:textId="77777777" w:rsidR="00BC27E9" w:rsidRPr="00954407" w:rsidRDefault="00BC27E9" w:rsidP="001308EC">
      <w:pPr>
        <w:pStyle w:val="EstilodePrrafoNormal1RdeC"/>
        <w:numPr>
          <w:ilvl w:val="0"/>
          <w:numId w:val="183"/>
        </w:numPr>
        <w:spacing w:after="240"/>
        <w:ind w:left="0" w:firstLine="0"/>
        <w:rPr>
          <w:rFonts w:eastAsia="Calibri"/>
          <w:noProof/>
          <w:spacing w:val="20"/>
        </w:rPr>
      </w:pPr>
      <w:r w:rsidRPr="00954407">
        <w:rPr>
          <w:rFonts w:eastAsia="Calibri"/>
          <w:noProof/>
          <w:spacing w:val="20"/>
        </w:rPr>
        <w:t>Concluyeron durante el año 2025, significativos proyectos para mejorar la movilidad y seguridad de los usuarios en zonas urbanas, entre los que citamos: a) Construcción Paso a Desnivel en la intersección de las Avenidas Prolongación 27 de Febrero con Isabel Aguiar, Municipio Santo Domingo Oeste, con una longitud de 480.0 metros, once (11) carriles con un valor presupuestado de RD$2,562,500,000.00; b) Construcción Nueva Estación de Peaje, ubicada en el kilómetro 32 de la Autopista Duarte, la cual reemplaza la antigua estación ubicada en el km 25, con veintidós (22) carriles y un valor presupuestado de RD$600,000,000.00; c) Reconstrucción Paso a Desnivel de la Avenida Hípica, Municipio Santo Domingo Este, con una longitud de 0.5 km, un valor presupuestado de RD$700,000,000.00; c) Construcción Avenida Ecológica, Tramo II con una longitud de 3.32 km, un valor presupuestado de RD$ 1,515,317,083.61; entre otras.</w:t>
      </w:r>
    </w:p>
    <w:p w14:paraId="3A1A3F90" w14:textId="77777777" w:rsidR="00BC27E9" w:rsidRPr="00954407" w:rsidRDefault="00BC27E9" w:rsidP="001308EC">
      <w:pPr>
        <w:pStyle w:val="EstilodePrrafoNormal1RdeC"/>
        <w:numPr>
          <w:ilvl w:val="0"/>
          <w:numId w:val="183"/>
        </w:numPr>
        <w:spacing w:after="240"/>
        <w:ind w:left="0" w:firstLine="0"/>
        <w:rPr>
          <w:rFonts w:eastAsia="Calibri"/>
          <w:noProof/>
          <w:spacing w:val="20"/>
        </w:rPr>
      </w:pPr>
      <w:r w:rsidRPr="00954407">
        <w:rPr>
          <w:rFonts w:eastAsia="Calibri"/>
          <w:noProof/>
          <w:spacing w:val="20"/>
        </w:rPr>
        <w:t xml:space="preserve">Intervención de 430.0 km de la red de Caminos Vecinales a nivel nacional, con la ejecución de proyectos de Construcción, Reconstrucción y Mantenimiento, durante el periodo enero - noviembre del año 2025, los cuales conducen a importantes proyectos agroforestales, registrando una ejecución ascendente a la suma de </w:t>
      </w:r>
      <w:r w:rsidRPr="00954407">
        <w:rPr>
          <w:rFonts w:eastAsia="Calibri"/>
          <w:noProof/>
          <w:spacing w:val="20"/>
        </w:rPr>
        <w:lastRenderedPageBreak/>
        <w:t xml:space="preserve">RD$3,882,242,505.36, entre los cuales citamos: a) Construcción Camino Vecinal La Siembra (D.M.)-Padre Las Casas, Provincia Azua, con una longitud de 5.20 km, un valor presupuestado de RD$761,126,871.53; b) Construcción Camino Vecinal La Llanada del Cerro, Provincia Azua, con una longitud de 8.30 km, un valor presupuestado de RD$104,733,650.93; c) Reconstrucción Camino Vecinal Cruce La Piña - Naranjo Dulce - La Explanación - Río Boba, Municipio San Francisco de Macorís, Provincia Duarte, con una longitud de 5.0 km, un valor presupuestado de RD$413,696,047.57; d) Reconstrucción Camino Carretero El Mango - El Cercado, Municipio San Francisco de Macorís, Provincia Duarte, con una longitud de 8.4 km, un valor presupuestado de RD$465,133,735.84; e) Reconstrucción Camino Vecinal Los Fríos - Los Guayayos - Las Lajas, Provincia Azua, con una longitud de 12.80 km, un valor presupuestado de RD$109,861,685.68; f) Reconstrucción Camino Vecinal Ranchito – Los Tres Pasos - Los Hidalgos, Provincia Puerto Plata, con una longitud de 6.50 km, un valor presupuestado de RD$161,472,065.44; g) Asfaltado de  Caminos Grupo II, Lote I, El Puerto-Los Lirios-El Charco-La Lanza- Lanza Abajo – Escuela Lanza Abajo,  Provincia Barahona, longitud 10.80 km, con un valor presupuestado de RD$123,376,485.38; h) Rehabilitación Caminos Vecinales Naranjal Arriba-Parra, Rancho Arriba-Río Mahoma y Sabana Grande de Boyá-Los Pomos,  Provincia San José de Ocoa, longitud 20.87 km, con un valor presupuestado de RD$422,976,957.26; i) Construcción Camino Vecinal La Siembra (D.M.)-Padre Las Casas, Provincia Azua, con una longitud de 5.20 km, un valor presupuestado de RD$761,126,871.53; j) Construcción Camino Vecinal La Llanada del Cerro, Provincia Azua, con una longitud de 8.30 km, un valor presupuestado de RD$104,733,650.93; k) Reconstrucción Camino Vecinal Cruce La Piña - Naranjo Dulce - La Explanación - Río Boba, Municipio San Francisco de Macorís, </w:t>
      </w:r>
      <w:r w:rsidRPr="00954407">
        <w:rPr>
          <w:rFonts w:eastAsia="Calibri"/>
          <w:noProof/>
          <w:spacing w:val="20"/>
        </w:rPr>
        <w:lastRenderedPageBreak/>
        <w:t>Provincia Duarte, con una longitud de 5.0 km, un valor presupuestado de RD$413,696,047.57; l) Reconstrucción Camino Carretero El Mango - El Cercado, Municipio San Francisco de Macorís, Provincia Duarte, con una longitud de 8.4 km, un valor presupuestado de RD$465,133,735.84; m) Reconstrucción Camino Vecinal Los Fríos - Los Guayayos - Las Lajas, Provincia Azua, con una longitud de 12.80 km, un valor presupuestado de RD$109,861,685.68; m) Reconstrucción Camino Vecinal Ranchito – Los Tres Pasos - Los Hidalgos, Provincia Puerto Plata, con una longitud de 6.50 km, un valor presupuestado de RD$161,472,065.44, entre otros, contribuyendo a los objetivos del Eje 3 de la END 2030.</w:t>
      </w:r>
    </w:p>
    <w:p w14:paraId="1C0558A6" w14:textId="77777777" w:rsidR="00BC27E9" w:rsidRPr="00954407" w:rsidRDefault="00BC27E9" w:rsidP="001308EC">
      <w:pPr>
        <w:pStyle w:val="EstilodePrrafoNormal1RdeC"/>
        <w:numPr>
          <w:ilvl w:val="0"/>
          <w:numId w:val="183"/>
        </w:numPr>
        <w:spacing w:after="240"/>
        <w:ind w:left="0" w:firstLine="0"/>
        <w:rPr>
          <w:rFonts w:eastAsia="Calibri"/>
          <w:noProof/>
          <w:spacing w:val="20"/>
        </w:rPr>
      </w:pPr>
      <w:r w:rsidRPr="00954407">
        <w:rPr>
          <w:rFonts w:eastAsia="Calibri"/>
          <w:noProof/>
          <w:spacing w:val="20"/>
        </w:rPr>
        <w:t>Durante el periodo enero-diciembre del 2025, se concluyeron importantes proyectos de puentes a nivel nacional, con una inversión total asignada vigente de RD$3,950,826,108.12, de los cuales se ejecutaron RD$3,397,999,022.76, lo que representa el  86.0 % invertido, entre los que  se destacan los siguientes: a) Construcción Puente Bajabonico Arriba, Municipio Altamira, Provincia Puerto Plata, con una longitud de  0.04 km, un valor presupuestado de RD$60,000,000.00 (Sesenta Millones de Pesos con 00/100); b) Construcción Puente Yuna, en la comunidad de Rincón Bebedero, Municipio Arenoso, Provincia Duarte,  con una longitud de 0.025 km, un valor presupuestado de RD$48,000,000.00 (Cuarenta y Ocho Millones de Pesos con 00/100); c) Reconstrucción Puente sobre el Río Cevicos, en la carretera Cevicos-Palmar Arriba, Provincia Sanchez Ramirez, con una longitud de 0.03 km, impactando significativamente a los residentes del área de influencia de las obras concluidas.</w:t>
      </w:r>
    </w:p>
    <w:p w14:paraId="142689E9" w14:textId="77777777" w:rsidR="00BC27E9" w:rsidRPr="00954407" w:rsidRDefault="00BC27E9" w:rsidP="001308EC">
      <w:pPr>
        <w:pStyle w:val="EstilodePrrafoNormal1RdeC"/>
        <w:numPr>
          <w:ilvl w:val="0"/>
          <w:numId w:val="183"/>
        </w:numPr>
        <w:spacing w:after="240"/>
        <w:ind w:left="0" w:firstLine="0"/>
      </w:pPr>
      <w:r w:rsidRPr="00954407">
        <w:t xml:space="preserve">Conclusión durante el periodo enero-diciembre del año 2025, de un gran porcentaje de obras de infraestructura vial contempladas en los Planes </w:t>
      </w:r>
      <w:r w:rsidRPr="00954407">
        <w:lastRenderedPageBreak/>
        <w:t xml:space="preserve">de Mejoramientos de la Red Vial Urbana por Municipios en toda la geografía nacional, que integran los Programas Nacionales de Asfaltado y Construcción de Aceras y Contenes, denominados (PROPACC) Nos. 1, 2, 3, 4 y 5, con una gran aceptación en la población beneficiaria, por  la mejora de la accesibilidad, conectividad y seguridad de los usuarios residentes en los municipios intervenidos; en ese sentido, se registra  un total de 3,729.60 km de calles y avenidas rehabilitadas en los 154 municipios del país, con una inversión ascendente a la suma de RD$21,170,249,772.27, siendo las principales obras en ejecución en los citados planes, las siguientes: a)  Asfaltado de Las Calles del Barrio Los Cocos, Neyba, Provincia Bahoruco, con una longitud de 1.92 km; b) Reconstrucción y asfaltado de las calles de la Universidad de Neiba, Provincia Bahoruco; c) Reasfaltado y Reconstrucción de las Calles del Municipio de Barahona (PROPACC), Sector Valle Encantado, Villa Central, Municipio de Barahona, con una longitud de 6.00 km; d) Reconstrucción de Calles de Barahona, Carretera Principal, Municipio Palo Alto, Provincia Barahona, con una longitud de 5.00; e) Asfaltado de las Calles de las Guaranás, sector FH, Provincia Duarte, con una longitud de 6.00 km; f) Terminación Reconstrucción de Calles del Sector Villa Olimpia, Provincia Duarte, con una longitud de 5.20 km; g) Reconstrucción del Camino Vecinal Cuatro Caminos-Las Cabirnas, Provincia El Seibo, con una longitud de 5.20 km; </w:t>
      </w:r>
      <w:r w:rsidRPr="00954407">
        <w:tab/>
        <w:t xml:space="preserve"> h) Reconstrucción y Reasfaltado de las Calles de Verón, Bávaro y Punta Cana, Nisibón, Provincia La Altagracia, con una longitud de 6.50 km; i) Reconstrucción de las Calles del Hoyo de Friusa, Prolongación. Avenida España, Provincia La Altagracia, con una longitud de 4.80 km; j) Reconstrucción de las Calles del Sector Don Fello, Los Morales y Parqueo de INESPRE, Provincia La Altagracia, con una longitud de 10.23 km; Construcción de Las 5.00 km; k) Reconstrucción de las calles Juma Bejucal, María Auxiliadora, Provincia Monseñor Nouel, con una longitud de 4.80 km; l) Reconstrucción de la Calle Principal Las Mercedes, con una longitud de 2.00 km, Provincia Monte Plata; m) Construcción de Calles del Barrio Peña Gómez, Municipio </w:t>
      </w:r>
      <w:r w:rsidRPr="00954407">
        <w:lastRenderedPageBreak/>
        <w:t xml:space="preserve">Esperanza, Provincia Valverde, con una longitud de 14.50 km; n) Reconstrucción de las Calles Pajarito, Los Solares, El Silencio, Municipio Villa Altagracia, Provincia San Cristóbal, con una longitud de 3.00 km; m) Construcción de Calles internas del Centro Integral de Atención a Adultos Mayores, Provincia  San Juan, </w:t>
      </w:r>
      <w:r w:rsidRPr="00954407">
        <w:tab/>
        <w:t>con una longitud de 1.2 km; con una longitud de 4.80 km; n) Asfaltado Calles Sector Patria Mella, Municipio Santo Domingo Este, con una longitud de  6.86 km; m) Construcción de las calles de Villa Satélite, Municipio Santo Domingo Norte, con una longitud de 7.80 km;  entre otros.</w:t>
      </w:r>
    </w:p>
    <w:p w14:paraId="25856C90" w14:textId="77777777" w:rsidR="00BC27E9" w:rsidRPr="00954407" w:rsidRDefault="00BC27E9" w:rsidP="001308EC">
      <w:pPr>
        <w:pStyle w:val="EstilodePrrafoNormal1RdeC"/>
        <w:numPr>
          <w:ilvl w:val="0"/>
          <w:numId w:val="183"/>
        </w:numPr>
        <w:spacing w:after="240"/>
        <w:ind w:left="0" w:firstLine="0"/>
      </w:pPr>
      <w:r w:rsidRPr="00954407">
        <w:t>El MOPC continuó durante el periodo enero-diciembre del 2025, las ejecutorias de los Programas financiados con recursos externos del Banco Interamericano de Desarrollo (BID), destacándose los  siguientes: a) Programa de Mejoramiento del Puerto de Manzanillo, integra el Muelle  Offshore, la Rehabilitación de los tramos de la Autopista Duarte: Lote 1 (Tramo Navarrete - Jaibón), Lote  2 ( Jaibón - Botoncillo) y Lote 3 (Botoncillo – Montecristi), con una longitud aproximada de 93.48</w:t>
      </w:r>
      <w:r w:rsidRPr="00954407">
        <w:rPr>
          <w:color w:val="auto"/>
          <w:spacing w:val="0"/>
          <w:lang w:eastAsia="es-DO"/>
        </w:rPr>
        <w:t xml:space="preserve"> </w:t>
      </w:r>
      <w:r w:rsidRPr="00954407">
        <w:t>km y un costo total de RD$5,628,821,208.92, ejecutando durante el periodo enero-diciembre del año 2025, un total de RD$425,530,294.30; b) Programa de Rehabilitación y Mantenimiento de Carreteras (117 km) y Caminos Vecinales (884 km) a nivel nacional, con una inversión total  de RD$7,306,790,544.99, ejecutando durante el periodo enero-diciembre del año 2025, un total de RD$2,135,754,914.86; y, c) Programa de Mejoramiento de Obras Públicas para reducir riesgos de desastres en el contexto del cambio climático a nivel nacional, con una inversión total  de RD$864,041,349.39, ejecutando durante el periodo enero-diciembre del año 2025, un total de RD$257,940,477.63.</w:t>
      </w:r>
    </w:p>
    <w:p w14:paraId="0AA29DA4" w14:textId="77777777" w:rsidR="00BC27E9" w:rsidRPr="00954407" w:rsidRDefault="00BC27E9" w:rsidP="001308EC">
      <w:pPr>
        <w:pStyle w:val="EstilodePrrafoNormal1RdeC"/>
        <w:numPr>
          <w:ilvl w:val="0"/>
          <w:numId w:val="183"/>
        </w:numPr>
        <w:spacing w:after="240"/>
        <w:ind w:left="0" w:firstLine="0"/>
      </w:pPr>
      <w:r w:rsidRPr="00954407">
        <w:t>Las ejecutorias del Programa de Protección y Asistencia Vial llevado a efecto por la Comisión Militar y Policial del MOPC (COMIPOL),  alcanzaron un total de 220,573</w:t>
      </w:r>
      <w:r w:rsidRPr="00954407">
        <w:rPr>
          <w:rFonts w:eastAsia="Calibri"/>
        </w:rPr>
        <w:t xml:space="preserve"> </w:t>
      </w:r>
      <w:r w:rsidRPr="00954407">
        <w:t xml:space="preserve">servicios de Asistencias Viales durante el </w:t>
      </w:r>
      <w:r w:rsidRPr="00954407">
        <w:lastRenderedPageBreak/>
        <w:t>periodo enero – diciembre del año 2025, mediante  las actividades desarrolladas en los operativos 24/7 de patrullaje, vigilancia, protección y asistencia vial a los usuarios que transitan por los principales corredores urbanos e interurbanos del país, siendo las más demandadas por tipo las siguientes: 73,986 asistencias por neumáticos;</w:t>
      </w:r>
      <w:r w:rsidRPr="00954407">
        <w:rPr>
          <w:rFonts w:eastAsia="Calibri"/>
        </w:rPr>
        <w:t xml:space="preserve"> 67,970 por fallas mecánicas; 36,326 por seguridad; 16,899 por combustible; 6,876 por calentamientos; </w:t>
      </w:r>
      <w:r w:rsidRPr="00954407">
        <w:t>4</w:t>
      </w:r>
      <w:r w:rsidRPr="00954407">
        <w:rPr>
          <w:rFonts w:eastAsia="Calibri"/>
        </w:rPr>
        <w:t xml:space="preserve">,909 asistencias por accidentes; 4,757 por talleres móviles; 4,037 por requerimiento de grúas; 3,752 por fallas eléctricas; 1,046 por ambulancia, 16 por camiones de rescate, entre otras; siendo el 64.35% de las asistencias ofrecidas las correspondientes a neumáticos y fallas mecánicas, beneficiando un total de 882,292 usuarios que reciben  seguridad personal y vial al transitar </w:t>
      </w:r>
      <w:r w:rsidRPr="00954407">
        <w:t xml:space="preserve">por los principales corredores urbanos e interurbanos del país,  contribuyendo estas acciones al Eje 1 de la Estrategia Nacional de Desarrollo (END 2030).  </w:t>
      </w:r>
    </w:p>
    <w:p w14:paraId="1B866171" w14:textId="77777777" w:rsidR="00BC27E9" w:rsidRPr="00954407" w:rsidRDefault="00BC27E9" w:rsidP="001308EC">
      <w:pPr>
        <w:pStyle w:val="EstilodePrrafoNormal1RdeC"/>
        <w:numPr>
          <w:ilvl w:val="0"/>
          <w:numId w:val="183"/>
        </w:numPr>
        <w:spacing w:after="240"/>
        <w:ind w:left="0" w:firstLine="0"/>
      </w:pPr>
      <w:r w:rsidRPr="00954407">
        <w:t xml:space="preserve">Se efectuaron durante el periodo  enero-diciembre del año 2025,  en cumplimiento a lo establecido en la Ley No. 340-06 sobre Compras y Contrataciones de Bienes, Servicios, Obras y Concesiones, un total de Ochenta y Seis (86) procesos de Licitaciones Públicas Nacionales (LPN), con un valor presupuestado de RD$9,423,560,957.85 (Nueve Mil Cuatrocientos Veintitrés Millones Quinientos Sesenta Mil Novecientos Cincuenta y Siete Pesos con 85/100), aplicando las modalidades de Licitación Pública Nacional (LPN), Compras Menores (CM), Compras Directas (CD), Comparación de Precios (CP), Procesos Excepción (PE) y Subasta Inversa (SI) para la adquisición de bienes, servicios, y obras, destacándose los siguientes: a) Contratación para Trabajos de Obras Viales y Hormigón Asfáltico Caliente (H.A.C.). Modalidad LPN – Estatus: Adjudicado; b) Fideicomiso para la expansión, el mantenimiento y la operación de la red de parqueos de uso público de la República Dominicana (PARQUEAT-RD). Modalidad Compras Menores – Estatus: Adjudicado; c) Suministro de Emulsión Asfáltica Catiónica (CRS-1) para uso de los </w:t>
      </w:r>
      <w:r w:rsidRPr="00954407">
        <w:lastRenderedPageBreak/>
        <w:t>Programas de Asfaltado y Bacheo Técnico. Modalidad Compras Menores – Estatus: Adjudicado; d) Solución, Construcción y Reconstrucción de Infraestructuras Viales que fueron afectadas por el paso de la Tormenta Melissa (Grupos I y II). Modalidad Procesos de Emergencia - Estatus: Adjudicado; e) Adquisición de Materiales e Insumos para el soporte, mantenimiento y continuidad de los servicios de Infraestructura TIC del MOPC. Modalidad Compras Menores – Estatus: Adjudicado, entre otros. Adicionalmente, se encuentra en proceso la licitación pública internacional para intervenir 53 puentes a partir del año 2026, denominado “Gestión de resiliencia climática de la infraestructura de puentes en República Dominicana”, proyectos financiados por el Banco Interamericano de Desarrollo (BID), bajo el contrato de préstamo 5901/OC-DR, y está en proceso de licitación desde el 03 de diciembre del 2025, dirigidos a Empresas Constructoras, Profesionales de la Ingeniería y la Arquitectura, MIPYMES, etc., inscritos en el Registro de Proveedores del Estado.</w:t>
      </w:r>
    </w:p>
    <w:p w14:paraId="0D54DCC2" w14:textId="77777777" w:rsidR="00BC27E9" w:rsidRPr="00954407" w:rsidRDefault="00BC27E9" w:rsidP="001308EC">
      <w:pPr>
        <w:pStyle w:val="EstilodePrrafoNormal1RdeC"/>
        <w:numPr>
          <w:ilvl w:val="0"/>
          <w:numId w:val="183"/>
        </w:numPr>
        <w:spacing w:after="240"/>
        <w:ind w:left="0" w:firstLine="0"/>
      </w:pPr>
      <w:r w:rsidRPr="00954407">
        <w:t>Las ejecutorias del Programa de Señalización Vial del MOPC, durante el</w:t>
      </w:r>
      <w:r w:rsidRPr="00954407">
        <w:rPr>
          <w:rFonts w:eastAsia="Calibri"/>
        </w:rPr>
        <w:t xml:space="preserve"> periodo enero-diciembre del 2025, incluyeron la señalización </w:t>
      </w:r>
      <w:r w:rsidRPr="00954407">
        <w:t>en la red vial intervenida a nivel nacional</w:t>
      </w:r>
      <w:r w:rsidRPr="00954407">
        <w:rPr>
          <w:rFonts w:eastAsia="Calibri"/>
        </w:rPr>
        <w:t xml:space="preserve"> </w:t>
      </w:r>
      <w:r w:rsidRPr="00954407">
        <w:t>(Carreteras, Calles, Avenidas, Caminos Vecinales, Puentes, Distribuidores de Tráfico, etc.)</w:t>
      </w:r>
      <w:r w:rsidRPr="00954407">
        <w:rPr>
          <w:rFonts w:eastAsia="Calibri"/>
        </w:rPr>
        <w:t xml:space="preserve">, </w:t>
      </w:r>
      <w:r w:rsidRPr="00954407">
        <w:t>estimándose una longitud de 3,070 km-carril de señalización horizontal colocada</w:t>
      </w:r>
      <w:r w:rsidRPr="00954407">
        <w:rPr>
          <w:rFonts w:eastAsia="Calibri"/>
        </w:rPr>
        <w:t>;</w:t>
      </w:r>
      <w:r w:rsidRPr="00954407">
        <w:t xml:space="preserve"> además, un total de 664 unidades de señales verticales de NO ESTACIONE, NO PASAJEROS, NO DOBLE EN “U”, NO CAMIONES, etc., las cuales se complementan con la colocación de vialetas reflectivas (ojos de gato) y colocación de señales informativas en los orígenes de los tramos,</w:t>
      </w:r>
      <w:r w:rsidRPr="00954407">
        <w:rPr>
          <w:rFonts w:eastAsia="Calibri"/>
        </w:rPr>
        <w:t xml:space="preserve"> con una inversión aproximada de RD$470,872,660.00 (Cuatrocientos Setenta Millones Ochocientos Setenta y Dos Mil Seiscientos Sesenta Pesos con 00/100).</w:t>
      </w:r>
    </w:p>
    <w:p w14:paraId="0BA5B481" w14:textId="77777777" w:rsidR="00BC27E9" w:rsidRPr="00954407" w:rsidRDefault="00BC27E9" w:rsidP="001308EC">
      <w:pPr>
        <w:pStyle w:val="EstilodePrrafoNormal1RdeC"/>
        <w:numPr>
          <w:ilvl w:val="0"/>
          <w:numId w:val="183"/>
        </w:numPr>
        <w:spacing w:after="240"/>
        <w:ind w:left="0" w:firstLine="0"/>
      </w:pPr>
      <w:r w:rsidRPr="00954407">
        <w:t xml:space="preserve">Los ingresos recaudados en las estaciones de peajes durante el período enero-diciembre del 2025, a través de la Oficina Coordinadora </w:t>
      </w:r>
      <w:r w:rsidRPr="00954407">
        <w:lastRenderedPageBreak/>
        <w:t>General Fiducia RD-Vial del MOPC, se cuantificaron en RD$12,720,426,847.00 (Doce Mil Setecientos Veinte Millones Cuatrocientos Veintiséis Mil Ochocientos Cuarenta y Siete pesos con 00/100), correspondiente al total recaudado en la operación de dieciocho (18) estaciones en funcionamiento en el país.</w:t>
      </w:r>
    </w:p>
    <w:p w14:paraId="6F0A6AEA" w14:textId="77777777" w:rsidR="00BC27E9" w:rsidRPr="00954407" w:rsidRDefault="00BC27E9" w:rsidP="001308EC">
      <w:pPr>
        <w:pStyle w:val="EstilodePrrafoNormal1RdeC"/>
        <w:numPr>
          <w:ilvl w:val="0"/>
          <w:numId w:val="183"/>
        </w:numPr>
        <w:spacing w:after="240"/>
        <w:ind w:left="0" w:firstLine="0"/>
      </w:pPr>
      <w:r w:rsidRPr="00954407">
        <w:t xml:space="preserve">Actualización del Plan Nacional Plurianual de Inversión Pública (PNPIP) del MOPC para el período 2025-2028, herramienta de planificación con un horizonte a mediano plazo integrando para el año 2025, un total de quinientos cuarenta y cuatro (544) proyectos de inversión pública prioritarios para la institución, conteniendo los recursos programados para el periodo de los proyectos nuevos y de arrastre, los cuales están alineados de acuerdo a las prioridades definidas por las políticas públicas en el Plan de Gobierno del cuatrienio vigente, a la vinculación con la Estrategia Nacional de Desarrollo (END) 2030, y a los Objetivos de Desarrollo Sostenible (ODS). </w:t>
      </w:r>
    </w:p>
    <w:p w14:paraId="7DB479BB" w14:textId="77777777" w:rsidR="00BC27E9" w:rsidRPr="00954407" w:rsidRDefault="00BC27E9" w:rsidP="001308EC">
      <w:pPr>
        <w:pStyle w:val="EstilodePrrafoNormal1RdeC"/>
        <w:numPr>
          <w:ilvl w:val="0"/>
          <w:numId w:val="183"/>
        </w:numPr>
        <w:spacing w:after="240"/>
        <w:ind w:left="0" w:firstLine="0"/>
      </w:pPr>
      <w:r w:rsidRPr="00954407">
        <w:t xml:space="preserve">Validación del Anteproyecto de Presupuesto de Inversión del MOPC para el ejercicio fiscal del año 2025, en cumplimiento de la Ley No. 80-24 de Presupuesto General del Estado, de fecha 05/12/2024 de diciembre del 2024, por un monto de RD$46,620,189,419.00 (incluye presupuesto inicial y suplementario) conteniendo los proyectos priorizados (en ejecución y a iniciarse), conforme a la Estructura Programática y basándose en las políticas, objetivos y metas establecidas, acorde a los recursos financieros asignados a la institución. El porcentaje de ejecución del año 2025 con respecto al presupuesto asignado, fue de un 96%, alcanzando un monto de RD$43,147,990.199.00 correspondiente a los diferentes objetos de gastos destinados al logro de los objetivos planteados por la institución para el periodo de referencia. </w:t>
      </w:r>
    </w:p>
    <w:p w14:paraId="0FAEFC57" w14:textId="242F2CB9" w:rsidR="00BC27E9" w:rsidRPr="00954407" w:rsidRDefault="00BC27E9" w:rsidP="001308EC">
      <w:pPr>
        <w:pStyle w:val="EstilodePrrafoNormal1RdeC"/>
        <w:numPr>
          <w:ilvl w:val="0"/>
          <w:numId w:val="183"/>
        </w:numPr>
        <w:spacing w:after="240"/>
        <w:ind w:left="0" w:firstLine="0"/>
      </w:pPr>
      <w:r w:rsidRPr="00954407">
        <w:t xml:space="preserve">Preparación del Plan Operativo de Inversión Anual del Ministerio de Obras Públicas y Comunicaciones (MOPC) para el año 2026, conteniendo </w:t>
      </w:r>
      <w:r w:rsidRPr="00954407">
        <w:lastRenderedPageBreak/>
        <w:t>los proyectos considerados financieramente sustentables con los recursos asignados en el Presupuesto Nacional de Inversión Pública del año fiscal vigente, y en consonancia con el Plan Nacional Plurianual de Inversión Pública (PNPIP) de la institución, el cual contiene un total de 544 proyectos programados a corto y mediano plazo con una inversión ascendente a RD$33,093,415,477.00 (</w:t>
      </w:r>
      <w:r w:rsidR="00B84A23" w:rsidRPr="00954407">
        <w:t>Treinta</w:t>
      </w:r>
      <w:r w:rsidRPr="00954407">
        <w:t xml:space="preserve"> y Tres Mil Noventa y Tres  Millones Cuatrocientos Quince  Mil Cuatrocientos Setenta y Siete Pesos con 00/100), los cuales corresponden al presupuesto inicial asignado al Ministerio y posteriormente le asignaron un presupuesto suplementario RD$13,540,000,000.00 (Trece Mil Quinientos Cuarenta Millones de Pesos con 00/100), para un monto total de RD$46,620,189,419.00 (Cuarenta y Seis Mil Seiscientos Veinte  Millones Ciento Ochenta y  Nueve Mil Cuatrocientos Diecinueve Pesos con 00/100), que permitirá el logro de los objetivos planteados para el año fiscal, en consonancia con las prioridades del Plan de Gobierno del cuatrienio vigente.</w:t>
      </w:r>
    </w:p>
    <w:p w14:paraId="47133D64" w14:textId="77777777" w:rsidR="00BC27E9" w:rsidRPr="00954407" w:rsidRDefault="00BC27E9" w:rsidP="001308EC">
      <w:pPr>
        <w:pStyle w:val="EstilodePrrafoNormal1RdeC"/>
        <w:numPr>
          <w:ilvl w:val="0"/>
          <w:numId w:val="183"/>
        </w:numPr>
        <w:spacing w:after="240"/>
        <w:ind w:left="0" w:firstLine="0"/>
      </w:pPr>
      <w:r w:rsidRPr="00954407">
        <w:t>El Programa Comunitario Vial denominado “Peón Caminero”, continuó sus ejecutorias durante el periodo enero - noviembre del año 2025, en las diez (10) provincias con las labores de mantenimiento rutinario en la infraestructura vial del país, interviniendo sesenta y un (61) Caminos Vecinales en diez (10) provincias, alcanzando un total de 423.23 km, con una inversión aproximada en el año 2025 de RD$74,910,000.00 (Sesenta y Cuatro Millones Novecientos  Diez Mil Pesos con 00/100), beneficiando a 504,49, residentes en las áreas de influencia donde se efectúan los operativos y dando empleos informales a los jornaleros residentes en las provincias donde se efectúan los trabajos de mantenimiento. .</w:t>
      </w:r>
    </w:p>
    <w:p w14:paraId="4827107A" w14:textId="77777777" w:rsidR="00BC27E9" w:rsidRPr="00954407" w:rsidRDefault="00BC27E9" w:rsidP="001308EC">
      <w:pPr>
        <w:pStyle w:val="EstilodePrrafoNormal1RdeC"/>
        <w:numPr>
          <w:ilvl w:val="0"/>
          <w:numId w:val="183"/>
        </w:numPr>
        <w:spacing w:after="240"/>
        <w:ind w:left="0" w:firstLine="0"/>
      </w:pPr>
      <w:r w:rsidRPr="00954407">
        <w:t xml:space="preserve">Continuaron las ejecutorias de infraestructuras de edificaciones públicas a nivel nacional, con la intervención durante el periodo enero-diciembre del año 2025, de aproximadamente 78 proyectos,  con una inversión durante el 2025 de RD$1,831,239,118.90 (Un Mil Ochocientos </w:t>
      </w:r>
      <w:r w:rsidRPr="00954407">
        <w:lastRenderedPageBreak/>
        <w:t>Treinta Y Un  Millones, Doscientos Treinta y Nueve Mil, Ciento Dieciocho, Pesos con 90/100), destacándose las obras siguientes: a) Terminación Construcción Palacio de Justicia, en el Municipio Santo Domingo Este; b) Construcción Edificios de Parqueos I y II en el Centro de los Héroes, Distrito Nacional, mediante el Programa PARQUEAT RD; c) Construcción Edificio de Parqueo Municipal de San Cristóbal, del Programa PARQUEAT RD; d) Construcción Estación de Peaje  en la Circunvalación Baní, Provincia Peravia; e) Construcción anexo al Tribunal Constitucional, municipio Santo Domingo Norte; f) Terminación Mercado de la ciudad de La Vega, entre otros; beneficiando a la población que utiliza las obras ejecutadas y contribuyendo al Eje 2 de la END 2030.</w:t>
      </w:r>
    </w:p>
    <w:p w14:paraId="1DAFE86C" w14:textId="77777777" w:rsidR="00BC27E9" w:rsidRPr="00954407" w:rsidRDefault="00BC27E9" w:rsidP="001308EC">
      <w:pPr>
        <w:pStyle w:val="EstilodePrrafoNormal1RdeC"/>
        <w:numPr>
          <w:ilvl w:val="0"/>
          <w:numId w:val="183"/>
        </w:numPr>
        <w:spacing w:after="240"/>
        <w:ind w:left="0" w:firstLine="0"/>
      </w:pPr>
      <w:r w:rsidRPr="00954407">
        <w:t xml:space="preserve">Durante el periodo enero - noviembre del año 2025, en el MOPC se coordinaron y tramitaron un total de sesenta y nueve  (69) solicitudes del Ministerio, a través del Departamento de Gestión Ambiental del MOPC ante el Ministerio de Medio Ambiente y Recursos Naturales (MIMARENA), para la obtención de autorizaciones, licencias, constancias ambientales, extensión del periodo de vigencia, renovaciones de autorizaciones,  extensiones de plazos, permisos para circulación de camiones para transporte de materiales, etc., concernientes a los proyectos, obras o actividades que ejecuta la institución, formalizando un total de  cuarenta y siete (47) autorizaciones ambientales gestionadas y aprobadas, entre los que cuales citamos los proyectos siguientes: 1.  Extensión de periodo para extracción de 4,000 m³ de material de la mina Los Bracitos, Proyecto Construcción Camino Naranjo Dulce - La Explanación - Río Boba / Camino Carretero El Mango - El Cercado, Municipio San Francisco de Macorís, Provincia Duarte; 2.  Diseño y Construcción del Distribuidor de Tráfico de las Avenidas República de Colombia  esq. Jacobo Majluta, Distrito Nacional; 3. Reconstrucción de la Carretera Cibao – Sur, tramo Piedra Blanca – Cruce de Ocoa; 4. Proyecto Construcción Retorno Operacional Básima #1 y #2”, Municipio Villa Altagracia, Provincia San Cristóbal; 5. </w:t>
      </w:r>
      <w:r w:rsidRPr="00954407">
        <w:lastRenderedPageBreak/>
        <w:t>Continuación trabajos en el Puente Arroyo Bahía-Calderas, Provincia Peravia; 6. Proyecto Rehabilitación Caminos Vecinales (159 km) dentro del Programa de Rehabilitación y Mantenimiento de Infraestructura Vial en la Rep. Dom. Préstamo BID No. 5504/OC-DR; 7. Construcción Puente sobre el Río   Cuaya, Comunidad Comedero Arriba, Municipio Cotuí, Provincia Sánchez Ramírez, entre otras.</w:t>
      </w:r>
    </w:p>
    <w:p w14:paraId="00743162" w14:textId="77777777" w:rsidR="00BC27E9" w:rsidRPr="00954407" w:rsidRDefault="00BC27E9" w:rsidP="001308EC">
      <w:pPr>
        <w:pStyle w:val="EstilodePrrafoNormal1RdeC"/>
        <w:numPr>
          <w:ilvl w:val="0"/>
          <w:numId w:val="183"/>
        </w:numPr>
        <w:spacing w:after="240"/>
        <w:ind w:left="0" w:firstLine="0"/>
      </w:pPr>
      <w:r w:rsidRPr="00954407">
        <w:t>Continuaron durante el periodo enero - noviembre del año 2025, las ejecutorias de obras del subsector de infraestructura de Muelles y Puertos, entre las cuales se destacan: a) Mejoramiento Muelle Offshore de Manzanillo, Provincia Montecristi, con una ejecución durante el 2025, ascendente a RD$306,216,418.28 (Trescientos Seis Millones Doscientos Dieciséis Mil Cuatrocientos Dieciocho Pesos con 28/100), registrando un avance de 45.0%; b) Construcción barrera de protección marina en tramo vial y obras complementarias en carretera No.5, Provincia María Trinidad Sánchez, con una ejecución durante el 2025, por valor de RD$661,229,325.33 (Trescientos Seis Millones Doscientos Dieciséis Mil Cuatrocientos Dieciocho Pesos con 28/100), registrando un avance de 68.0%</w:t>
      </w:r>
      <w:r w:rsidRPr="00954407">
        <w:rPr>
          <w:rFonts w:eastAsia="Calibri"/>
        </w:rPr>
        <w:t>;</w:t>
      </w:r>
      <w:r w:rsidRPr="00954407">
        <w:t xml:space="preserve"> contribuyendo estas acciones al Eje 4 de la Estrategia Nacional de Desarrollo (END) 2030.</w:t>
      </w:r>
    </w:p>
    <w:p w14:paraId="04972E48" w14:textId="77777777" w:rsidR="00BC27E9" w:rsidRPr="00954407" w:rsidRDefault="00BC27E9" w:rsidP="001308EC">
      <w:pPr>
        <w:pStyle w:val="EstilodePrrafoNormal1RdeC"/>
        <w:numPr>
          <w:ilvl w:val="0"/>
          <w:numId w:val="183"/>
        </w:numPr>
        <w:spacing w:after="240"/>
        <w:ind w:left="0" w:firstLine="0"/>
        <w:rPr>
          <w:rFonts w:eastAsia="Calibri"/>
        </w:rPr>
      </w:pPr>
      <w:r w:rsidRPr="00954407">
        <w:rPr>
          <w:rFonts w:eastAsia="Calibri"/>
        </w:rPr>
        <w:t xml:space="preserve">Durante el periodo enero-diciembre del año 2025, se registraron en el MOPC, un total de veinte (20) solicitudes de permisos de No OBJECION para trabajos de excavaciones en las vías públicas, regidos  por el Reglamento R-026 “Reglamento para la realización de trabajos de excavaciones en las vías públicas”, cuyo objetivo establece el cumplimiento de los requisitos técnicos y administrativos necesarios para que las labores realizadas en las vías públicas, se realicen de acuerdo con los controles establecidos en dicho reglamento, </w:t>
      </w:r>
      <w:r w:rsidRPr="00954407">
        <w:t>las cuales tienen que ser aprobadas también por el INRANT</w:t>
      </w:r>
      <w:r w:rsidRPr="00954407">
        <w:rPr>
          <w:rFonts w:eastAsia="Calibri"/>
        </w:rPr>
        <w:t xml:space="preserve"> y gestionado cada proceso con la opinión del Viceministerio de Infraestructura Vial del MOPC para que los trabajos de </w:t>
      </w:r>
      <w:r w:rsidRPr="00954407">
        <w:rPr>
          <w:rFonts w:eastAsia="Calibri"/>
        </w:rPr>
        <w:lastRenderedPageBreak/>
        <w:t>excavación no interfieran en el libre tránsito de vehículos y peatones. Durante el citado periodo, entre las solicitudes de excavaciones en las vías públicas tramitadas, se destacan: a) Excavación y colocación de tuberías para gas natural en la localidad de Copey, Pepillo Salcedo, Prov. Monte Cristi, realizada por el Consorcio Manzanillo Energy, SA.; b) Excavación y colocación de postes de Telecomunicaciones en la localidad de Guaraguao-Higüerito, en las Provincias Duarte-Monte Plata, realizada por CV HostSpot; c) Instalación de Tuberías para fibras ópticas de CLARO a lo largo de la Autopista Juan Pablo II, realizada por la Compañía QUO LUXURY Corporation; d) Excavación para ejecutar empalmes y acometidas de agua potable en la Carretera Sánchez No. 12, sector de Costa Verde, Santo domingo Oeste, realizada por la CAASD; e) Excavaciones Paleontológicas del Museo Nacional de Historia Natural, contiguas a la Autopista Juan Pablo II,  entre otras.</w:t>
      </w:r>
    </w:p>
    <w:p w14:paraId="36D7440B" w14:textId="77777777" w:rsidR="00BC27E9" w:rsidRPr="00954407" w:rsidRDefault="00BC27E9" w:rsidP="001308EC">
      <w:pPr>
        <w:pStyle w:val="EstilodePrrafoNormal1RdeC"/>
        <w:numPr>
          <w:ilvl w:val="0"/>
          <w:numId w:val="183"/>
        </w:numPr>
        <w:spacing w:after="240"/>
        <w:ind w:left="0" w:firstLine="0"/>
        <w:rPr>
          <w:rFonts w:eastAsia="Calibri"/>
        </w:rPr>
      </w:pPr>
      <w:r w:rsidRPr="00954407">
        <w:rPr>
          <w:rFonts w:eastAsia="Calibri"/>
        </w:rPr>
        <w:t>La Unidad de Control del Derecho Vial (CODEVIAL) del MOPC, registró durante el periodo enero-diciembre del 2025, un total de seiscientas noventa y dos (692) intervenciones en obras de edificaciones privadas que violentaban el derecho de vía, con la finalidad de hacer cumplir la Ley No. 1474, sobre regulación de las construcciones en las autopistas y carreteras para evitar la ocupación ilegal de viviendas y negocios en los márgenes de las carreteras troncales; registrando en las labores de cumplimiento de garantizar el derecho de vía, las acciones siguientes: a) obras paralizadas: noventa y dos (92); b) obras notificadas: cuarenta y cuatro (44); c) accesos y cierre ilegales e informales: veinte (20); d)  accesos con permisos: once (11); e) obras desmanteladas: doscientos setenta y siete (277); f) demoliciones:  doscientos cuarenta y ocho (248), contribuyendo las acciones implementadas a aumentar el nivel de seguridad para los usuarios que transitan por las principales carreteras del país.</w:t>
      </w:r>
    </w:p>
    <w:p w14:paraId="7B5A2EB2" w14:textId="77777777" w:rsidR="00BC27E9" w:rsidRPr="00954407" w:rsidRDefault="00BC27E9" w:rsidP="001308EC">
      <w:pPr>
        <w:pStyle w:val="EstilodePrrafoNormal1RdeC"/>
        <w:numPr>
          <w:ilvl w:val="0"/>
          <w:numId w:val="183"/>
        </w:numPr>
        <w:spacing w:after="240"/>
        <w:ind w:left="0" w:firstLine="0"/>
        <w:rPr>
          <w:rFonts w:eastAsia="Calibri"/>
        </w:rPr>
      </w:pPr>
      <w:r w:rsidRPr="00954407">
        <w:rPr>
          <w:rFonts w:eastAsia="Calibri"/>
        </w:rPr>
        <w:t xml:space="preserve">La institución sometió durante el periodo enero-diciembre del año </w:t>
      </w:r>
      <w:r w:rsidRPr="00954407">
        <w:rPr>
          <w:rFonts w:eastAsia="Calibri"/>
        </w:rPr>
        <w:lastRenderedPageBreak/>
        <w:t>2025, un total de 85 (Ochenta y Cinco) perfiles de proyectos nuevos y reevaluados para su registro y admisión en el Sistema Nacional de Inversión Pública (SNIP-RD), de los cuales 42 (cuarenta y dos) corresponden a proyectos nuevos y 43 (cuarenta y tres) son proyectos reevaluados y/o actualizados por adendas registradas por extensión de vigencia o por equilibrio económico y por la aplicación de la Ley No. 83-24 de fecha 17 de diciembre del 2024, s</w:t>
      </w:r>
      <w:r w:rsidRPr="00954407">
        <w:t xml:space="preserve">obre la terminación de obras viales, escuelas y hospitales que se encuentran suspendidas, </w:t>
      </w:r>
      <w:r w:rsidRPr="00954407">
        <w:rPr>
          <w:rFonts w:eastAsia="Calibri"/>
        </w:rPr>
        <w:t xml:space="preserve">siendo aprobados un total de 42 perfiles de proyecto nuevo y 43 revaluados , los cuales fueron formulados cumpliendo con las Normas Técnicas del SNIP en la RD, requisito indispensable para integrar los proyectos que requieran recursos para su ejecución. en el Presupuesto Nacional del Estado del año fiscal correspondiente. </w:t>
      </w:r>
    </w:p>
    <w:p w14:paraId="4DBE554E" w14:textId="77777777" w:rsidR="00BC27E9" w:rsidRPr="00954407" w:rsidRDefault="00BC27E9" w:rsidP="001308EC">
      <w:pPr>
        <w:pStyle w:val="EstilodePrrafoNormal1RdeC"/>
        <w:numPr>
          <w:ilvl w:val="0"/>
          <w:numId w:val="183"/>
        </w:numPr>
        <w:spacing w:after="240"/>
        <w:ind w:left="0" w:firstLine="0"/>
      </w:pPr>
      <w:r w:rsidRPr="00954407">
        <w:t xml:space="preserve">La institución preparó el Informe Semestral correspondiente al período </w:t>
      </w:r>
      <w:r w:rsidRPr="00954407">
        <w:rPr>
          <w:rFonts w:eastAsia="Calibri"/>
        </w:rPr>
        <w:t>Enero</w:t>
      </w:r>
      <w:r w:rsidRPr="00954407">
        <w:t xml:space="preserve"> – Junio del año 2025 requerido por la Dirección General de Contabilidad Gubernamental (DIGECOG), conteniendo las informaciones de las Obras en Proceso (proyectos de inversión) que registraron ejecución presupuestaria, para completar el Formulario DG-INS-02-37, quedando pendiente el cierre de operaciones contables del MOPC concerniente al periodo Julio - Diciembre del año fiscal vigente; el primer informe semestral completado contiene informaciones relativas a: Descripción del Proyecto, Estructura Programática, Código SNIP, Fechas de Inicio y Terminación, Costo total, Fuente de Financiamiento, Monto Ejecutado en el período, entre otras. </w:t>
      </w:r>
    </w:p>
    <w:p w14:paraId="19DB67E1" w14:textId="77777777" w:rsidR="00BC27E9" w:rsidRPr="00954407" w:rsidRDefault="00BC27E9" w:rsidP="001308EC">
      <w:pPr>
        <w:pStyle w:val="EstilodePrrafoNormal1RdeC"/>
        <w:numPr>
          <w:ilvl w:val="0"/>
          <w:numId w:val="183"/>
        </w:numPr>
        <w:spacing w:after="240"/>
        <w:ind w:left="0" w:firstLine="0"/>
      </w:pPr>
      <w:r w:rsidRPr="00954407">
        <w:t xml:space="preserve">Durante el periodo enero-diciembre del 2025, a través de la plataforma Portal Único (SAIP) del MOPC, se proporcionaron respuestas al 87.0% del total de quinientos uno (501) solicitudes realizadas por la ciudadanía y al 99.0 % del total de Ciento Cuarenta (140) Quejas,  Reclamaciones y Sugerencias, enviadas mediante la plataforma de </w:t>
      </w:r>
      <w:r w:rsidRPr="00954407">
        <w:lastRenderedPageBreak/>
        <w:t xml:space="preserve">Comunicación o Unidad de Atención Ciudadana del Programa de Línea 311 y el portal </w:t>
      </w:r>
      <w:hyperlink r:id="rId17" w:history="1">
        <w:r w:rsidRPr="00954407">
          <w:rPr>
            <w:rStyle w:val="Hyperlink"/>
          </w:rPr>
          <w:t>www.311.gob.do</w:t>
        </w:r>
      </w:hyperlink>
      <w:r w:rsidRPr="00954407">
        <w:t>, referentes a varios aspectos relacionados con las funciones de la institución, los planes, programas y proyectos y su condición actual, la ejecución presupuestaria del periodo vigente, servicios que ofrece a la población, etc.</w:t>
      </w:r>
    </w:p>
    <w:p w14:paraId="37CAC76F" w14:textId="77777777" w:rsidR="00CF3199" w:rsidRDefault="00CF3199" w:rsidP="00BC27E9">
      <w:pPr>
        <w:pStyle w:val="EstilodePrrafoNormal1RdeC"/>
        <w:rPr>
          <w:color w:val="767171"/>
        </w:rPr>
      </w:pPr>
    </w:p>
    <w:p w14:paraId="112CF4B7" w14:textId="21BF025F" w:rsidR="00BC27E9" w:rsidRPr="00CF3199" w:rsidRDefault="00BC27E9" w:rsidP="00CF3199">
      <w:pPr>
        <w:pStyle w:val="Heading2"/>
        <w:rPr>
          <w:rFonts w:ascii="Times New Roman" w:hAnsi="Times New Roman" w:cs="Times New Roman"/>
          <w:b/>
          <w:bCs/>
          <w:color w:val="767171"/>
          <w:sz w:val="24"/>
          <w:szCs w:val="24"/>
        </w:rPr>
      </w:pPr>
      <w:bookmarkStart w:id="77" w:name="_Toc217402122"/>
      <w:r w:rsidRPr="00CF3199">
        <w:rPr>
          <w:rFonts w:ascii="Times New Roman" w:hAnsi="Times New Roman" w:cs="Times New Roman"/>
          <w:b/>
          <w:bCs/>
          <w:color w:val="767171"/>
          <w:sz w:val="24"/>
          <w:szCs w:val="24"/>
        </w:rPr>
        <w:t xml:space="preserve">Sistema de Monitoreo y Medición de la Gestión Pública </w:t>
      </w:r>
      <w:r w:rsidRPr="002208F1">
        <w:rPr>
          <w:rFonts w:ascii="Times New Roman" w:hAnsi="Times New Roman" w:cs="Times New Roman"/>
          <w:b/>
          <w:bCs/>
          <w:color w:val="767171"/>
          <w:sz w:val="24"/>
          <w:szCs w:val="24"/>
        </w:rPr>
        <w:t>(SMMGP)</w:t>
      </w:r>
      <w:bookmarkEnd w:id="77"/>
    </w:p>
    <w:p w14:paraId="04B4B905" w14:textId="77777777" w:rsidR="00BC27E9" w:rsidRPr="00954407" w:rsidRDefault="00BC27E9" w:rsidP="00BC27E9">
      <w:pPr>
        <w:pStyle w:val="EstilodePrrafoNormal1RdeC"/>
      </w:pPr>
    </w:p>
    <w:p w14:paraId="242AB28F" w14:textId="77777777" w:rsidR="00BC27E9" w:rsidRPr="00954407" w:rsidRDefault="00BC27E9" w:rsidP="00BC27E9">
      <w:pPr>
        <w:pStyle w:val="EstilodePrrafoNormal1RdeC"/>
        <w:rPr>
          <w:color w:val="767171"/>
        </w:rPr>
      </w:pPr>
      <w:r w:rsidRPr="00954407">
        <w:rPr>
          <w:color w:val="767171"/>
        </w:rPr>
        <w:t>El Ministerio de Obras Públicas y Comunicaciones, cuenta con ocho (8) indicadores que son monitoreados periódicamente por el Sistema de Monitoreo y Medición de Gestión Pública (SMMGP). Desde la Dirección Adscrita al Despacho damos constante seguimiento y acompañamiento a cada una de las áreas responsables de liderar, los siguientes:</w:t>
      </w:r>
    </w:p>
    <w:p w14:paraId="1510E534" w14:textId="77777777" w:rsidR="00BC27E9" w:rsidRPr="00954407" w:rsidRDefault="00BC27E9" w:rsidP="00BC27E9">
      <w:pPr>
        <w:pStyle w:val="EstilodePrrafoNormal1RdeC"/>
        <w:rPr>
          <w:rFonts w:eastAsia="Calibri"/>
          <w:spacing w:val="0"/>
          <w:sz w:val="28"/>
          <w:szCs w:val="28"/>
          <w:lang w:eastAsia="es-ES_tradnl"/>
        </w:rPr>
      </w:pPr>
    </w:p>
    <w:p w14:paraId="4435B9C8" w14:textId="77777777" w:rsidR="00BC27E9" w:rsidRPr="00954407" w:rsidRDefault="00BC27E9" w:rsidP="001308EC">
      <w:pPr>
        <w:pStyle w:val="EstilodePrrafoNormal1RdeC"/>
        <w:numPr>
          <w:ilvl w:val="0"/>
          <w:numId w:val="184"/>
        </w:numPr>
      </w:pPr>
      <w:r w:rsidRPr="00954407">
        <w:t>OBRAS PÚBLICAS</w:t>
      </w:r>
    </w:p>
    <w:p w14:paraId="5C2508D8" w14:textId="77777777" w:rsidR="00BC27E9" w:rsidRPr="00954407" w:rsidRDefault="00BC27E9" w:rsidP="001308EC">
      <w:pPr>
        <w:pStyle w:val="EstilodePrrafoNormal1RdeC"/>
        <w:numPr>
          <w:ilvl w:val="0"/>
          <w:numId w:val="184"/>
        </w:numPr>
      </w:pPr>
      <w:r w:rsidRPr="00954407">
        <w:t>SISMAP</w:t>
      </w:r>
    </w:p>
    <w:p w14:paraId="13D1227C" w14:textId="77777777" w:rsidR="00BC27E9" w:rsidRPr="00954407" w:rsidRDefault="00BC27E9" w:rsidP="001308EC">
      <w:pPr>
        <w:pStyle w:val="EstilodePrrafoNormal1RdeC"/>
        <w:numPr>
          <w:ilvl w:val="0"/>
          <w:numId w:val="184"/>
        </w:numPr>
      </w:pPr>
      <w:r w:rsidRPr="00954407">
        <w:t>ITICGE</w:t>
      </w:r>
    </w:p>
    <w:p w14:paraId="5924A49F" w14:textId="77777777" w:rsidR="00BC27E9" w:rsidRPr="00954407" w:rsidRDefault="00BC27E9" w:rsidP="001308EC">
      <w:pPr>
        <w:pStyle w:val="EstilodePrrafoNormal1RdeC"/>
        <w:numPr>
          <w:ilvl w:val="0"/>
          <w:numId w:val="184"/>
        </w:numPr>
      </w:pPr>
      <w:r w:rsidRPr="00954407">
        <w:t>NOBACI</w:t>
      </w:r>
    </w:p>
    <w:p w14:paraId="6DCC3CBA" w14:textId="77777777" w:rsidR="00BC27E9" w:rsidRPr="00954407" w:rsidRDefault="00BC27E9" w:rsidP="001308EC">
      <w:pPr>
        <w:pStyle w:val="EstilodePrrafoNormal1RdeC"/>
        <w:numPr>
          <w:ilvl w:val="0"/>
          <w:numId w:val="184"/>
        </w:numPr>
      </w:pPr>
      <w:r w:rsidRPr="00954407">
        <w:t xml:space="preserve">CUMPLIMIENTO DE LEY 200-04 </w:t>
      </w:r>
    </w:p>
    <w:p w14:paraId="4F42AB06" w14:textId="77777777" w:rsidR="00BC27E9" w:rsidRPr="00954407" w:rsidRDefault="00BC27E9" w:rsidP="001308EC">
      <w:pPr>
        <w:pStyle w:val="EstilodePrrafoNormal1RdeC"/>
        <w:numPr>
          <w:ilvl w:val="0"/>
          <w:numId w:val="184"/>
        </w:numPr>
      </w:pPr>
      <w:r w:rsidRPr="00954407">
        <w:t xml:space="preserve">GESTIÓN PRESUPUESTARIA </w:t>
      </w:r>
    </w:p>
    <w:p w14:paraId="4BA7DDF8" w14:textId="77777777" w:rsidR="00BC27E9" w:rsidRPr="00954407" w:rsidRDefault="00BC27E9" w:rsidP="001308EC">
      <w:pPr>
        <w:pStyle w:val="EstilodePrrafoNormal1RdeC"/>
        <w:numPr>
          <w:ilvl w:val="0"/>
          <w:numId w:val="184"/>
        </w:numPr>
      </w:pPr>
      <w:r w:rsidRPr="00954407">
        <w:t>CONTRATACIONES PÚBLICAS</w:t>
      </w:r>
    </w:p>
    <w:p w14:paraId="01FB564E" w14:textId="1E0E6F1B" w:rsidR="00BC27E9" w:rsidRPr="00954407" w:rsidRDefault="00BC27E9" w:rsidP="001308EC">
      <w:pPr>
        <w:pStyle w:val="EstilodePrrafoNormal1RdeC"/>
        <w:numPr>
          <w:ilvl w:val="0"/>
          <w:numId w:val="184"/>
        </w:numPr>
      </w:pPr>
      <w:r w:rsidRPr="00954407">
        <w:t xml:space="preserve">SISACNOC </w:t>
      </w:r>
    </w:p>
    <w:p w14:paraId="222A8E55" w14:textId="77777777" w:rsidR="00BC27E9" w:rsidRPr="00954407" w:rsidRDefault="00BC27E9" w:rsidP="00BC27E9">
      <w:pPr>
        <w:pStyle w:val="EstilodePrrafoNormal1RdeC"/>
      </w:pPr>
    </w:p>
    <w:p w14:paraId="55A31BDC" w14:textId="77777777" w:rsidR="00BC27E9" w:rsidRPr="00954407" w:rsidRDefault="00BC27E9" w:rsidP="00BC27E9">
      <w:pPr>
        <w:pStyle w:val="EstilodePrrafoNormal1RdeC"/>
        <w:rPr>
          <w:color w:val="767171"/>
        </w:rPr>
      </w:pPr>
      <w:r w:rsidRPr="00954407">
        <w:rPr>
          <w:color w:val="767171"/>
        </w:rPr>
        <w:t>A continuación, se presenta el registro de la Pantalla de Calificaciones, del Sistema de Monitoreo y Medición de Gestión Pública (SMMGP). (Fecha de consulta en SMMGP: 25 de noviembre de 2025).</w:t>
      </w:r>
    </w:p>
    <w:p w14:paraId="6D70B49D" w14:textId="77777777" w:rsidR="00BC27E9" w:rsidRPr="00954407" w:rsidRDefault="00BC27E9" w:rsidP="00BC27E9">
      <w:pPr>
        <w:pStyle w:val="EstilodePrrafoNormal1RdeC"/>
        <w:rPr>
          <w:color w:val="767171"/>
        </w:rPr>
      </w:pPr>
    </w:p>
    <w:p w14:paraId="17CDE83E" w14:textId="77777777" w:rsidR="00BC27E9" w:rsidRPr="00954407" w:rsidRDefault="00BC27E9" w:rsidP="00BC27E9">
      <w:pPr>
        <w:pStyle w:val="EstilodePrrafoNormal1RdeC"/>
        <w:rPr>
          <w:color w:val="767171"/>
        </w:rPr>
      </w:pPr>
      <w:r w:rsidRPr="00954407">
        <w:rPr>
          <w:noProof/>
          <w:color w:val="767171"/>
          <w:lang w:val="es-DO" w:eastAsia="es-DO" w:bidi="ar-SA"/>
        </w:rPr>
        <w:lastRenderedPageBreak/>
        <w:drawing>
          <wp:inline distT="0" distB="0" distL="0" distR="0" wp14:anchorId="770DFE95" wp14:editId="6EEC89C5">
            <wp:extent cx="5134913" cy="1444288"/>
            <wp:effectExtent l="0" t="0" r="0" b="381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30593"/>
                    <a:stretch/>
                  </pic:blipFill>
                  <pic:spPr bwMode="auto">
                    <a:xfrm>
                      <a:off x="0" y="0"/>
                      <a:ext cx="5134913" cy="1444288"/>
                    </a:xfrm>
                    <a:prstGeom prst="rect">
                      <a:avLst/>
                    </a:prstGeom>
                    <a:noFill/>
                    <a:ln>
                      <a:noFill/>
                    </a:ln>
                    <a:extLst>
                      <a:ext uri="{53640926-AAD7-44D8-BBD7-CCE9431645EC}">
                        <a14:shadowObscured xmlns:a14="http://schemas.microsoft.com/office/drawing/2010/main"/>
                      </a:ext>
                    </a:extLst>
                  </pic:spPr>
                </pic:pic>
              </a:graphicData>
            </a:graphic>
          </wp:inline>
        </w:drawing>
      </w:r>
    </w:p>
    <w:p w14:paraId="51535A14" w14:textId="77777777" w:rsidR="00BC27E9" w:rsidRPr="00954407" w:rsidRDefault="00BC27E9" w:rsidP="00BC27E9">
      <w:pPr>
        <w:pStyle w:val="EstilodePrrafoNormal1RdeC"/>
        <w:rPr>
          <w:color w:val="767171"/>
          <w:highlight w:val="lightGray"/>
        </w:rPr>
      </w:pPr>
    </w:p>
    <w:p w14:paraId="05B39D04" w14:textId="77777777" w:rsidR="00BC27E9" w:rsidRPr="00954407" w:rsidRDefault="00BC27E9" w:rsidP="00BC27E9">
      <w:pPr>
        <w:pStyle w:val="EstilodePrrafoNormal1RdeC"/>
      </w:pPr>
      <w:r w:rsidRPr="00954407">
        <w:t>Es importante destacar que, aunque algunos indicadores están inactivos en el sistema SMMGP, se encuentran actualizados por fuente oficial de la institución rectora, a excepción del Indicador SISACNOC, que no registra actualización durante el año 2025.</w:t>
      </w:r>
    </w:p>
    <w:p w14:paraId="569B5D92" w14:textId="77777777" w:rsidR="00BC27E9" w:rsidRPr="00954407" w:rsidRDefault="00BC27E9" w:rsidP="00BC27E9">
      <w:pPr>
        <w:pStyle w:val="EstilodePrrafoNormal1RdeC"/>
      </w:pPr>
    </w:p>
    <w:p w14:paraId="21618FF2" w14:textId="69623544" w:rsidR="00BC27E9" w:rsidRPr="00CF3199" w:rsidRDefault="00BC27E9" w:rsidP="00CF3199">
      <w:pPr>
        <w:pStyle w:val="Heading2"/>
        <w:rPr>
          <w:rFonts w:ascii="Times New Roman" w:hAnsi="Times New Roman" w:cs="Times New Roman"/>
          <w:b/>
          <w:bCs/>
          <w:color w:val="767171"/>
          <w:sz w:val="24"/>
          <w:szCs w:val="24"/>
        </w:rPr>
      </w:pPr>
      <w:bookmarkStart w:id="78" w:name="_Toc217402123"/>
      <w:r w:rsidRPr="00CF3199">
        <w:rPr>
          <w:rFonts w:ascii="Times New Roman" w:hAnsi="Times New Roman" w:cs="Times New Roman"/>
          <w:b/>
          <w:bCs/>
          <w:color w:val="767171"/>
          <w:sz w:val="24"/>
          <w:szCs w:val="24"/>
        </w:rPr>
        <w:t>Indicador Obras Públicas</w:t>
      </w:r>
      <w:bookmarkEnd w:id="78"/>
    </w:p>
    <w:p w14:paraId="36DBEB97" w14:textId="77777777" w:rsidR="00BC27E9" w:rsidRPr="00954407" w:rsidRDefault="00BC27E9" w:rsidP="00BC27E9">
      <w:pPr>
        <w:pStyle w:val="EstilodePrrafoNormal1RdeC"/>
      </w:pPr>
    </w:p>
    <w:p w14:paraId="2DE9CDEF" w14:textId="77777777" w:rsidR="00BC27E9" w:rsidRPr="00954407" w:rsidRDefault="00BC27E9" w:rsidP="00BC27E9">
      <w:pPr>
        <w:pStyle w:val="EstilodePrrafoNormal1RdeC"/>
        <w:rPr>
          <w:rFonts w:eastAsia="Arial"/>
          <w:spacing w:val="0"/>
          <w:lang w:eastAsia="es-ES_tradnl"/>
        </w:rPr>
      </w:pPr>
      <w:r w:rsidRPr="00954407">
        <w:rPr>
          <w:rFonts w:eastAsia="Arial"/>
          <w:spacing w:val="0"/>
          <w:lang w:eastAsia="es-ES_tradnl"/>
        </w:rPr>
        <w:t>Este componente da seguimiento a la ejecución y terminación de las Metas y Obras públicas prometidas por el Gobierno, en el plazo establecido, informando oportunamente al Presidente de la República ante cualquier alerta o restricción al cumplimiento de las mismas.</w:t>
      </w:r>
    </w:p>
    <w:p w14:paraId="7D8E07A3" w14:textId="77777777" w:rsidR="00BC27E9" w:rsidRPr="00954407" w:rsidRDefault="00BC27E9" w:rsidP="00BC27E9">
      <w:pPr>
        <w:pStyle w:val="EstilodePrrafoNormal1RdeC"/>
        <w:rPr>
          <w:rFonts w:eastAsia="Arial"/>
          <w:spacing w:val="0"/>
          <w:lang w:eastAsia="es-ES_tradnl"/>
        </w:rPr>
      </w:pPr>
      <w:r w:rsidRPr="00954407">
        <w:rPr>
          <w:rFonts w:eastAsia="Arial"/>
          <w:spacing w:val="0"/>
          <w:lang w:eastAsia="es-ES_tradnl"/>
        </w:rPr>
        <w:t>Este indicador se alimenta de la información cargada en el Sistema de Gestión de Metas Presidenciales (SIGOB).</w:t>
      </w:r>
    </w:p>
    <w:p w14:paraId="4CC7F2CC" w14:textId="77777777" w:rsidR="00BC27E9" w:rsidRPr="00954407" w:rsidRDefault="00BC27E9" w:rsidP="00BC27E9">
      <w:pPr>
        <w:pStyle w:val="EstilodePrrafoNormal1RdeC"/>
        <w:rPr>
          <w:rFonts w:eastAsia="Arial"/>
          <w:spacing w:val="0"/>
          <w:lang w:eastAsia="es-ES_tradnl"/>
        </w:rPr>
      </w:pPr>
    </w:p>
    <w:p w14:paraId="2DBA5C3E" w14:textId="77777777" w:rsidR="00BC27E9" w:rsidRPr="00954407" w:rsidRDefault="00BC27E9" w:rsidP="001308EC">
      <w:pPr>
        <w:pStyle w:val="EstilodePrrafoNormal1RdeC"/>
        <w:numPr>
          <w:ilvl w:val="0"/>
          <w:numId w:val="185"/>
        </w:numPr>
        <w:rPr>
          <w:rFonts w:eastAsia="Arial"/>
          <w:spacing w:val="0"/>
          <w:lang w:eastAsia="es-ES_tradnl"/>
        </w:rPr>
      </w:pPr>
      <w:r w:rsidRPr="00954407">
        <w:rPr>
          <w:rFonts w:eastAsia="Arial"/>
          <w:spacing w:val="0"/>
          <w:lang w:eastAsia="es-ES_tradnl"/>
        </w:rPr>
        <w:t>Órgano rector responsable de medir el indicador OBRAS: Ministerio de la Presidencia.</w:t>
      </w:r>
    </w:p>
    <w:p w14:paraId="61719216" w14:textId="77777777" w:rsidR="00BC27E9" w:rsidRPr="00954407" w:rsidRDefault="00BC27E9" w:rsidP="001308EC">
      <w:pPr>
        <w:pStyle w:val="EstilodePrrafoNormal1RdeC"/>
        <w:numPr>
          <w:ilvl w:val="0"/>
          <w:numId w:val="185"/>
        </w:numPr>
        <w:rPr>
          <w:rFonts w:eastAsia="Arial"/>
          <w:spacing w:val="0"/>
          <w:lang w:eastAsia="es-ES_tradnl"/>
        </w:rPr>
      </w:pPr>
      <w:r w:rsidRPr="00954407">
        <w:rPr>
          <w:rFonts w:eastAsia="Arial"/>
          <w:spacing w:val="0"/>
          <w:lang w:eastAsia="es-ES_tradnl"/>
        </w:rPr>
        <w:t>Área del MOPC que lidera el indicador Obras Públicas: Dirección Técnica/ Dirección de Gerencia de Proyectos.</w:t>
      </w:r>
    </w:p>
    <w:p w14:paraId="5CFE2E7B" w14:textId="77777777" w:rsidR="00BC27E9" w:rsidRPr="00954407" w:rsidRDefault="00BC27E9" w:rsidP="001308EC">
      <w:pPr>
        <w:pStyle w:val="EstilodePrrafoNormal1RdeC"/>
        <w:numPr>
          <w:ilvl w:val="0"/>
          <w:numId w:val="185"/>
        </w:numPr>
        <w:rPr>
          <w:rFonts w:eastAsia="Arial"/>
          <w:spacing w:val="0"/>
          <w:lang w:eastAsia="es-ES_tradnl"/>
        </w:rPr>
      </w:pPr>
      <w:r w:rsidRPr="00954407">
        <w:rPr>
          <w:rFonts w:eastAsia="Arial"/>
          <w:spacing w:val="0"/>
          <w:lang w:eastAsia="es-ES_tradnl"/>
        </w:rPr>
        <w:t>Frecuencia de medición: Mensual</w:t>
      </w:r>
    </w:p>
    <w:p w14:paraId="1E4A1262" w14:textId="77777777" w:rsidR="00BC27E9" w:rsidRDefault="00BC27E9" w:rsidP="00BC27E9">
      <w:pPr>
        <w:pStyle w:val="EstilodePrrafoNormal1RdeC"/>
        <w:rPr>
          <w:rFonts w:eastAsia="Arial"/>
          <w:spacing w:val="0"/>
          <w:lang w:eastAsia="es-ES_tradnl"/>
        </w:rPr>
      </w:pPr>
    </w:p>
    <w:p w14:paraId="28493D0E" w14:textId="77777777" w:rsidR="001308EC" w:rsidRDefault="001308EC" w:rsidP="00BC27E9">
      <w:pPr>
        <w:pStyle w:val="EstilodePrrafoNormal1RdeC"/>
        <w:rPr>
          <w:rFonts w:eastAsia="Arial"/>
          <w:spacing w:val="0"/>
          <w:lang w:eastAsia="es-ES_tradnl"/>
        </w:rPr>
      </w:pPr>
    </w:p>
    <w:p w14:paraId="5AA48C58" w14:textId="77777777" w:rsidR="001308EC" w:rsidRPr="00954407" w:rsidRDefault="001308EC" w:rsidP="00BC27E9">
      <w:pPr>
        <w:pStyle w:val="EstilodePrrafoNormal1RdeC"/>
        <w:rPr>
          <w:rFonts w:eastAsia="Arial"/>
          <w:spacing w:val="0"/>
          <w:lang w:eastAsia="es-ES_tradnl"/>
        </w:rPr>
      </w:pPr>
    </w:p>
    <w:p w14:paraId="1AAFEA15" w14:textId="77777777" w:rsidR="00BC27E9" w:rsidRPr="00954407" w:rsidRDefault="00BC27E9" w:rsidP="00BC27E9">
      <w:pPr>
        <w:pStyle w:val="EstilodePrrafoNormal1RdeC"/>
        <w:rPr>
          <w:rFonts w:eastAsia="Arial"/>
          <w:spacing w:val="0"/>
          <w:lang w:eastAsia="es-ES_tradnl"/>
        </w:rPr>
      </w:pPr>
    </w:p>
    <w:p w14:paraId="69B3EF1C" w14:textId="75A8E069" w:rsidR="00BC27E9" w:rsidRPr="001308EC" w:rsidRDefault="00BC27E9" w:rsidP="001308EC">
      <w:pPr>
        <w:pStyle w:val="EstilodePrrafoNormal1RdeC"/>
        <w:spacing w:line="240" w:lineRule="auto"/>
        <w:jc w:val="center"/>
        <w:rPr>
          <w:rFonts w:eastAsia="Arial"/>
          <w:b/>
          <w:bCs/>
          <w:color w:val="767171"/>
          <w:spacing w:val="0"/>
          <w:lang w:eastAsia="es-ES_tradnl"/>
        </w:rPr>
      </w:pPr>
      <w:r w:rsidRPr="001308EC">
        <w:rPr>
          <w:rFonts w:eastAsia="Arial"/>
          <w:b/>
          <w:bCs/>
          <w:color w:val="767171"/>
          <w:spacing w:val="0"/>
          <w:lang w:eastAsia="es-ES_tradnl"/>
        </w:rPr>
        <w:lastRenderedPageBreak/>
        <w:t>Gráfico porcentual del indicador OBRAS</w:t>
      </w:r>
    </w:p>
    <w:p w14:paraId="36E8E9F4" w14:textId="77777777" w:rsidR="00BC27E9" w:rsidRDefault="00BC27E9" w:rsidP="001308EC">
      <w:pPr>
        <w:pStyle w:val="EstilodePrrafoNormal1RdeC"/>
        <w:spacing w:line="240" w:lineRule="auto"/>
        <w:jc w:val="center"/>
        <w:rPr>
          <w:rFonts w:eastAsia="Arial"/>
          <w:b/>
          <w:bCs/>
          <w:color w:val="767171"/>
          <w:spacing w:val="0"/>
          <w:lang w:eastAsia="es-ES_tradnl"/>
        </w:rPr>
      </w:pPr>
      <w:r w:rsidRPr="001308EC">
        <w:rPr>
          <w:rFonts w:eastAsia="Arial"/>
          <w:b/>
          <w:bCs/>
          <w:color w:val="767171"/>
          <w:spacing w:val="0"/>
          <w:lang w:eastAsia="es-ES_tradnl"/>
        </w:rPr>
        <w:t>según los meses: enero- diciembre de 2025.</w:t>
      </w:r>
    </w:p>
    <w:p w14:paraId="4223E788" w14:textId="77777777" w:rsidR="001308EC" w:rsidRPr="001308EC" w:rsidRDefault="001308EC" w:rsidP="001308EC">
      <w:pPr>
        <w:pStyle w:val="EstilodePrrafoNormal1RdeC"/>
        <w:spacing w:line="240" w:lineRule="auto"/>
        <w:jc w:val="center"/>
        <w:rPr>
          <w:rFonts w:eastAsia="Arial"/>
          <w:b/>
          <w:bCs/>
          <w:color w:val="767171"/>
          <w:spacing w:val="0"/>
          <w:lang w:eastAsia="es-ES_tradnl"/>
        </w:rPr>
      </w:pPr>
    </w:p>
    <w:p w14:paraId="2063F4E2" w14:textId="77777777" w:rsidR="00BC27E9" w:rsidRPr="00954407" w:rsidRDefault="00BC27E9" w:rsidP="001308EC">
      <w:pPr>
        <w:pStyle w:val="EstilodePrrafoNormal1RdeC"/>
        <w:jc w:val="center"/>
        <w:rPr>
          <w:rFonts w:eastAsia="Arial"/>
          <w:color w:val="767171"/>
          <w:spacing w:val="0"/>
          <w:lang w:eastAsia="es-ES_tradnl"/>
        </w:rPr>
      </w:pPr>
      <w:r w:rsidRPr="00954407">
        <w:rPr>
          <w:noProof/>
          <w:lang w:val="es-DO" w:eastAsia="es-DO" w:bidi="ar-SA"/>
        </w:rPr>
        <w:drawing>
          <wp:inline distT="0" distB="0" distL="0" distR="0" wp14:anchorId="036E3D49" wp14:editId="3731D098">
            <wp:extent cx="4495800" cy="2279650"/>
            <wp:effectExtent l="0" t="0" r="0" b="6350"/>
            <wp:docPr id="1877695296" name="Gráfico 1877695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5B64144" w14:textId="77777777" w:rsidR="00BC27E9" w:rsidRPr="00954407" w:rsidRDefault="00BC27E9" w:rsidP="00BC27E9">
      <w:pPr>
        <w:pStyle w:val="EstilodePrrafoNormal1RdeC"/>
        <w:rPr>
          <w:rFonts w:eastAsia="Arial"/>
          <w:color w:val="767171"/>
          <w:spacing w:val="0"/>
          <w:lang w:eastAsia="es-ES_tradnl"/>
        </w:rPr>
      </w:pPr>
    </w:p>
    <w:p w14:paraId="2BF2AC44" w14:textId="77777777" w:rsidR="00BC27E9" w:rsidRPr="00CF3199" w:rsidRDefault="00BC27E9" w:rsidP="00CF3199">
      <w:pPr>
        <w:pStyle w:val="Heading2"/>
        <w:rPr>
          <w:rFonts w:ascii="Times New Roman" w:hAnsi="Times New Roman" w:cs="Times New Roman"/>
          <w:b/>
          <w:bCs/>
          <w:color w:val="767171"/>
          <w:sz w:val="24"/>
          <w:szCs w:val="24"/>
        </w:rPr>
      </w:pPr>
      <w:r w:rsidRPr="00CF3199">
        <w:rPr>
          <w:rFonts w:ascii="Times New Roman" w:hAnsi="Times New Roman" w:cs="Times New Roman"/>
          <w:b/>
          <w:bCs/>
          <w:color w:val="767171"/>
          <w:sz w:val="24"/>
          <w:szCs w:val="24"/>
        </w:rPr>
        <w:t xml:space="preserve"> </w:t>
      </w:r>
      <w:bookmarkStart w:id="79" w:name="_Toc217402124"/>
      <w:r w:rsidRPr="00CF3199">
        <w:rPr>
          <w:rFonts w:ascii="Times New Roman" w:hAnsi="Times New Roman" w:cs="Times New Roman"/>
          <w:b/>
          <w:bCs/>
          <w:color w:val="767171"/>
          <w:sz w:val="24"/>
          <w:szCs w:val="24"/>
        </w:rPr>
        <w:t>Indicador SISMAP</w:t>
      </w:r>
      <w:bookmarkEnd w:id="79"/>
    </w:p>
    <w:p w14:paraId="17C76906" w14:textId="77777777" w:rsidR="00BC27E9" w:rsidRPr="00954407" w:rsidRDefault="00BC27E9" w:rsidP="00BC27E9">
      <w:pPr>
        <w:pStyle w:val="EstilodePrrafoNormal1RdeC"/>
        <w:rPr>
          <w:sz w:val="28"/>
          <w:szCs w:val="28"/>
        </w:rPr>
      </w:pPr>
    </w:p>
    <w:p w14:paraId="5814C71F" w14:textId="77777777" w:rsidR="00BC27E9" w:rsidRPr="00954407" w:rsidRDefault="00BC27E9" w:rsidP="00BC27E9">
      <w:pPr>
        <w:pStyle w:val="EstilodePrrafoNormal1RdeC"/>
        <w:rPr>
          <w:rFonts w:eastAsia="Calibri"/>
          <w:spacing w:val="0"/>
          <w:lang w:eastAsia="es-ES_tradnl"/>
        </w:rPr>
      </w:pPr>
      <w:r w:rsidRPr="00954407">
        <w:rPr>
          <w:rFonts w:eastAsia="Calibri"/>
          <w:spacing w:val="0"/>
          <w:lang w:eastAsia="es-ES_tradnl"/>
        </w:rPr>
        <w:t>El SISMAP es un sistema de monitoreo para medir los niveles de desarrollo de la gestión pública, que desde el año 2010 ha venido implementando el Ministerio de Administración Pública; tomando como referencia los indicadores del Barómetro de las Américas, sondeo auspiciado por el Banco Interamericano de Desarrollo (BID) así como, los postulados de la Carta Iberoamericana de la Función Pública.</w:t>
      </w:r>
    </w:p>
    <w:p w14:paraId="3027D617" w14:textId="77777777" w:rsidR="00BC27E9" w:rsidRPr="00954407" w:rsidRDefault="00BC27E9" w:rsidP="00BC27E9">
      <w:pPr>
        <w:pStyle w:val="EstilodePrrafoNormal1RdeC"/>
        <w:rPr>
          <w:rFonts w:eastAsia="Calibri"/>
          <w:spacing w:val="0"/>
          <w:lang w:eastAsia="es-ES_tradnl"/>
        </w:rPr>
      </w:pPr>
    </w:p>
    <w:p w14:paraId="034D046E" w14:textId="77777777" w:rsidR="00BC27E9" w:rsidRPr="00954407" w:rsidRDefault="00BC27E9" w:rsidP="00414EA3">
      <w:pPr>
        <w:pStyle w:val="EstilodePrrafoNormal1RdeC"/>
        <w:numPr>
          <w:ilvl w:val="0"/>
          <w:numId w:val="189"/>
        </w:numPr>
        <w:rPr>
          <w:rFonts w:eastAsia="Calibri"/>
          <w:spacing w:val="0"/>
          <w:lang w:eastAsia="es-ES_tradnl"/>
        </w:rPr>
      </w:pPr>
      <w:r w:rsidRPr="00414EA3">
        <w:rPr>
          <w:rFonts w:eastAsia="Calibri"/>
          <w:b/>
          <w:bCs/>
          <w:spacing w:val="0"/>
          <w:lang w:eastAsia="es-ES_tradnl"/>
        </w:rPr>
        <w:t>Órgano rector responsable de medir Indicador SISMAP:</w:t>
      </w:r>
      <w:r w:rsidRPr="00954407">
        <w:rPr>
          <w:rFonts w:eastAsia="Calibri"/>
          <w:spacing w:val="0"/>
          <w:lang w:eastAsia="es-ES_tradnl"/>
        </w:rPr>
        <w:t xml:space="preserve"> Ministerio de Administración Pública (MAP).</w:t>
      </w:r>
    </w:p>
    <w:p w14:paraId="3CAF9BCB" w14:textId="77777777" w:rsidR="00BC27E9" w:rsidRPr="00954407" w:rsidRDefault="00BC27E9" w:rsidP="00414EA3">
      <w:pPr>
        <w:pStyle w:val="EstilodePrrafoNormal1RdeC"/>
        <w:numPr>
          <w:ilvl w:val="0"/>
          <w:numId w:val="189"/>
        </w:numPr>
        <w:rPr>
          <w:rFonts w:eastAsia="Calibri"/>
          <w:spacing w:val="0"/>
          <w:lang w:eastAsia="es-ES_tradnl"/>
        </w:rPr>
      </w:pPr>
      <w:r w:rsidRPr="00414EA3">
        <w:rPr>
          <w:rFonts w:eastAsia="Calibri"/>
          <w:b/>
          <w:bCs/>
          <w:spacing w:val="0"/>
          <w:lang w:eastAsia="es-ES_tradnl"/>
        </w:rPr>
        <w:t>Área del MOPC que lidera el indicador SISMAP:</w:t>
      </w:r>
      <w:r w:rsidRPr="00954407">
        <w:rPr>
          <w:rFonts w:eastAsia="Calibri"/>
          <w:spacing w:val="0"/>
          <w:lang w:eastAsia="es-ES_tradnl"/>
        </w:rPr>
        <w:t xml:space="preserve"> Dirección de Recursos Humanos.</w:t>
      </w:r>
    </w:p>
    <w:p w14:paraId="37F89E8E" w14:textId="77777777" w:rsidR="00BC27E9" w:rsidRPr="00954407" w:rsidRDefault="00BC27E9" w:rsidP="00414EA3">
      <w:pPr>
        <w:pStyle w:val="EstilodePrrafoNormal1RdeC"/>
        <w:numPr>
          <w:ilvl w:val="0"/>
          <w:numId w:val="189"/>
        </w:numPr>
        <w:rPr>
          <w:rFonts w:eastAsia="Calibri"/>
          <w:spacing w:val="0"/>
          <w:lang w:eastAsia="es-ES_tradnl"/>
        </w:rPr>
      </w:pPr>
      <w:r w:rsidRPr="00414EA3">
        <w:rPr>
          <w:rFonts w:eastAsia="Calibri"/>
          <w:b/>
          <w:bCs/>
          <w:spacing w:val="0"/>
          <w:lang w:eastAsia="es-ES_tradnl"/>
        </w:rPr>
        <w:t>Frecuencia de medición:</w:t>
      </w:r>
      <w:r w:rsidRPr="00954407">
        <w:rPr>
          <w:rFonts w:eastAsia="Calibri"/>
          <w:spacing w:val="0"/>
          <w:lang w:eastAsia="es-ES_tradnl"/>
        </w:rPr>
        <w:t xml:space="preserve"> Mensual </w:t>
      </w:r>
    </w:p>
    <w:p w14:paraId="57E775F7" w14:textId="77777777" w:rsidR="00BC27E9" w:rsidRPr="00954407" w:rsidRDefault="00BC27E9" w:rsidP="00BC27E9">
      <w:pPr>
        <w:pStyle w:val="EstilodePrrafoNormal1RdeC"/>
        <w:rPr>
          <w:rFonts w:eastAsia="Arial"/>
          <w:color w:val="767171"/>
          <w:spacing w:val="0"/>
          <w:lang w:eastAsia="es-ES_tradnl"/>
        </w:rPr>
      </w:pPr>
    </w:p>
    <w:p w14:paraId="65A57067" w14:textId="77777777" w:rsidR="00BC27E9" w:rsidRDefault="00BC27E9" w:rsidP="00BC27E9">
      <w:pPr>
        <w:pStyle w:val="EstilodePrrafoNormal1RdeC"/>
        <w:rPr>
          <w:rFonts w:eastAsia="Arial"/>
          <w:color w:val="767171"/>
          <w:spacing w:val="0"/>
          <w:lang w:eastAsia="es-ES_tradnl"/>
        </w:rPr>
      </w:pPr>
    </w:p>
    <w:p w14:paraId="3500BB16" w14:textId="77777777" w:rsidR="001308EC" w:rsidRDefault="001308EC" w:rsidP="00BC27E9">
      <w:pPr>
        <w:pStyle w:val="EstilodePrrafoNormal1RdeC"/>
        <w:rPr>
          <w:rFonts w:eastAsia="Arial"/>
          <w:color w:val="767171"/>
          <w:spacing w:val="0"/>
          <w:lang w:eastAsia="es-ES_tradnl"/>
        </w:rPr>
      </w:pPr>
    </w:p>
    <w:p w14:paraId="01B7063A" w14:textId="77777777" w:rsidR="001308EC" w:rsidRPr="00954407" w:rsidRDefault="001308EC" w:rsidP="00BC27E9">
      <w:pPr>
        <w:pStyle w:val="EstilodePrrafoNormal1RdeC"/>
        <w:rPr>
          <w:rFonts w:eastAsia="Arial"/>
          <w:color w:val="767171"/>
          <w:spacing w:val="0"/>
          <w:lang w:eastAsia="es-ES_tradnl"/>
        </w:rPr>
      </w:pPr>
    </w:p>
    <w:p w14:paraId="16D5F9EF" w14:textId="77777777" w:rsidR="00BC27E9" w:rsidRPr="00954407" w:rsidRDefault="00BC27E9" w:rsidP="00BC27E9">
      <w:pPr>
        <w:pStyle w:val="EstilodePrrafoNormal1RdeC"/>
        <w:rPr>
          <w:rFonts w:eastAsia="Arial"/>
          <w:color w:val="767171"/>
          <w:spacing w:val="0"/>
          <w:lang w:eastAsia="es-ES_tradnl"/>
        </w:rPr>
      </w:pPr>
    </w:p>
    <w:p w14:paraId="29E2097C" w14:textId="77777777" w:rsidR="00BC27E9" w:rsidRPr="00954407" w:rsidRDefault="00BC27E9" w:rsidP="00BC27E9">
      <w:pPr>
        <w:pStyle w:val="EstilodePrrafoNormal1RdeC"/>
        <w:rPr>
          <w:rFonts w:eastAsia="Arial"/>
          <w:color w:val="767171"/>
          <w:spacing w:val="0"/>
          <w:lang w:eastAsia="es-ES_tradnl"/>
        </w:rPr>
      </w:pPr>
    </w:p>
    <w:p w14:paraId="5F92B4B5" w14:textId="65769DA2" w:rsidR="00BC27E9" w:rsidRPr="001308EC" w:rsidRDefault="00BC27E9" w:rsidP="001308EC">
      <w:pPr>
        <w:pStyle w:val="EstilodePrrafoNormal1RdeC"/>
        <w:spacing w:line="240" w:lineRule="auto"/>
        <w:jc w:val="center"/>
        <w:rPr>
          <w:rFonts w:eastAsia="Arial"/>
          <w:b/>
          <w:bCs/>
          <w:color w:val="767171"/>
          <w:spacing w:val="0"/>
          <w:lang w:eastAsia="es-ES_tradnl"/>
        </w:rPr>
      </w:pPr>
      <w:r w:rsidRPr="001308EC">
        <w:rPr>
          <w:rFonts w:eastAsia="Arial"/>
          <w:b/>
          <w:bCs/>
          <w:color w:val="767171"/>
          <w:spacing w:val="0"/>
          <w:lang w:eastAsia="es-ES_tradnl"/>
        </w:rPr>
        <w:t>Gráfico porcentual de indicador SISMAP</w:t>
      </w:r>
    </w:p>
    <w:p w14:paraId="1A2B7BB7" w14:textId="77777777" w:rsidR="00BC27E9" w:rsidRDefault="00BC27E9" w:rsidP="001308EC">
      <w:pPr>
        <w:pStyle w:val="EstilodePrrafoNormal1RdeC"/>
        <w:spacing w:line="240" w:lineRule="auto"/>
        <w:jc w:val="center"/>
        <w:rPr>
          <w:rFonts w:eastAsia="Arial"/>
          <w:b/>
          <w:bCs/>
          <w:color w:val="767171"/>
          <w:spacing w:val="0"/>
          <w:lang w:eastAsia="es-ES_tradnl"/>
        </w:rPr>
      </w:pPr>
      <w:r w:rsidRPr="001308EC">
        <w:rPr>
          <w:rFonts w:eastAsia="Arial"/>
          <w:b/>
          <w:bCs/>
          <w:color w:val="767171"/>
          <w:spacing w:val="0"/>
          <w:lang w:eastAsia="es-ES_tradnl"/>
        </w:rPr>
        <w:t>según los meses enero-septiembre del 2025.</w:t>
      </w:r>
    </w:p>
    <w:p w14:paraId="3FFFA8BA" w14:textId="77777777" w:rsidR="001308EC" w:rsidRPr="001308EC" w:rsidRDefault="001308EC" w:rsidP="001308EC">
      <w:pPr>
        <w:pStyle w:val="EstilodePrrafoNormal1RdeC"/>
        <w:spacing w:line="240" w:lineRule="auto"/>
        <w:jc w:val="center"/>
        <w:rPr>
          <w:rFonts w:eastAsia="Arial"/>
          <w:b/>
          <w:bCs/>
          <w:color w:val="767171"/>
          <w:spacing w:val="0"/>
          <w:lang w:eastAsia="es-ES_tradnl"/>
        </w:rPr>
      </w:pPr>
    </w:p>
    <w:p w14:paraId="1135EDE8" w14:textId="77777777" w:rsidR="00BC27E9" w:rsidRPr="00954407" w:rsidRDefault="00BC27E9" w:rsidP="001308EC">
      <w:pPr>
        <w:pStyle w:val="EstilodePrrafoNormal1RdeC"/>
        <w:jc w:val="center"/>
        <w:rPr>
          <w:rFonts w:eastAsia="Arial"/>
          <w:color w:val="767171"/>
          <w:spacing w:val="0"/>
          <w:lang w:eastAsia="es-ES_tradnl"/>
        </w:rPr>
      </w:pPr>
      <w:r w:rsidRPr="00954407">
        <w:rPr>
          <w:noProof/>
          <w:lang w:val="es-DO" w:eastAsia="es-DO" w:bidi="ar-SA"/>
        </w:rPr>
        <w:drawing>
          <wp:inline distT="0" distB="0" distL="0" distR="0" wp14:anchorId="0D1C1E1B" wp14:editId="0ABB9ED8">
            <wp:extent cx="4114800" cy="2457450"/>
            <wp:effectExtent l="0" t="0" r="0" b="0"/>
            <wp:docPr id="1877695297" name="Gráfico 18776952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CF48943" w14:textId="77777777" w:rsidR="00BC27E9" w:rsidRPr="00954407" w:rsidRDefault="00BC27E9" w:rsidP="00BC27E9">
      <w:pPr>
        <w:pStyle w:val="EstilodePrrafoNormal1RdeC"/>
        <w:rPr>
          <w:i/>
          <w:iCs/>
          <w:color w:val="767171"/>
          <w:sz w:val="18"/>
          <w:szCs w:val="18"/>
        </w:rPr>
      </w:pPr>
      <w:r w:rsidRPr="00954407">
        <w:rPr>
          <w:i/>
          <w:iCs/>
          <w:color w:val="767171"/>
          <w:sz w:val="18"/>
          <w:szCs w:val="18"/>
        </w:rPr>
        <w:t>Nota: Los datos presentados en el gráfico fueron tomados del Sistema de Monitoreo y Medición de Gestión Pública (SMMGP).</w:t>
      </w:r>
    </w:p>
    <w:p w14:paraId="2C42C115" w14:textId="77777777" w:rsidR="00BC27E9" w:rsidRPr="00954407" w:rsidRDefault="00BC27E9" w:rsidP="00BC27E9">
      <w:pPr>
        <w:pStyle w:val="EstilodePrrafoNormal1RdeC"/>
        <w:rPr>
          <w:i/>
          <w:iCs/>
          <w:color w:val="767171"/>
          <w:sz w:val="18"/>
          <w:szCs w:val="18"/>
        </w:rPr>
      </w:pPr>
    </w:p>
    <w:p w14:paraId="17F61221" w14:textId="77777777" w:rsidR="00BC27E9" w:rsidRPr="00CF3199" w:rsidRDefault="00BC27E9" w:rsidP="00CF3199">
      <w:pPr>
        <w:pStyle w:val="Heading2"/>
        <w:rPr>
          <w:rFonts w:ascii="Times New Roman" w:hAnsi="Times New Roman" w:cs="Times New Roman"/>
          <w:b/>
          <w:bCs/>
          <w:color w:val="767171"/>
          <w:sz w:val="24"/>
          <w:szCs w:val="24"/>
        </w:rPr>
      </w:pPr>
      <w:bookmarkStart w:id="80" w:name="_Toc217402125"/>
      <w:r w:rsidRPr="00CF3199">
        <w:rPr>
          <w:rFonts w:ascii="Times New Roman" w:hAnsi="Times New Roman" w:cs="Times New Roman"/>
          <w:b/>
          <w:bCs/>
          <w:color w:val="767171"/>
          <w:sz w:val="24"/>
          <w:szCs w:val="24"/>
        </w:rPr>
        <w:t>Indicador ITICGE</w:t>
      </w:r>
      <w:bookmarkEnd w:id="80"/>
    </w:p>
    <w:p w14:paraId="56224B1D" w14:textId="77777777" w:rsidR="00BC27E9" w:rsidRPr="00954407" w:rsidRDefault="00BC27E9" w:rsidP="00BC27E9">
      <w:pPr>
        <w:pStyle w:val="EstilodePrrafoNormal1RdeC"/>
      </w:pPr>
    </w:p>
    <w:p w14:paraId="7CA86A2D" w14:textId="77777777" w:rsidR="00BC27E9" w:rsidRPr="00954407" w:rsidRDefault="00BC27E9" w:rsidP="00BC27E9">
      <w:pPr>
        <w:pStyle w:val="EstilodePrrafoNormal1RdeC"/>
        <w:rPr>
          <w:color w:val="767171"/>
        </w:rPr>
      </w:pPr>
      <w:r w:rsidRPr="00954407">
        <w:rPr>
          <w:color w:val="767171"/>
        </w:rPr>
        <w:t>El ITICGE fue desarrollado e implementado desde el año 2013, para promover y medir el uso de las TIC y el Gobierno Electrónico en el Estado Dominicano, diseñar estrategias que impacten la eficiencia y la participación ciudadana. Está compuesto por cinco (5) pilares principales: Uso de las TIC, Implementación de Gobierno Electrónico, Innovación, e-Participación y Servicios en Línea.</w:t>
      </w:r>
    </w:p>
    <w:p w14:paraId="63FE4DF6" w14:textId="77777777" w:rsidR="00BC27E9" w:rsidRPr="00954407" w:rsidRDefault="00BC27E9" w:rsidP="00BC27E9">
      <w:pPr>
        <w:pStyle w:val="EstilodePrrafoNormal1RdeC"/>
        <w:rPr>
          <w:rFonts w:eastAsia="Calibri"/>
          <w:spacing w:val="0"/>
          <w:lang w:eastAsia="es-ES_tradnl"/>
        </w:rPr>
      </w:pPr>
    </w:p>
    <w:p w14:paraId="13921EC1" w14:textId="77777777" w:rsidR="00BC27E9" w:rsidRPr="00954407" w:rsidRDefault="00BC27E9" w:rsidP="001308EC">
      <w:pPr>
        <w:pStyle w:val="EstilodePrrafoNormal1RdeC"/>
        <w:numPr>
          <w:ilvl w:val="0"/>
          <w:numId w:val="186"/>
        </w:numPr>
        <w:rPr>
          <w:rFonts w:eastAsia="Calibri"/>
          <w:spacing w:val="0"/>
          <w:lang w:eastAsia="es-ES_tradnl"/>
        </w:rPr>
      </w:pPr>
      <w:r w:rsidRPr="001308EC">
        <w:rPr>
          <w:rFonts w:eastAsia="Calibri"/>
          <w:b/>
          <w:bCs/>
          <w:spacing w:val="0"/>
          <w:lang w:eastAsia="es-ES_tradnl"/>
        </w:rPr>
        <w:t>Órgano rector responsable de medir Indicador:</w:t>
      </w:r>
      <w:r w:rsidRPr="00954407">
        <w:rPr>
          <w:rFonts w:eastAsia="Calibri"/>
          <w:spacing w:val="0"/>
          <w:lang w:eastAsia="es-ES_tradnl"/>
        </w:rPr>
        <w:t xml:space="preserve"> Oficina Gubernamental de Tecnologías de la Información y Comunicación (OGTIC)</w:t>
      </w:r>
    </w:p>
    <w:p w14:paraId="67B28E6E" w14:textId="77777777" w:rsidR="00BC27E9" w:rsidRPr="00954407" w:rsidRDefault="00BC27E9" w:rsidP="001308EC">
      <w:pPr>
        <w:pStyle w:val="EstilodePrrafoNormal1RdeC"/>
        <w:numPr>
          <w:ilvl w:val="0"/>
          <w:numId w:val="186"/>
        </w:numPr>
        <w:rPr>
          <w:rFonts w:eastAsia="Calibri"/>
          <w:spacing w:val="0"/>
          <w:lang w:eastAsia="es-ES_tradnl"/>
        </w:rPr>
      </w:pPr>
      <w:r w:rsidRPr="001308EC">
        <w:rPr>
          <w:rFonts w:eastAsia="Calibri"/>
          <w:b/>
          <w:bCs/>
          <w:spacing w:val="0"/>
          <w:lang w:eastAsia="es-ES_tradnl"/>
        </w:rPr>
        <w:t>Área del MOPC que lidera el indicador ITICGE:</w:t>
      </w:r>
      <w:r w:rsidRPr="00954407">
        <w:rPr>
          <w:rFonts w:eastAsia="Calibri"/>
          <w:spacing w:val="0"/>
          <w:lang w:eastAsia="es-ES_tradnl"/>
        </w:rPr>
        <w:t xml:space="preserve"> Dirección de Tecnologías de la Información y Comunicación.</w:t>
      </w:r>
    </w:p>
    <w:p w14:paraId="480EF444" w14:textId="77777777" w:rsidR="00BC27E9" w:rsidRDefault="00BC27E9" w:rsidP="001308EC">
      <w:pPr>
        <w:pStyle w:val="EstilodePrrafoNormal1RdeC"/>
        <w:numPr>
          <w:ilvl w:val="0"/>
          <w:numId w:val="186"/>
        </w:numPr>
        <w:rPr>
          <w:rFonts w:eastAsia="Calibri"/>
          <w:spacing w:val="0"/>
          <w:lang w:eastAsia="es-ES_tradnl"/>
        </w:rPr>
      </w:pPr>
      <w:r w:rsidRPr="001308EC">
        <w:rPr>
          <w:rFonts w:eastAsia="Calibri"/>
          <w:b/>
          <w:bCs/>
          <w:spacing w:val="0"/>
          <w:lang w:eastAsia="es-ES_tradnl"/>
        </w:rPr>
        <w:t>Frecuencia de medición:</w:t>
      </w:r>
      <w:r w:rsidRPr="00954407">
        <w:rPr>
          <w:rFonts w:eastAsia="Calibri"/>
          <w:spacing w:val="0"/>
          <w:lang w:eastAsia="es-ES_tradnl"/>
        </w:rPr>
        <w:t xml:space="preserve"> Trimestral</w:t>
      </w:r>
    </w:p>
    <w:p w14:paraId="37D4A2F9" w14:textId="77777777" w:rsidR="001308EC" w:rsidRPr="00954407" w:rsidRDefault="001308EC" w:rsidP="001308EC">
      <w:pPr>
        <w:pStyle w:val="EstilodePrrafoNormal1RdeC"/>
        <w:ind w:left="720"/>
        <w:rPr>
          <w:rFonts w:eastAsia="Calibri"/>
          <w:spacing w:val="0"/>
          <w:lang w:eastAsia="es-ES_tradnl"/>
        </w:rPr>
      </w:pPr>
    </w:p>
    <w:p w14:paraId="00BDBA89" w14:textId="77777777" w:rsidR="00BC27E9" w:rsidRPr="00954407" w:rsidRDefault="00BC27E9" w:rsidP="00BC27E9">
      <w:pPr>
        <w:pStyle w:val="EstilodePrrafoNormal1RdeC"/>
        <w:rPr>
          <w:rFonts w:eastAsia="Calibri"/>
          <w:spacing w:val="0"/>
          <w:lang w:eastAsia="es-ES_tradnl"/>
        </w:rPr>
      </w:pPr>
    </w:p>
    <w:p w14:paraId="09A9C77B" w14:textId="77777777" w:rsidR="00BC27E9" w:rsidRPr="001308EC" w:rsidRDefault="00BC27E9" w:rsidP="001308EC">
      <w:pPr>
        <w:pStyle w:val="EstilodePrrafoNormal1RdeC"/>
        <w:spacing w:line="240" w:lineRule="auto"/>
        <w:jc w:val="center"/>
        <w:rPr>
          <w:rFonts w:eastAsia="Arial"/>
          <w:b/>
          <w:bCs/>
          <w:color w:val="767171"/>
          <w:spacing w:val="0"/>
          <w:lang w:eastAsia="es-ES_tradnl"/>
        </w:rPr>
      </w:pPr>
      <w:r w:rsidRPr="001308EC">
        <w:rPr>
          <w:rFonts w:eastAsia="Arial"/>
          <w:b/>
          <w:bCs/>
          <w:color w:val="767171"/>
          <w:spacing w:val="0"/>
          <w:lang w:eastAsia="es-ES_tradnl"/>
        </w:rPr>
        <w:t>Gráfico porcentual del indicador ITICGE</w:t>
      </w:r>
    </w:p>
    <w:p w14:paraId="51566584" w14:textId="77777777" w:rsidR="00BC27E9" w:rsidRDefault="00BC27E9" w:rsidP="001308EC">
      <w:pPr>
        <w:pStyle w:val="EstilodePrrafoNormal1RdeC"/>
        <w:spacing w:line="240" w:lineRule="auto"/>
        <w:jc w:val="center"/>
        <w:rPr>
          <w:rFonts w:eastAsia="Arial"/>
          <w:b/>
          <w:bCs/>
          <w:color w:val="767171"/>
          <w:spacing w:val="0"/>
          <w:lang w:eastAsia="es-ES_tradnl"/>
        </w:rPr>
      </w:pPr>
      <w:r w:rsidRPr="001308EC">
        <w:rPr>
          <w:rFonts w:eastAsia="Arial"/>
          <w:b/>
          <w:bCs/>
          <w:color w:val="767171"/>
          <w:spacing w:val="0"/>
          <w:lang w:eastAsia="es-ES_tradnl"/>
        </w:rPr>
        <w:t>según periodo: enero-septiembre de 2025.</w:t>
      </w:r>
    </w:p>
    <w:p w14:paraId="207FDE86" w14:textId="77777777" w:rsidR="001308EC" w:rsidRPr="001308EC" w:rsidRDefault="001308EC" w:rsidP="001308EC">
      <w:pPr>
        <w:pStyle w:val="EstilodePrrafoNormal1RdeC"/>
        <w:spacing w:line="240" w:lineRule="auto"/>
        <w:jc w:val="center"/>
        <w:rPr>
          <w:rFonts w:eastAsia="Arial"/>
          <w:b/>
          <w:bCs/>
          <w:color w:val="767171"/>
          <w:spacing w:val="0"/>
          <w:lang w:eastAsia="es-ES_tradnl"/>
        </w:rPr>
      </w:pPr>
    </w:p>
    <w:p w14:paraId="7A816841" w14:textId="77777777" w:rsidR="00BC27E9" w:rsidRPr="00954407" w:rsidRDefault="00BC27E9" w:rsidP="00BC27E9">
      <w:pPr>
        <w:pStyle w:val="EstilodePrrafoNormal1RdeC"/>
        <w:rPr>
          <w:color w:val="767171"/>
        </w:rPr>
      </w:pPr>
      <w:r w:rsidRPr="00954407">
        <w:rPr>
          <w:noProof/>
          <w:lang w:val="es-DO" w:eastAsia="es-DO" w:bidi="ar-SA"/>
        </w:rPr>
        <w:drawing>
          <wp:inline distT="0" distB="0" distL="0" distR="0" wp14:anchorId="5AC97E50" wp14:editId="7EFFA597">
            <wp:extent cx="4613910" cy="2349500"/>
            <wp:effectExtent l="0" t="0" r="15240" b="12700"/>
            <wp:docPr id="1877695298" name="Gráfico 1877695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1899254" w14:textId="77777777" w:rsidR="00BC27E9" w:rsidRPr="00954407" w:rsidRDefault="00BC27E9" w:rsidP="001308EC">
      <w:pPr>
        <w:pStyle w:val="EstilodePrrafoNormal1RdeC"/>
        <w:jc w:val="center"/>
        <w:rPr>
          <w:rFonts w:eastAsia="Arial"/>
          <w:i/>
          <w:iCs/>
          <w:color w:val="767171"/>
          <w:spacing w:val="0"/>
          <w:sz w:val="18"/>
          <w:szCs w:val="18"/>
          <w:lang w:eastAsia="es-ES_tradnl"/>
        </w:rPr>
      </w:pPr>
      <w:r w:rsidRPr="001308EC">
        <w:rPr>
          <w:b/>
          <w:bCs/>
          <w:i/>
          <w:iCs/>
          <w:color w:val="767171"/>
          <w:sz w:val="18"/>
          <w:szCs w:val="18"/>
        </w:rPr>
        <w:t>Nota:</w:t>
      </w:r>
      <w:r w:rsidRPr="00954407">
        <w:rPr>
          <w:i/>
          <w:iCs/>
          <w:color w:val="767171"/>
          <w:sz w:val="18"/>
          <w:szCs w:val="18"/>
        </w:rPr>
        <w:t xml:space="preserve"> </w:t>
      </w:r>
      <w:r w:rsidRPr="00954407">
        <w:rPr>
          <w:rFonts w:eastAsia="Arial"/>
          <w:i/>
          <w:iCs/>
          <w:color w:val="767171"/>
          <w:spacing w:val="0"/>
          <w:sz w:val="18"/>
          <w:szCs w:val="18"/>
          <w:lang w:eastAsia="es-ES_tradnl"/>
        </w:rPr>
        <w:t>La Oficina Gubernamental de Tecnologías de la Información y Comunicación OGTIC, está en proceso de auditoría para el cierre de año 2025, los datos presentados en el gráfico son de fuente oficial del sistema del ITICGE.</w:t>
      </w:r>
    </w:p>
    <w:p w14:paraId="25BF7F27" w14:textId="77777777" w:rsidR="00BC27E9" w:rsidRPr="00954407" w:rsidRDefault="00BC27E9" w:rsidP="00BC27E9">
      <w:pPr>
        <w:pStyle w:val="EstilodePrrafoNormal1RdeC"/>
        <w:rPr>
          <w:rFonts w:eastAsia="Arial"/>
          <w:i/>
          <w:iCs/>
          <w:color w:val="767171"/>
          <w:spacing w:val="0"/>
          <w:sz w:val="18"/>
          <w:szCs w:val="18"/>
          <w:lang w:eastAsia="es-ES_tradnl"/>
        </w:rPr>
      </w:pPr>
    </w:p>
    <w:p w14:paraId="3E7DBE74" w14:textId="77777777" w:rsidR="00BC27E9" w:rsidRPr="00CF3199" w:rsidRDefault="00BC27E9" w:rsidP="00CF3199">
      <w:pPr>
        <w:pStyle w:val="Heading2"/>
        <w:rPr>
          <w:rFonts w:ascii="Times New Roman" w:hAnsi="Times New Roman" w:cs="Times New Roman"/>
          <w:b/>
          <w:bCs/>
          <w:color w:val="767171"/>
          <w:sz w:val="24"/>
          <w:szCs w:val="24"/>
        </w:rPr>
      </w:pPr>
      <w:r w:rsidRPr="00CF3199">
        <w:rPr>
          <w:rFonts w:ascii="Times New Roman" w:hAnsi="Times New Roman" w:cs="Times New Roman"/>
          <w:b/>
          <w:bCs/>
          <w:color w:val="767171"/>
          <w:sz w:val="24"/>
          <w:szCs w:val="24"/>
        </w:rPr>
        <w:t xml:space="preserve"> </w:t>
      </w:r>
      <w:bookmarkStart w:id="81" w:name="_Toc217402126"/>
      <w:r w:rsidRPr="00CF3199">
        <w:rPr>
          <w:rFonts w:ascii="Times New Roman" w:hAnsi="Times New Roman" w:cs="Times New Roman"/>
          <w:b/>
          <w:bCs/>
          <w:color w:val="767171"/>
          <w:sz w:val="24"/>
          <w:szCs w:val="24"/>
        </w:rPr>
        <w:t>Indicador NOBACI</w:t>
      </w:r>
      <w:bookmarkEnd w:id="81"/>
    </w:p>
    <w:p w14:paraId="79004653" w14:textId="77777777" w:rsidR="00BC27E9" w:rsidRPr="00954407" w:rsidRDefault="00BC27E9" w:rsidP="00BC27E9">
      <w:pPr>
        <w:pStyle w:val="EstilodePrrafoNormal1RdeC"/>
      </w:pPr>
    </w:p>
    <w:p w14:paraId="1A96C45B" w14:textId="77777777" w:rsidR="00BC27E9" w:rsidRPr="00954407" w:rsidRDefault="00BC27E9" w:rsidP="00BC27E9">
      <w:pPr>
        <w:pStyle w:val="EstilodePrrafoNormal1RdeC"/>
      </w:pPr>
      <w:r w:rsidRPr="00954407">
        <w:t>Las Normas Básicas de Control Interno (NOBACI), constituyen el marco de referencia mínimo obligatorio en materia de control interno, para que las entidades del Sector Público preparen los procedimientos y reglamentos específicos del funcionamiento de sus sistemas de administración y control.</w:t>
      </w:r>
    </w:p>
    <w:p w14:paraId="24F7A79C" w14:textId="77777777" w:rsidR="00BC27E9" w:rsidRPr="00954407" w:rsidRDefault="00BC27E9" w:rsidP="00BC27E9">
      <w:pPr>
        <w:pStyle w:val="EstilodePrrafoNormal1RdeC"/>
        <w:rPr>
          <w:rFonts w:eastAsia="Calibri"/>
          <w:spacing w:val="0"/>
          <w:lang w:eastAsia="es-ES_tradnl"/>
        </w:rPr>
      </w:pPr>
    </w:p>
    <w:p w14:paraId="4BE5C943" w14:textId="77777777" w:rsidR="00BC27E9" w:rsidRPr="00954407" w:rsidRDefault="00BC27E9" w:rsidP="001308EC">
      <w:pPr>
        <w:pStyle w:val="EstilodePrrafoNormal1RdeC"/>
        <w:numPr>
          <w:ilvl w:val="0"/>
          <w:numId w:val="187"/>
        </w:numPr>
        <w:rPr>
          <w:rFonts w:eastAsia="Calibri"/>
          <w:spacing w:val="0"/>
          <w:lang w:eastAsia="es-ES_tradnl"/>
        </w:rPr>
      </w:pPr>
      <w:r w:rsidRPr="001308EC">
        <w:rPr>
          <w:rFonts w:eastAsia="Calibri"/>
          <w:b/>
          <w:bCs/>
          <w:spacing w:val="0"/>
          <w:lang w:eastAsia="es-ES_tradnl"/>
        </w:rPr>
        <w:t>Órgano rector responsable de medir Indicador:</w:t>
      </w:r>
      <w:r w:rsidRPr="00954407">
        <w:rPr>
          <w:rFonts w:eastAsia="Calibri"/>
          <w:spacing w:val="0"/>
          <w:lang w:eastAsia="es-ES_tradnl"/>
        </w:rPr>
        <w:t xml:space="preserve"> Contraloría General de la República</w:t>
      </w:r>
    </w:p>
    <w:p w14:paraId="0DD286F4" w14:textId="77777777" w:rsidR="00BC27E9" w:rsidRPr="00954407" w:rsidRDefault="00BC27E9" w:rsidP="001308EC">
      <w:pPr>
        <w:pStyle w:val="EstilodePrrafoNormal1RdeC"/>
        <w:numPr>
          <w:ilvl w:val="0"/>
          <w:numId w:val="187"/>
        </w:numPr>
        <w:rPr>
          <w:rFonts w:eastAsia="Calibri"/>
          <w:spacing w:val="0"/>
          <w:lang w:eastAsia="es-ES_tradnl"/>
        </w:rPr>
      </w:pPr>
      <w:r w:rsidRPr="001308EC">
        <w:rPr>
          <w:rFonts w:eastAsia="Calibri"/>
          <w:b/>
          <w:bCs/>
          <w:spacing w:val="0"/>
          <w:lang w:eastAsia="es-ES_tradnl"/>
        </w:rPr>
        <w:t>Área del MOPC que lidera el indicador NOBACI:</w:t>
      </w:r>
      <w:r w:rsidRPr="00954407">
        <w:rPr>
          <w:rFonts w:eastAsia="Calibri"/>
          <w:spacing w:val="0"/>
          <w:lang w:eastAsia="es-ES_tradnl"/>
        </w:rPr>
        <w:t xml:space="preserve"> Dirección de Planificación y Desarrollo</w:t>
      </w:r>
    </w:p>
    <w:p w14:paraId="0D5F398A" w14:textId="77777777" w:rsidR="00BC27E9" w:rsidRPr="00954407" w:rsidRDefault="00BC27E9" w:rsidP="001308EC">
      <w:pPr>
        <w:pStyle w:val="EstilodePrrafoNormal1RdeC"/>
        <w:numPr>
          <w:ilvl w:val="0"/>
          <w:numId w:val="187"/>
        </w:numPr>
        <w:rPr>
          <w:rFonts w:eastAsia="Calibri"/>
          <w:spacing w:val="0"/>
          <w:lang w:eastAsia="es-ES_tradnl"/>
        </w:rPr>
      </w:pPr>
      <w:r w:rsidRPr="001308EC">
        <w:rPr>
          <w:rFonts w:eastAsia="Calibri"/>
          <w:b/>
          <w:bCs/>
          <w:spacing w:val="0"/>
          <w:lang w:eastAsia="es-ES_tradnl"/>
        </w:rPr>
        <w:t>Frecuencia de evaluación:</w:t>
      </w:r>
      <w:r w:rsidRPr="00954407">
        <w:rPr>
          <w:rFonts w:eastAsia="Calibri"/>
          <w:spacing w:val="0"/>
          <w:lang w:eastAsia="es-ES_tradnl"/>
        </w:rPr>
        <w:t xml:space="preserve"> Cuatrimestral</w:t>
      </w:r>
    </w:p>
    <w:p w14:paraId="192F1B8E" w14:textId="77777777" w:rsidR="00BC27E9" w:rsidRPr="00954407" w:rsidRDefault="00BC27E9" w:rsidP="00BC27E9">
      <w:pPr>
        <w:pStyle w:val="EstilodePrrafoNormal1RdeC"/>
        <w:rPr>
          <w:rFonts w:eastAsia="Calibri"/>
          <w:spacing w:val="0"/>
          <w:lang w:eastAsia="es-ES_tradnl"/>
        </w:rPr>
      </w:pPr>
    </w:p>
    <w:p w14:paraId="3F40E7CF" w14:textId="77777777" w:rsidR="00BC27E9" w:rsidRPr="00954407" w:rsidRDefault="00BC27E9" w:rsidP="00BC27E9">
      <w:pPr>
        <w:pStyle w:val="EstilodePrrafoNormal1RdeC"/>
        <w:rPr>
          <w:rFonts w:eastAsia="Calibri"/>
          <w:spacing w:val="0"/>
          <w:lang w:eastAsia="es-ES_tradnl"/>
        </w:rPr>
      </w:pPr>
    </w:p>
    <w:p w14:paraId="3809C625" w14:textId="77777777" w:rsidR="00BC27E9" w:rsidRPr="00954407" w:rsidRDefault="00BC27E9" w:rsidP="00BC27E9">
      <w:pPr>
        <w:pStyle w:val="EstilodePrrafoNormal1RdeC"/>
        <w:rPr>
          <w:rFonts w:eastAsia="Calibri"/>
          <w:spacing w:val="0"/>
          <w:lang w:eastAsia="es-ES_tradnl"/>
        </w:rPr>
      </w:pPr>
    </w:p>
    <w:p w14:paraId="6A033A07" w14:textId="77777777" w:rsidR="00BC27E9" w:rsidRPr="00954407" w:rsidRDefault="00BC27E9" w:rsidP="00BC27E9">
      <w:pPr>
        <w:pStyle w:val="EstilodePrrafoNormal1RdeC"/>
        <w:rPr>
          <w:rFonts w:eastAsia="Calibri"/>
          <w:spacing w:val="0"/>
          <w:lang w:eastAsia="es-ES_tradnl"/>
        </w:rPr>
      </w:pPr>
    </w:p>
    <w:p w14:paraId="18D60E6A" w14:textId="77777777" w:rsidR="00BC27E9" w:rsidRPr="00954407" w:rsidRDefault="00BC27E9" w:rsidP="00BC27E9">
      <w:pPr>
        <w:pStyle w:val="EstilodePrrafoNormal1RdeC"/>
        <w:rPr>
          <w:rFonts w:eastAsia="Calibri"/>
          <w:spacing w:val="0"/>
          <w:lang w:eastAsia="es-ES_tradnl"/>
        </w:rPr>
      </w:pPr>
    </w:p>
    <w:p w14:paraId="66F3B340" w14:textId="77777777" w:rsidR="00BC27E9" w:rsidRPr="001308EC" w:rsidRDefault="00BC27E9" w:rsidP="001308EC">
      <w:pPr>
        <w:pStyle w:val="EstilodePrrafoNormal1RdeC"/>
        <w:spacing w:line="240" w:lineRule="auto"/>
        <w:jc w:val="center"/>
        <w:rPr>
          <w:rFonts w:eastAsia="Calibri"/>
          <w:b/>
          <w:bCs/>
          <w:spacing w:val="0"/>
          <w:lang w:eastAsia="es-ES_tradnl"/>
        </w:rPr>
      </w:pPr>
      <w:r w:rsidRPr="001308EC">
        <w:rPr>
          <w:rFonts w:eastAsia="Calibri"/>
          <w:b/>
          <w:bCs/>
          <w:spacing w:val="0"/>
          <w:lang w:eastAsia="es-ES_tradnl"/>
        </w:rPr>
        <w:t>Gráfico porcentual de indicador NOBACI</w:t>
      </w:r>
    </w:p>
    <w:p w14:paraId="2E3087AD" w14:textId="77777777" w:rsidR="00BC27E9" w:rsidRDefault="00BC27E9" w:rsidP="001308EC">
      <w:pPr>
        <w:pStyle w:val="EstilodePrrafoNormal1RdeC"/>
        <w:spacing w:line="240" w:lineRule="auto"/>
        <w:jc w:val="center"/>
        <w:rPr>
          <w:rFonts w:eastAsia="Calibri"/>
          <w:b/>
          <w:bCs/>
          <w:spacing w:val="0"/>
          <w:lang w:eastAsia="es-ES_tradnl"/>
        </w:rPr>
      </w:pPr>
      <w:r w:rsidRPr="001308EC">
        <w:rPr>
          <w:rFonts w:eastAsia="Calibri"/>
          <w:b/>
          <w:bCs/>
          <w:spacing w:val="0"/>
          <w:lang w:eastAsia="es-ES_tradnl"/>
        </w:rPr>
        <w:t>según Periodo: enero-diciembre de 2025</w:t>
      </w:r>
    </w:p>
    <w:p w14:paraId="2127DD74" w14:textId="77777777" w:rsidR="001308EC" w:rsidRPr="001308EC" w:rsidRDefault="001308EC" w:rsidP="001308EC">
      <w:pPr>
        <w:pStyle w:val="EstilodePrrafoNormal1RdeC"/>
        <w:spacing w:line="240" w:lineRule="auto"/>
        <w:jc w:val="center"/>
        <w:rPr>
          <w:rFonts w:eastAsia="Calibri"/>
          <w:b/>
          <w:bCs/>
          <w:spacing w:val="0"/>
          <w:lang w:eastAsia="es-ES_tradnl"/>
        </w:rPr>
      </w:pPr>
    </w:p>
    <w:p w14:paraId="16D1C121" w14:textId="77777777" w:rsidR="00BC27E9" w:rsidRPr="00954407" w:rsidRDefault="00BC27E9" w:rsidP="00BC27E9">
      <w:pPr>
        <w:pStyle w:val="EstilodePrrafoNormal1RdeC"/>
        <w:rPr>
          <w:rFonts w:eastAsia="Calibri"/>
          <w:spacing w:val="0"/>
          <w:lang w:eastAsia="es-ES_tradnl"/>
        </w:rPr>
      </w:pPr>
      <w:r w:rsidRPr="00954407">
        <w:rPr>
          <w:noProof/>
          <w:lang w:eastAsia="es-DO"/>
        </w:rPr>
        <w:drawing>
          <wp:inline distT="0" distB="0" distL="0" distR="0" wp14:anchorId="30808C97" wp14:editId="4E9E44B6">
            <wp:extent cx="4667250" cy="2482850"/>
            <wp:effectExtent l="0" t="0" r="0" b="12700"/>
            <wp:docPr id="1877695299" name="Gráfico 1877695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EADB32" w14:textId="77777777" w:rsidR="00BC27E9" w:rsidRPr="00954407" w:rsidRDefault="00BC27E9" w:rsidP="001308EC">
      <w:pPr>
        <w:pStyle w:val="EstilodePrrafoNormal1RdeC"/>
        <w:jc w:val="center"/>
        <w:rPr>
          <w:i/>
          <w:iCs/>
          <w:sz w:val="18"/>
          <w:szCs w:val="18"/>
        </w:rPr>
      </w:pPr>
      <w:r w:rsidRPr="001308EC">
        <w:rPr>
          <w:b/>
          <w:bCs/>
          <w:i/>
          <w:iCs/>
          <w:sz w:val="18"/>
          <w:szCs w:val="18"/>
        </w:rPr>
        <w:t>Nota:</w:t>
      </w:r>
      <w:r w:rsidRPr="00954407">
        <w:rPr>
          <w:i/>
          <w:iCs/>
          <w:sz w:val="18"/>
          <w:szCs w:val="18"/>
        </w:rPr>
        <w:t xml:space="preserve"> El indicador NOBACI se encuentra actualmente en proceso de actualización por parte de Contraloría y la Dirección PyD del MOPC.</w:t>
      </w:r>
    </w:p>
    <w:p w14:paraId="57E7B639" w14:textId="77777777" w:rsidR="00BC27E9" w:rsidRPr="00954407" w:rsidRDefault="00BC27E9" w:rsidP="00BC27E9">
      <w:pPr>
        <w:pStyle w:val="EstilodePrrafoNormal1RdeC"/>
        <w:rPr>
          <w:i/>
          <w:iCs/>
          <w:sz w:val="18"/>
          <w:szCs w:val="18"/>
        </w:rPr>
      </w:pPr>
    </w:p>
    <w:p w14:paraId="6F469739" w14:textId="77777777" w:rsidR="00BC27E9" w:rsidRPr="00CF3199" w:rsidRDefault="00BC27E9" w:rsidP="00CF3199">
      <w:pPr>
        <w:pStyle w:val="Heading2"/>
        <w:rPr>
          <w:rFonts w:ascii="Times New Roman" w:hAnsi="Times New Roman" w:cs="Times New Roman"/>
          <w:b/>
          <w:bCs/>
          <w:color w:val="767171"/>
          <w:sz w:val="24"/>
          <w:szCs w:val="24"/>
        </w:rPr>
      </w:pPr>
      <w:bookmarkStart w:id="82" w:name="_Toc217402127"/>
      <w:r w:rsidRPr="00CF3199">
        <w:rPr>
          <w:rFonts w:ascii="Times New Roman" w:hAnsi="Times New Roman" w:cs="Times New Roman"/>
          <w:b/>
          <w:bCs/>
          <w:color w:val="767171"/>
          <w:sz w:val="24"/>
          <w:szCs w:val="24"/>
        </w:rPr>
        <w:t>Indicador Cumplimiento de Ley 200-04</w:t>
      </w:r>
      <w:bookmarkEnd w:id="82"/>
    </w:p>
    <w:p w14:paraId="022462D7" w14:textId="77777777" w:rsidR="00BC27E9" w:rsidRPr="00954407" w:rsidRDefault="00BC27E9" w:rsidP="00BC27E9">
      <w:pPr>
        <w:pStyle w:val="EstilodePrrafoNormal1RdeC"/>
      </w:pPr>
      <w:r w:rsidRPr="00954407">
        <w:t>Son los indicadores para la medición de las instituciones del Gobierno sobre el cumplimiento referente en términos de Transparencia y Libre Acceso a la Información Pública del Estado Dominicano que ordena la Ley 200-04.</w:t>
      </w:r>
    </w:p>
    <w:p w14:paraId="48F092C5" w14:textId="77777777" w:rsidR="00BC27E9" w:rsidRPr="00954407" w:rsidRDefault="00BC27E9" w:rsidP="00BC27E9">
      <w:pPr>
        <w:pStyle w:val="EstilodePrrafoNormal1RdeC"/>
        <w:rPr>
          <w:rFonts w:eastAsia="Calibri"/>
          <w:spacing w:val="0"/>
          <w:sz w:val="22"/>
          <w:lang w:eastAsia="es-ES_tradnl"/>
        </w:rPr>
      </w:pPr>
    </w:p>
    <w:p w14:paraId="503B600B" w14:textId="77777777" w:rsidR="00BC27E9" w:rsidRPr="00954407" w:rsidRDefault="00BC27E9" w:rsidP="001308EC">
      <w:pPr>
        <w:pStyle w:val="EstilodePrrafoNormal1RdeC"/>
        <w:numPr>
          <w:ilvl w:val="0"/>
          <w:numId w:val="188"/>
        </w:numPr>
        <w:rPr>
          <w:rFonts w:eastAsia="Calibri"/>
          <w:spacing w:val="0"/>
          <w:lang w:eastAsia="es-ES_tradnl"/>
        </w:rPr>
      </w:pPr>
      <w:r w:rsidRPr="001308EC">
        <w:rPr>
          <w:rFonts w:eastAsia="Calibri"/>
          <w:b/>
          <w:bCs/>
          <w:spacing w:val="0"/>
          <w:lang w:eastAsia="es-ES_tradnl"/>
        </w:rPr>
        <w:t>Órgano rector responsable de medir Indicador:</w:t>
      </w:r>
      <w:r w:rsidRPr="00954407">
        <w:rPr>
          <w:rFonts w:eastAsia="Calibri"/>
          <w:spacing w:val="0"/>
          <w:lang w:eastAsia="es-ES_tradnl"/>
        </w:rPr>
        <w:t xml:space="preserve"> Dirección General de Ética e Integridad Gubernamental (DIGEIG).</w:t>
      </w:r>
    </w:p>
    <w:p w14:paraId="10E053A0" w14:textId="77777777" w:rsidR="00BC27E9" w:rsidRPr="00954407" w:rsidRDefault="00BC27E9" w:rsidP="001308EC">
      <w:pPr>
        <w:pStyle w:val="EstilodePrrafoNormal1RdeC"/>
        <w:numPr>
          <w:ilvl w:val="0"/>
          <w:numId w:val="188"/>
        </w:numPr>
        <w:rPr>
          <w:rFonts w:eastAsia="Calibri"/>
          <w:spacing w:val="0"/>
          <w:lang w:eastAsia="es-ES_tradnl"/>
        </w:rPr>
      </w:pPr>
      <w:r w:rsidRPr="001308EC">
        <w:rPr>
          <w:rFonts w:eastAsia="Calibri"/>
          <w:b/>
          <w:bCs/>
          <w:spacing w:val="0"/>
          <w:lang w:eastAsia="es-ES_tradnl"/>
        </w:rPr>
        <w:t>Área del MOPC que lidera el indicador Ley 200-04:</w:t>
      </w:r>
      <w:r w:rsidRPr="00954407">
        <w:rPr>
          <w:rFonts w:eastAsia="Calibri"/>
          <w:spacing w:val="0"/>
          <w:lang w:eastAsia="es-ES_tradnl"/>
        </w:rPr>
        <w:t xml:space="preserve"> Dirección de la Oficina de Libre Acceso a la Información.</w:t>
      </w:r>
    </w:p>
    <w:p w14:paraId="08F4DB7F" w14:textId="77777777" w:rsidR="00BC27E9" w:rsidRPr="00954407" w:rsidRDefault="00BC27E9" w:rsidP="001308EC">
      <w:pPr>
        <w:pStyle w:val="EstilodePrrafoNormal1RdeC"/>
        <w:numPr>
          <w:ilvl w:val="0"/>
          <w:numId w:val="188"/>
        </w:numPr>
        <w:rPr>
          <w:rFonts w:eastAsia="Calibri"/>
          <w:spacing w:val="0"/>
          <w:lang w:eastAsia="es-ES_tradnl"/>
        </w:rPr>
      </w:pPr>
      <w:r w:rsidRPr="001308EC">
        <w:rPr>
          <w:rFonts w:eastAsia="Calibri"/>
          <w:b/>
          <w:bCs/>
          <w:spacing w:val="0"/>
          <w:lang w:eastAsia="es-ES_tradnl"/>
        </w:rPr>
        <w:t>Frecuencia de evaluación:</w:t>
      </w:r>
      <w:r w:rsidRPr="00954407">
        <w:rPr>
          <w:rFonts w:eastAsia="Calibri"/>
          <w:spacing w:val="0"/>
          <w:lang w:eastAsia="es-ES_tradnl"/>
        </w:rPr>
        <w:t xml:space="preserve"> Mensual</w:t>
      </w:r>
    </w:p>
    <w:p w14:paraId="34955DB8" w14:textId="77777777" w:rsidR="00BC27E9" w:rsidRPr="00954407" w:rsidRDefault="00BC27E9" w:rsidP="00BC27E9">
      <w:pPr>
        <w:pStyle w:val="EstilodePrrafoNormal1RdeC"/>
        <w:rPr>
          <w:rFonts w:eastAsia="Calibri"/>
          <w:spacing w:val="0"/>
          <w:sz w:val="22"/>
          <w:szCs w:val="28"/>
          <w:lang w:eastAsia="es-ES_tradnl"/>
        </w:rPr>
      </w:pPr>
    </w:p>
    <w:p w14:paraId="613939BA" w14:textId="77777777" w:rsidR="00BC27E9" w:rsidRPr="00954407" w:rsidRDefault="00BC27E9" w:rsidP="00BC27E9">
      <w:pPr>
        <w:pStyle w:val="EstilodePrrafoNormal1RdeC"/>
        <w:rPr>
          <w:rFonts w:eastAsia="Arial"/>
          <w:spacing w:val="0"/>
          <w:sz w:val="22"/>
          <w:lang w:eastAsia="es-ES_tradnl"/>
        </w:rPr>
      </w:pPr>
    </w:p>
    <w:p w14:paraId="6B688543" w14:textId="77777777" w:rsidR="00BC27E9" w:rsidRPr="00954407" w:rsidRDefault="00BC27E9" w:rsidP="00BC27E9">
      <w:pPr>
        <w:pStyle w:val="EstilodePrrafoNormal1RdeC"/>
        <w:rPr>
          <w:rFonts w:eastAsia="Arial"/>
          <w:spacing w:val="0"/>
          <w:sz w:val="22"/>
          <w:lang w:eastAsia="es-ES_tradnl"/>
        </w:rPr>
      </w:pPr>
    </w:p>
    <w:p w14:paraId="23CD3C60" w14:textId="77777777" w:rsidR="00BC27E9" w:rsidRPr="00954407" w:rsidRDefault="00BC27E9" w:rsidP="00BC27E9">
      <w:pPr>
        <w:pStyle w:val="EstilodePrrafoNormal1RdeC"/>
        <w:rPr>
          <w:rFonts w:eastAsia="Arial"/>
          <w:spacing w:val="0"/>
          <w:sz w:val="22"/>
          <w:lang w:eastAsia="es-ES_tradnl"/>
        </w:rPr>
      </w:pPr>
    </w:p>
    <w:p w14:paraId="1391EB0C" w14:textId="77777777" w:rsidR="00BC27E9" w:rsidRPr="00414EA3" w:rsidRDefault="00BC27E9" w:rsidP="00414EA3">
      <w:pPr>
        <w:pStyle w:val="EstilodePrrafoNormal1RdeC"/>
        <w:spacing w:line="240" w:lineRule="auto"/>
        <w:jc w:val="center"/>
        <w:rPr>
          <w:rFonts w:eastAsia="Calibri"/>
          <w:b/>
          <w:bCs/>
          <w:spacing w:val="0"/>
          <w:lang w:eastAsia="es-ES_tradnl"/>
        </w:rPr>
      </w:pPr>
      <w:r w:rsidRPr="00414EA3">
        <w:rPr>
          <w:rFonts w:eastAsia="Calibri"/>
          <w:b/>
          <w:bCs/>
          <w:spacing w:val="0"/>
          <w:lang w:eastAsia="es-ES_tradnl"/>
        </w:rPr>
        <w:t>Gráfico porcentual de Indicador Ley 200-04</w:t>
      </w:r>
    </w:p>
    <w:p w14:paraId="5FF2D95D" w14:textId="0ED99EAD" w:rsidR="00BC27E9" w:rsidRDefault="00BC27E9" w:rsidP="00414EA3">
      <w:pPr>
        <w:pStyle w:val="EstilodePrrafoNormal1RdeC"/>
        <w:spacing w:line="240" w:lineRule="auto"/>
        <w:jc w:val="center"/>
        <w:rPr>
          <w:rFonts w:eastAsia="Calibri"/>
          <w:b/>
          <w:bCs/>
          <w:spacing w:val="0"/>
          <w:lang w:eastAsia="es-ES_tradnl"/>
        </w:rPr>
      </w:pPr>
      <w:r w:rsidRPr="00414EA3">
        <w:rPr>
          <w:rFonts w:eastAsia="Calibri"/>
          <w:b/>
          <w:bCs/>
          <w:spacing w:val="0"/>
          <w:lang w:eastAsia="es-ES_tradnl"/>
        </w:rPr>
        <w:t>según los meses correspondiente enero-septiembre de 2025</w:t>
      </w:r>
    </w:p>
    <w:p w14:paraId="48E8322C" w14:textId="77777777" w:rsidR="00414EA3" w:rsidRPr="00414EA3" w:rsidRDefault="00414EA3" w:rsidP="00414EA3">
      <w:pPr>
        <w:pStyle w:val="EstilodePrrafoNormal1RdeC"/>
        <w:spacing w:line="240" w:lineRule="auto"/>
        <w:jc w:val="center"/>
        <w:rPr>
          <w:rFonts w:eastAsia="Calibri"/>
          <w:b/>
          <w:bCs/>
          <w:spacing w:val="0"/>
          <w:lang w:eastAsia="es-ES_tradnl"/>
        </w:rPr>
      </w:pPr>
    </w:p>
    <w:tbl>
      <w:tblPr>
        <w:tblW w:w="5493" w:type="dxa"/>
        <w:jc w:val="center"/>
        <w:tblCellMar>
          <w:left w:w="70" w:type="dxa"/>
          <w:right w:w="70" w:type="dxa"/>
        </w:tblCellMar>
        <w:tblLook w:val="04A0" w:firstRow="1" w:lastRow="0" w:firstColumn="1" w:lastColumn="0" w:noHBand="0" w:noVBand="1"/>
      </w:tblPr>
      <w:tblGrid>
        <w:gridCol w:w="3539"/>
        <w:gridCol w:w="1954"/>
      </w:tblGrid>
      <w:tr w:rsidR="00BC27E9" w:rsidRPr="00954407" w14:paraId="779F4EE0" w14:textId="77777777" w:rsidTr="00414EA3">
        <w:trPr>
          <w:trHeight w:val="475"/>
          <w:jc w:val="center"/>
        </w:trPr>
        <w:tc>
          <w:tcPr>
            <w:tcW w:w="5493" w:type="dxa"/>
            <w:gridSpan w:val="2"/>
            <w:tcBorders>
              <w:top w:val="nil"/>
              <w:left w:val="nil"/>
              <w:bottom w:val="nil"/>
              <w:right w:val="nil"/>
            </w:tcBorders>
            <w:shd w:val="clear" w:color="000000" w:fill="002060"/>
            <w:vAlign w:val="bottom"/>
            <w:hideMark/>
          </w:tcPr>
          <w:p w14:paraId="6A78FA85" w14:textId="3E2FBD39" w:rsidR="00414EA3" w:rsidRDefault="00BC27E9" w:rsidP="00414EA3">
            <w:pPr>
              <w:pStyle w:val="EstilodePrrafoNormal1RdeC"/>
              <w:jc w:val="center"/>
              <w:rPr>
                <w:color w:val="FFFFFF"/>
                <w:spacing w:val="0"/>
                <w:sz w:val="28"/>
                <w:lang w:eastAsia="es-DO"/>
              </w:rPr>
            </w:pPr>
            <w:r w:rsidRPr="00954407">
              <w:rPr>
                <w:color w:val="FFFFFF"/>
                <w:spacing w:val="0"/>
                <w:sz w:val="28"/>
                <w:lang w:eastAsia="es-DO"/>
              </w:rPr>
              <w:t>Calificaciones del Indicador Ley 200-04</w:t>
            </w:r>
          </w:p>
          <w:p w14:paraId="0289B2DC" w14:textId="78D3A54A" w:rsidR="00BC27E9" w:rsidRPr="00954407" w:rsidRDefault="00BC27E9" w:rsidP="00414EA3">
            <w:pPr>
              <w:pStyle w:val="EstilodePrrafoNormal1RdeC"/>
              <w:jc w:val="center"/>
              <w:rPr>
                <w:color w:val="FFFFFF"/>
                <w:spacing w:val="0"/>
                <w:sz w:val="28"/>
                <w:lang w:eastAsia="es-DO"/>
              </w:rPr>
            </w:pPr>
            <w:r w:rsidRPr="00954407">
              <w:rPr>
                <w:color w:val="FFFFFF"/>
                <w:spacing w:val="0"/>
                <w:sz w:val="28"/>
                <w:lang w:eastAsia="es-DO"/>
              </w:rPr>
              <w:t xml:space="preserve">según </w:t>
            </w:r>
            <w:r w:rsidR="00414EA3">
              <w:rPr>
                <w:color w:val="FFFFFF"/>
                <w:spacing w:val="0"/>
                <w:sz w:val="28"/>
                <w:lang w:eastAsia="es-DO"/>
              </w:rPr>
              <w:t>e</w:t>
            </w:r>
            <w:r w:rsidRPr="00954407">
              <w:rPr>
                <w:color w:val="FFFFFF"/>
                <w:spacing w:val="0"/>
                <w:sz w:val="28"/>
                <w:lang w:eastAsia="es-DO"/>
              </w:rPr>
              <w:t>nero-</w:t>
            </w:r>
            <w:r w:rsidR="00414EA3">
              <w:rPr>
                <w:color w:val="FFFFFF"/>
                <w:spacing w:val="0"/>
                <w:sz w:val="28"/>
                <w:lang w:eastAsia="es-DO"/>
              </w:rPr>
              <w:t>s</w:t>
            </w:r>
            <w:r w:rsidRPr="00954407">
              <w:rPr>
                <w:color w:val="FFFFFF"/>
                <w:spacing w:val="0"/>
                <w:sz w:val="28"/>
                <w:lang w:eastAsia="es-DO"/>
              </w:rPr>
              <w:t>eptiembre 2025</w:t>
            </w:r>
          </w:p>
        </w:tc>
      </w:tr>
      <w:tr w:rsidR="00BC27E9" w:rsidRPr="00954407" w14:paraId="3696CD40" w14:textId="77777777" w:rsidTr="00414EA3">
        <w:trPr>
          <w:trHeight w:val="475"/>
          <w:jc w:val="center"/>
        </w:trPr>
        <w:tc>
          <w:tcPr>
            <w:tcW w:w="3539" w:type="dxa"/>
            <w:tcBorders>
              <w:top w:val="nil"/>
              <w:left w:val="nil"/>
              <w:bottom w:val="nil"/>
              <w:right w:val="nil"/>
            </w:tcBorders>
            <w:shd w:val="clear" w:color="000000" w:fill="E7E6E6"/>
            <w:vAlign w:val="center"/>
            <w:hideMark/>
          </w:tcPr>
          <w:p w14:paraId="35A1E6FB" w14:textId="77777777" w:rsidR="00BC27E9" w:rsidRPr="00954407" w:rsidRDefault="00BC27E9" w:rsidP="00414EA3">
            <w:pPr>
              <w:pStyle w:val="EstilodePrrafoNormal1RdeC"/>
              <w:jc w:val="center"/>
              <w:rPr>
                <w:color w:val="auto"/>
                <w:spacing w:val="0"/>
                <w:lang w:eastAsia="es-DO"/>
              </w:rPr>
            </w:pPr>
            <w:r w:rsidRPr="00954407">
              <w:rPr>
                <w:color w:val="auto"/>
                <w:spacing w:val="0"/>
                <w:lang w:eastAsia="es-DO"/>
              </w:rPr>
              <w:t>MES</w:t>
            </w:r>
          </w:p>
        </w:tc>
        <w:tc>
          <w:tcPr>
            <w:tcW w:w="1954" w:type="dxa"/>
            <w:tcBorders>
              <w:top w:val="nil"/>
              <w:left w:val="nil"/>
              <w:bottom w:val="nil"/>
              <w:right w:val="nil"/>
            </w:tcBorders>
            <w:shd w:val="clear" w:color="000000" w:fill="E7E6E6"/>
            <w:vAlign w:val="center"/>
            <w:hideMark/>
          </w:tcPr>
          <w:p w14:paraId="1F27027A" w14:textId="77777777" w:rsidR="00BC27E9" w:rsidRPr="00954407" w:rsidRDefault="00BC27E9" w:rsidP="00414EA3">
            <w:pPr>
              <w:pStyle w:val="EstilodePrrafoNormal1RdeC"/>
              <w:jc w:val="center"/>
              <w:rPr>
                <w:color w:val="auto"/>
                <w:spacing w:val="0"/>
                <w:lang w:eastAsia="es-DO"/>
              </w:rPr>
            </w:pPr>
            <w:r w:rsidRPr="00954407">
              <w:rPr>
                <w:color w:val="auto"/>
                <w:spacing w:val="0"/>
                <w:lang w:eastAsia="es-DO"/>
              </w:rPr>
              <w:t>CALIFICACIÓN</w:t>
            </w:r>
          </w:p>
        </w:tc>
      </w:tr>
      <w:tr w:rsidR="00BC27E9" w:rsidRPr="00954407" w14:paraId="1498380E" w14:textId="77777777" w:rsidTr="00414EA3">
        <w:trPr>
          <w:trHeight w:val="254"/>
          <w:jc w:val="center"/>
        </w:trPr>
        <w:tc>
          <w:tcPr>
            <w:tcW w:w="3539" w:type="dxa"/>
            <w:tcBorders>
              <w:top w:val="nil"/>
              <w:left w:val="nil"/>
              <w:bottom w:val="nil"/>
              <w:right w:val="nil"/>
            </w:tcBorders>
            <w:shd w:val="clear" w:color="000000" w:fill="E7E6E6"/>
            <w:noWrap/>
            <w:vAlign w:val="center"/>
            <w:hideMark/>
          </w:tcPr>
          <w:p w14:paraId="524CDC4D"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ENERO</w:t>
            </w:r>
          </w:p>
        </w:tc>
        <w:tc>
          <w:tcPr>
            <w:tcW w:w="1954" w:type="dxa"/>
            <w:tcBorders>
              <w:top w:val="nil"/>
              <w:left w:val="nil"/>
              <w:bottom w:val="nil"/>
              <w:right w:val="nil"/>
            </w:tcBorders>
            <w:shd w:val="clear" w:color="000000" w:fill="E7E6E6"/>
            <w:noWrap/>
            <w:vAlign w:val="center"/>
            <w:hideMark/>
          </w:tcPr>
          <w:p w14:paraId="69AC5DD2"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95%</w:t>
            </w:r>
          </w:p>
        </w:tc>
      </w:tr>
      <w:tr w:rsidR="00BC27E9" w:rsidRPr="00954407" w14:paraId="739B7982" w14:textId="77777777" w:rsidTr="00414EA3">
        <w:trPr>
          <w:trHeight w:val="254"/>
          <w:jc w:val="center"/>
        </w:trPr>
        <w:tc>
          <w:tcPr>
            <w:tcW w:w="3539" w:type="dxa"/>
            <w:tcBorders>
              <w:top w:val="nil"/>
              <w:left w:val="nil"/>
              <w:bottom w:val="nil"/>
              <w:right w:val="nil"/>
            </w:tcBorders>
            <w:noWrap/>
            <w:vAlign w:val="center"/>
            <w:hideMark/>
          </w:tcPr>
          <w:p w14:paraId="2EAB20BE"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FEBRERO</w:t>
            </w:r>
          </w:p>
        </w:tc>
        <w:tc>
          <w:tcPr>
            <w:tcW w:w="1954" w:type="dxa"/>
            <w:tcBorders>
              <w:top w:val="nil"/>
              <w:left w:val="nil"/>
              <w:bottom w:val="nil"/>
              <w:right w:val="nil"/>
            </w:tcBorders>
            <w:noWrap/>
            <w:vAlign w:val="center"/>
            <w:hideMark/>
          </w:tcPr>
          <w:p w14:paraId="7613E094"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97%</w:t>
            </w:r>
          </w:p>
        </w:tc>
      </w:tr>
      <w:tr w:rsidR="00BC27E9" w:rsidRPr="00954407" w14:paraId="1AB6EDBE" w14:textId="77777777" w:rsidTr="00414EA3">
        <w:trPr>
          <w:trHeight w:val="254"/>
          <w:jc w:val="center"/>
        </w:trPr>
        <w:tc>
          <w:tcPr>
            <w:tcW w:w="3539" w:type="dxa"/>
            <w:tcBorders>
              <w:top w:val="nil"/>
              <w:left w:val="nil"/>
              <w:bottom w:val="nil"/>
              <w:right w:val="nil"/>
            </w:tcBorders>
            <w:shd w:val="clear" w:color="000000" w:fill="E7E6E6"/>
            <w:noWrap/>
            <w:vAlign w:val="center"/>
            <w:hideMark/>
          </w:tcPr>
          <w:p w14:paraId="2E917839" w14:textId="3695FA2F"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MARZO</w:t>
            </w:r>
          </w:p>
        </w:tc>
        <w:tc>
          <w:tcPr>
            <w:tcW w:w="1954" w:type="dxa"/>
            <w:tcBorders>
              <w:top w:val="nil"/>
              <w:left w:val="nil"/>
              <w:bottom w:val="nil"/>
              <w:right w:val="nil"/>
            </w:tcBorders>
            <w:shd w:val="clear" w:color="000000" w:fill="E7E6E6"/>
            <w:noWrap/>
            <w:vAlign w:val="center"/>
            <w:hideMark/>
          </w:tcPr>
          <w:p w14:paraId="1DBDF043"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98%</w:t>
            </w:r>
          </w:p>
        </w:tc>
      </w:tr>
      <w:tr w:rsidR="00BC27E9" w:rsidRPr="00954407" w14:paraId="1181D87C" w14:textId="77777777" w:rsidTr="00414EA3">
        <w:trPr>
          <w:trHeight w:val="254"/>
          <w:jc w:val="center"/>
        </w:trPr>
        <w:tc>
          <w:tcPr>
            <w:tcW w:w="3539" w:type="dxa"/>
            <w:tcBorders>
              <w:top w:val="nil"/>
              <w:left w:val="nil"/>
              <w:bottom w:val="nil"/>
              <w:right w:val="nil"/>
            </w:tcBorders>
            <w:noWrap/>
            <w:vAlign w:val="center"/>
            <w:hideMark/>
          </w:tcPr>
          <w:p w14:paraId="76CB5CB9"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ABRIL</w:t>
            </w:r>
          </w:p>
        </w:tc>
        <w:tc>
          <w:tcPr>
            <w:tcW w:w="1954" w:type="dxa"/>
            <w:tcBorders>
              <w:top w:val="nil"/>
              <w:left w:val="nil"/>
              <w:bottom w:val="nil"/>
              <w:right w:val="nil"/>
            </w:tcBorders>
            <w:noWrap/>
            <w:vAlign w:val="center"/>
            <w:hideMark/>
          </w:tcPr>
          <w:p w14:paraId="72B12914"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100%</w:t>
            </w:r>
          </w:p>
        </w:tc>
      </w:tr>
      <w:tr w:rsidR="00BC27E9" w:rsidRPr="00954407" w14:paraId="75B0BB64" w14:textId="77777777" w:rsidTr="00414EA3">
        <w:trPr>
          <w:trHeight w:val="254"/>
          <w:jc w:val="center"/>
        </w:trPr>
        <w:tc>
          <w:tcPr>
            <w:tcW w:w="3539" w:type="dxa"/>
            <w:tcBorders>
              <w:top w:val="nil"/>
              <w:left w:val="nil"/>
              <w:bottom w:val="nil"/>
              <w:right w:val="nil"/>
            </w:tcBorders>
            <w:shd w:val="clear" w:color="000000" w:fill="E7E6E6"/>
            <w:noWrap/>
            <w:vAlign w:val="center"/>
            <w:hideMark/>
          </w:tcPr>
          <w:p w14:paraId="3D5AB608" w14:textId="32ABA9CD"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MAYO</w:t>
            </w:r>
          </w:p>
        </w:tc>
        <w:tc>
          <w:tcPr>
            <w:tcW w:w="1954" w:type="dxa"/>
            <w:tcBorders>
              <w:top w:val="nil"/>
              <w:left w:val="nil"/>
              <w:bottom w:val="nil"/>
              <w:right w:val="nil"/>
            </w:tcBorders>
            <w:shd w:val="clear" w:color="000000" w:fill="E7E6E6"/>
            <w:noWrap/>
            <w:vAlign w:val="center"/>
            <w:hideMark/>
          </w:tcPr>
          <w:p w14:paraId="5C063875"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100%</w:t>
            </w:r>
          </w:p>
        </w:tc>
      </w:tr>
      <w:tr w:rsidR="00BC27E9" w:rsidRPr="00954407" w14:paraId="18EA0229" w14:textId="77777777" w:rsidTr="00414EA3">
        <w:trPr>
          <w:trHeight w:val="254"/>
          <w:jc w:val="center"/>
        </w:trPr>
        <w:tc>
          <w:tcPr>
            <w:tcW w:w="3539" w:type="dxa"/>
            <w:tcBorders>
              <w:top w:val="nil"/>
              <w:left w:val="nil"/>
              <w:bottom w:val="nil"/>
              <w:right w:val="nil"/>
            </w:tcBorders>
            <w:noWrap/>
            <w:vAlign w:val="center"/>
            <w:hideMark/>
          </w:tcPr>
          <w:p w14:paraId="1811D1D5" w14:textId="7E9DF74F"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JUNIO</w:t>
            </w:r>
          </w:p>
        </w:tc>
        <w:tc>
          <w:tcPr>
            <w:tcW w:w="1954" w:type="dxa"/>
            <w:tcBorders>
              <w:top w:val="nil"/>
              <w:left w:val="nil"/>
              <w:bottom w:val="nil"/>
              <w:right w:val="nil"/>
            </w:tcBorders>
            <w:noWrap/>
            <w:vAlign w:val="center"/>
            <w:hideMark/>
          </w:tcPr>
          <w:p w14:paraId="7EAB9E6F"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99%</w:t>
            </w:r>
          </w:p>
        </w:tc>
      </w:tr>
      <w:tr w:rsidR="00BC27E9" w:rsidRPr="00954407" w14:paraId="48E410C8" w14:textId="77777777" w:rsidTr="00414EA3">
        <w:trPr>
          <w:trHeight w:val="254"/>
          <w:jc w:val="center"/>
        </w:trPr>
        <w:tc>
          <w:tcPr>
            <w:tcW w:w="3539" w:type="dxa"/>
            <w:tcBorders>
              <w:top w:val="nil"/>
              <w:left w:val="nil"/>
              <w:bottom w:val="nil"/>
              <w:right w:val="nil"/>
            </w:tcBorders>
            <w:shd w:val="clear" w:color="000000" w:fill="E7E6E6"/>
            <w:noWrap/>
            <w:vAlign w:val="center"/>
            <w:hideMark/>
          </w:tcPr>
          <w:p w14:paraId="64619FDB" w14:textId="0D2589BD"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JULIO</w:t>
            </w:r>
          </w:p>
        </w:tc>
        <w:tc>
          <w:tcPr>
            <w:tcW w:w="1954" w:type="dxa"/>
            <w:tcBorders>
              <w:top w:val="nil"/>
              <w:left w:val="nil"/>
              <w:bottom w:val="nil"/>
              <w:right w:val="nil"/>
            </w:tcBorders>
            <w:shd w:val="clear" w:color="000000" w:fill="E7E6E6"/>
            <w:noWrap/>
            <w:vAlign w:val="center"/>
            <w:hideMark/>
          </w:tcPr>
          <w:p w14:paraId="103E80E8"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100%</w:t>
            </w:r>
          </w:p>
        </w:tc>
      </w:tr>
      <w:tr w:rsidR="00BC27E9" w:rsidRPr="00954407" w14:paraId="76A7462F" w14:textId="77777777" w:rsidTr="00414EA3">
        <w:trPr>
          <w:trHeight w:val="254"/>
          <w:jc w:val="center"/>
        </w:trPr>
        <w:tc>
          <w:tcPr>
            <w:tcW w:w="3539" w:type="dxa"/>
            <w:tcBorders>
              <w:top w:val="nil"/>
              <w:left w:val="nil"/>
              <w:bottom w:val="nil"/>
              <w:right w:val="nil"/>
            </w:tcBorders>
            <w:noWrap/>
            <w:vAlign w:val="center"/>
            <w:hideMark/>
          </w:tcPr>
          <w:p w14:paraId="7064B3F3" w14:textId="7421CAD5"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AGOSTO</w:t>
            </w:r>
          </w:p>
        </w:tc>
        <w:tc>
          <w:tcPr>
            <w:tcW w:w="1954" w:type="dxa"/>
            <w:tcBorders>
              <w:top w:val="nil"/>
              <w:left w:val="nil"/>
              <w:bottom w:val="nil"/>
              <w:right w:val="nil"/>
            </w:tcBorders>
            <w:noWrap/>
            <w:vAlign w:val="center"/>
            <w:hideMark/>
          </w:tcPr>
          <w:p w14:paraId="625875AD"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99%</w:t>
            </w:r>
          </w:p>
        </w:tc>
      </w:tr>
      <w:tr w:rsidR="00BC27E9" w:rsidRPr="00954407" w14:paraId="6B929DB9" w14:textId="77777777" w:rsidTr="00414EA3">
        <w:trPr>
          <w:trHeight w:val="254"/>
          <w:jc w:val="center"/>
        </w:trPr>
        <w:tc>
          <w:tcPr>
            <w:tcW w:w="3539" w:type="dxa"/>
            <w:tcBorders>
              <w:top w:val="nil"/>
              <w:left w:val="nil"/>
              <w:bottom w:val="nil"/>
              <w:right w:val="nil"/>
            </w:tcBorders>
            <w:shd w:val="clear" w:color="000000" w:fill="E7E6E6"/>
            <w:noWrap/>
            <w:vAlign w:val="center"/>
            <w:hideMark/>
          </w:tcPr>
          <w:p w14:paraId="0A3C7F33" w14:textId="4F6F4FE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SEPTIEMBRE</w:t>
            </w:r>
          </w:p>
        </w:tc>
        <w:tc>
          <w:tcPr>
            <w:tcW w:w="1954" w:type="dxa"/>
            <w:tcBorders>
              <w:top w:val="nil"/>
              <w:left w:val="nil"/>
              <w:bottom w:val="nil"/>
              <w:right w:val="nil"/>
            </w:tcBorders>
            <w:shd w:val="clear" w:color="000000" w:fill="E7E6E6"/>
            <w:noWrap/>
            <w:vAlign w:val="center"/>
            <w:hideMark/>
          </w:tcPr>
          <w:p w14:paraId="4DE88066" w14:textId="77777777" w:rsidR="00BC27E9" w:rsidRPr="00954407" w:rsidRDefault="00BC27E9" w:rsidP="00414EA3">
            <w:pPr>
              <w:pStyle w:val="EstilodePrrafoNormal1RdeC"/>
              <w:jc w:val="center"/>
              <w:rPr>
                <w:color w:val="000000"/>
                <w:spacing w:val="0"/>
                <w:lang w:eastAsia="es-DO"/>
              </w:rPr>
            </w:pPr>
            <w:r w:rsidRPr="00954407">
              <w:rPr>
                <w:color w:val="000000"/>
                <w:spacing w:val="0"/>
                <w:lang w:eastAsia="es-DO"/>
              </w:rPr>
              <w:t>97%</w:t>
            </w:r>
          </w:p>
        </w:tc>
      </w:tr>
    </w:tbl>
    <w:p w14:paraId="72B9A5C9" w14:textId="77777777" w:rsidR="00BC27E9" w:rsidRPr="00954407" w:rsidRDefault="00BC27E9" w:rsidP="00414EA3">
      <w:pPr>
        <w:pStyle w:val="EstilodePrrafoNormal1RdeC"/>
        <w:jc w:val="center"/>
        <w:rPr>
          <w:i/>
          <w:iCs/>
          <w:color w:val="767171"/>
          <w:sz w:val="18"/>
          <w:szCs w:val="18"/>
        </w:rPr>
      </w:pPr>
      <w:r w:rsidRPr="00414EA3">
        <w:rPr>
          <w:b/>
          <w:bCs/>
          <w:i/>
          <w:iCs/>
          <w:color w:val="767171"/>
          <w:sz w:val="18"/>
          <w:szCs w:val="18"/>
        </w:rPr>
        <w:t>Nota:</w:t>
      </w:r>
      <w:r w:rsidRPr="00954407">
        <w:rPr>
          <w:i/>
          <w:iCs/>
          <w:color w:val="767171"/>
          <w:sz w:val="18"/>
          <w:szCs w:val="18"/>
        </w:rPr>
        <w:t xml:space="preserve"> Este indicador está actualizado hasta septiembre del 2025.</w:t>
      </w:r>
    </w:p>
    <w:p w14:paraId="5719F94B" w14:textId="77777777" w:rsidR="00BC27E9" w:rsidRPr="00954407" w:rsidRDefault="00BC27E9" w:rsidP="00BC27E9">
      <w:pPr>
        <w:pStyle w:val="EstilodePrrafoNormal1RdeC"/>
        <w:rPr>
          <w:i/>
          <w:iCs/>
          <w:color w:val="767171"/>
          <w:sz w:val="18"/>
          <w:szCs w:val="18"/>
        </w:rPr>
      </w:pPr>
    </w:p>
    <w:p w14:paraId="1A7D9408" w14:textId="77777777" w:rsidR="00BC27E9" w:rsidRPr="00CF3199" w:rsidRDefault="00BC27E9" w:rsidP="00CF3199">
      <w:pPr>
        <w:pStyle w:val="Heading2"/>
        <w:rPr>
          <w:rFonts w:ascii="Times New Roman" w:hAnsi="Times New Roman" w:cs="Times New Roman"/>
          <w:b/>
          <w:bCs/>
          <w:color w:val="767171"/>
          <w:sz w:val="24"/>
          <w:szCs w:val="24"/>
        </w:rPr>
      </w:pPr>
      <w:bookmarkStart w:id="83" w:name="_Toc217402128"/>
      <w:r w:rsidRPr="00CF3199">
        <w:rPr>
          <w:rFonts w:ascii="Times New Roman" w:hAnsi="Times New Roman" w:cs="Times New Roman"/>
          <w:b/>
          <w:bCs/>
          <w:color w:val="767171"/>
          <w:sz w:val="24"/>
          <w:szCs w:val="24"/>
        </w:rPr>
        <w:t>Indicador Gestión Presupuestaria</w:t>
      </w:r>
      <w:bookmarkEnd w:id="83"/>
    </w:p>
    <w:p w14:paraId="5EA4ABF4" w14:textId="77777777" w:rsidR="00BC27E9" w:rsidRPr="00954407" w:rsidRDefault="00BC27E9" w:rsidP="00BC27E9">
      <w:pPr>
        <w:pStyle w:val="EstilodePrrafoNormal1RdeC"/>
      </w:pPr>
      <w:r w:rsidRPr="00954407">
        <w:t xml:space="preserve"> </w:t>
      </w:r>
    </w:p>
    <w:p w14:paraId="6E65A08E" w14:textId="77777777" w:rsidR="00BC27E9" w:rsidRPr="00954407" w:rsidRDefault="00BC27E9" w:rsidP="00BC27E9">
      <w:pPr>
        <w:pStyle w:val="EstilodePrrafoNormal1RdeC"/>
      </w:pPr>
      <w:r w:rsidRPr="00954407">
        <w:t>Este indicador tiene como finalidad medir el grado en la que las instituciones llevan una gestión presupuestaria eficaz, eficiente y transparente, de acuerdo con la correcta aplicación de las normativas vigentes y mejores prácticas presupuestarias cumpliendo con la legislación existente en materia de administración financiera del Estado Dominicano.</w:t>
      </w:r>
    </w:p>
    <w:p w14:paraId="4BCD5D86" w14:textId="77777777" w:rsidR="00BC27E9" w:rsidRPr="00954407" w:rsidRDefault="00BC27E9" w:rsidP="00BC27E9">
      <w:pPr>
        <w:pStyle w:val="EstilodePrrafoNormal1RdeC"/>
        <w:rPr>
          <w:rFonts w:eastAsia="Calibri"/>
          <w:spacing w:val="0"/>
          <w:lang w:eastAsia="es-ES_tradnl"/>
        </w:rPr>
      </w:pPr>
    </w:p>
    <w:p w14:paraId="2089B3ED" w14:textId="77777777" w:rsidR="00BC27E9" w:rsidRPr="00954407" w:rsidRDefault="00BC27E9" w:rsidP="00414EA3">
      <w:pPr>
        <w:pStyle w:val="EstilodePrrafoNormal1RdeC"/>
        <w:numPr>
          <w:ilvl w:val="0"/>
          <w:numId w:val="190"/>
        </w:numPr>
        <w:rPr>
          <w:rFonts w:eastAsia="Calibri"/>
          <w:spacing w:val="0"/>
          <w:lang w:eastAsia="es-ES_tradnl"/>
        </w:rPr>
      </w:pPr>
      <w:r w:rsidRPr="00414EA3">
        <w:rPr>
          <w:rFonts w:eastAsia="Calibri"/>
          <w:b/>
          <w:bCs/>
          <w:spacing w:val="0"/>
          <w:lang w:eastAsia="es-ES_tradnl"/>
        </w:rPr>
        <w:t>Órgano rector responsable de medir Indicador Gestión Presupuestaria:</w:t>
      </w:r>
      <w:r w:rsidRPr="00954407">
        <w:rPr>
          <w:rFonts w:eastAsia="Calibri"/>
          <w:spacing w:val="0"/>
          <w:lang w:eastAsia="es-ES_tradnl"/>
        </w:rPr>
        <w:t xml:space="preserve"> Dirección General de Presupuesto (DIGEPRES)</w:t>
      </w:r>
    </w:p>
    <w:p w14:paraId="5DC84132" w14:textId="77777777" w:rsidR="00BC27E9" w:rsidRPr="00954407" w:rsidRDefault="00BC27E9" w:rsidP="00414EA3">
      <w:pPr>
        <w:pStyle w:val="EstilodePrrafoNormal1RdeC"/>
        <w:numPr>
          <w:ilvl w:val="0"/>
          <w:numId w:val="190"/>
        </w:numPr>
        <w:rPr>
          <w:rFonts w:eastAsia="Calibri"/>
          <w:spacing w:val="0"/>
          <w:lang w:eastAsia="es-ES_tradnl"/>
        </w:rPr>
      </w:pPr>
      <w:r w:rsidRPr="00414EA3">
        <w:rPr>
          <w:rFonts w:eastAsia="Calibri"/>
          <w:b/>
          <w:bCs/>
          <w:spacing w:val="0"/>
          <w:lang w:eastAsia="es-ES_tradnl"/>
        </w:rPr>
        <w:t>Área del MOPC que lidera el indicador Gestión Presupuestaria</w:t>
      </w:r>
      <w:r w:rsidRPr="00954407">
        <w:rPr>
          <w:rFonts w:eastAsia="Calibri"/>
          <w:spacing w:val="0"/>
          <w:lang w:eastAsia="es-ES_tradnl"/>
        </w:rPr>
        <w:t>: Dirección Financiera</w:t>
      </w:r>
    </w:p>
    <w:p w14:paraId="6679FA8C" w14:textId="77777777" w:rsidR="00BC27E9" w:rsidRPr="00954407" w:rsidRDefault="00BC27E9" w:rsidP="00414EA3">
      <w:pPr>
        <w:pStyle w:val="EstilodePrrafoNormal1RdeC"/>
        <w:numPr>
          <w:ilvl w:val="0"/>
          <w:numId w:val="190"/>
        </w:numPr>
        <w:rPr>
          <w:rFonts w:eastAsia="Calibri"/>
          <w:spacing w:val="0"/>
          <w:lang w:eastAsia="es-ES_tradnl"/>
        </w:rPr>
      </w:pPr>
      <w:r w:rsidRPr="00414EA3">
        <w:rPr>
          <w:rFonts w:eastAsia="Calibri"/>
          <w:b/>
          <w:bCs/>
          <w:spacing w:val="0"/>
          <w:lang w:eastAsia="es-ES_tradnl"/>
        </w:rPr>
        <w:t>Frecuencia de evaluación:</w:t>
      </w:r>
      <w:r w:rsidRPr="00954407">
        <w:rPr>
          <w:rFonts w:eastAsia="Calibri"/>
          <w:spacing w:val="0"/>
          <w:lang w:eastAsia="es-ES_tradnl"/>
        </w:rPr>
        <w:t xml:space="preserve"> Trimestral</w:t>
      </w:r>
    </w:p>
    <w:p w14:paraId="719DA10C" w14:textId="77777777" w:rsidR="00BC27E9" w:rsidRPr="00414EA3" w:rsidRDefault="00BC27E9" w:rsidP="00414EA3">
      <w:pPr>
        <w:pStyle w:val="EstilodePrrafoNormal1RdeC"/>
        <w:spacing w:line="240" w:lineRule="auto"/>
        <w:jc w:val="center"/>
        <w:rPr>
          <w:rFonts w:eastAsia="Calibri"/>
          <w:b/>
          <w:bCs/>
          <w:spacing w:val="0"/>
          <w:lang w:eastAsia="es-ES_tradnl"/>
        </w:rPr>
      </w:pPr>
      <w:r w:rsidRPr="00414EA3">
        <w:rPr>
          <w:rFonts w:eastAsia="Calibri"/>
          <w:b/>
          <w:bCs/>
          <w:spacing w:val="0"/>
          <w:lang w:eastAsia="es-ES_tradnl"/>
        </w:rPr>
        <w:lastRenderedPageBreak/>
        <w:t>Gráfico porcentual de Indicador PRESUPUESTO</w:t>
      </w:r>
    </w:p>
    <w:p w14:paraId="4738491D" w14:textId="72F9DA00" w:rsidR="00BC27E9" w:rsidRDefault="00BC27E9" w:rsidP="00414EA3">
      <w:pPr>
        <w:pStyle w:val="EstilodePrrafoNormal1RdeC"/>
        <w:spacing w:line="240" w:lineRule="auto"/>
        <w:jc w:val="center"/>
        <w:rPr>
          <w:rFonts w:eastAsia="Calibri"/>
          <w:b/>
          <w:bCs/>
          <w:spacing w:val="0"/>
          <w:lang w:eastAsia="es-ES_tradnl"/>
        </w:rPr>
      </w:pPr>
      <w:r w:rsidRPr="00414EA3">
        <w:rPr>
          <w:rFonts w:eastAsia="Calibri"/>
          <w:b/>
          <w:bCs/>
          <w:spacing w:val="0"/>
          <w:lang w:eastAsia="es-ES_tradnl"/>
        </w:rPr>
        <w:t>según periodo: enero-septiembre de 2025</w:t>
      </w:r>
    </w:p>
    <w:p w14:paraId="3E872B17" w14:textId="77777777" w:rsidR="00414EA3" w:rsidRPr="00414EA3" w:rsidRDefault="00414EA3" w:rsidP="00414EA3">
      <w:pPr>
        <w:pStyle w:val="EstilodePrrafoNormal1RdeC"/>
        <w:spacing w:line="240" w:lineRule="auto"/>
        <w:jc w:val="center"/>
        <w:rPr>
          <w:rFonts w:eastAsia="Calibri"/>
          <w:b/>
          <w:bCs/>
          <w:spacing w:val="0"/>
          <w:lang w:eastAsia="es-ES_tradnl"/>
        </w:rPr>
      </w:pPr>
    </w:p>
    <w:p w14:paraId="5559ABD6" w14:textId="77777777" w:rsidR="00BC27E9" w:rsidRPr="00954407" w:rsidRDefault="00BC27E9" w:rsidP="00414EA3">
      <w:pPr>
        <w:pStyle w:val="EstilodePrrafoNormal1RdeC"/>
        <w:jc w:val="center"/>
        <w:rPr>
          <w:rFonts w:eastAsia="Calibri"/>
          <w:spacing w:val="0"/>
          <w:lang w:eastAsia="es-ES_tradnl"/>
        </w:rPr>
      </w:pPr>
      <w:r w:rsidRPr="00954407">
        <w:rPr>
          <w:noProof/>
          <w:lang w:eastAsia="es-DO"/>
        </w:rPr>
        <w:drawing>
          <wp:inline distT="0" distB="0" distL="0" distR="0" wp14:anchorId="28BEDB60" wp14:editId="3CF2C2DF">
            <wp:extent cx="4033777" cy="2743200"/>
            <wp:effectExtent l="0" t="0" r="5080" b="0"/>
            <wp:docPr id="1877695300" name="Gráfico 1877695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C220376" w14:textId="77777777" w:rsidR="00BC27E9" w:rsidRPr="00954407" w:rsidRDefault="00BC27E9" w:rsidP="00414EA3">
      <w:pPr>
        <w:pStyle w:val="EstilodePrrafoNormal1RdeC"/>
        <w:jc w:val="center"/>
        <w:rPr>
          <w:rFonts w:eastAsia="Calibri"/>
          <w:i/>
          <w:iCs/>
          <w:sz w:val="18"/>
          <w:szCs w:val="18"/>
        </w:rPr>
      </w:pPr>
      <w:r w:rsidRPr="00414EA3">
        <w:rPr>
          <w:b/>
          <w:bCs/>
          <w:i/>
          <w:iCs/>
          <w:sz w:val="18"/>
          <w:szCs w:val="18"/>
        </w:rPr>
        <w:t>Nota:</w:t>
      </w:r>
      <w:r w:rsidRPr="00954407">
        <w:rPr>
          <w:rFonts w:eastAsia="Calibri"/>
          <w:i/>
          <w:iCs/>
          <w:sz w:val="18"/>
          <w:szCs w:val="18"/>
        </w:rPr>
        <w:t xml:space="preserve"> Los datos suministrados en este informe son de fuente oficial del Sistema IGP.</w:t>
      </w:r>
    </w:p>
    <w:p w14:paraId="6FEBB416" w14:textId="77777777" w:rsidR="00BC27E9" w:rsidRPr="00954407" w:rsidRDefault="00BC27E9" w:rsidP="00BC27E9">
      <w:pPr>
        <w:pStyle w:val="EstilodePrrafoNormal1RdeC"/>
        <w:rPr>
          <w:rFonts w:eastAsia="Calibri"/>
          <w:i/>
          <w:iCs/>
          <w:sz w:val="18"/>
          <w:szCs w:val="18"/>
        </w:rPr>
      </w:pPr>
    </w:p>
    <w:p w14:paraId="40689153" w14:textId="77777777" w:rsidR="00BC27E9" w:rsidRPr="00954407" w:rsidRDefault="00BC27E9" w:rsidP="00BC27E9">
      <w:pPr>
        <w:pStyle w:val="EstilodePrrafoNormal1RdeC"/>
        <w:rPr>
          <w:rFonts w:eastAsia="Calibri"/>
          <w:spacing w:val="0"/>
          <w:lang w:eastAsia="es-ES_tradnl"/>
        </w:rPr>
      </w:pPr>
    </w:p>
    <w:p w14:paraId="069BF532" w14:textId="77777777" w:rsidR="00BC27E9" w:rsidRPr="00414EA3" w:rsidRDefault="00BC27E9" w:rsidP="00414EA3">
      <w:pPr>
        <w:pStyle w:val="EstilodePrrafoNormal1RdeC"/>
        <w:spacing w:line="240" w:lineRule="auto"/>
        <w:jc w:val="center"/>
        <w:rPr>
          <w:rFonts w:eastAsia="Calibri"/>
          <w:b/>
          <w:bCs/>
          <w:spacing w:val="0"/>
          <w:lang w:eastAsia="es-ES_tradnl"/>
        </w:rPr>
      </w:pPr>
      <w:r w:rsidRPr="00414EA3">
        <w:rPr>
          <w:rFonts w:eastAsia="Calibri"/>
          <w:b/>
          <w:bCs/>
          <w:spacing w:val="0"/>
          <w:lang w:eastAsia="es-ES_tradnl"/>
        </w:rPr>
        <w:t>Gráfico porcentual de Indicador PRESUPUESTO</w:t>
      </w:r>
    </w:p>
    <w:p w14:paraId="281A430D" w14:textId="680C2624" w:rsidR="00BC27E9" w:rsidRDefault="00BC27E9" w:rsidP="00414EA3">
      <w:pPr>
        <w:pStyle w:val="EstilodePrrafoNormal1RdeC"/>
        <w:spacing w:line="240" w:lineRule="auto"/>
        <w:jc w:val="center"/>
        <w:rPr>
          <w:rFonts w:eastAsia="Calibri"/>
          <w:b/>
          <w:bCs/>
          <w:spacing w:val="0"/>
          <w:lang w:eastAsia="es-ES_tradnl"/>
        </w:rPr>
      </w:pPr>
      <w:r w:rsidRPr="00414EA3">
        <w:rPr>
          <w:rFonts w:eastAsia="Calibri"/>
          <w:b/>
          <w:bCs/>
          <w:spacing w:val="0"/>
          <w:lang w:eastAsia="es-ES_tradnl"/>
        </w:rPr>
        <w:t>según periodo: Enero-septiembre de 2025</w:t>
      </w:r>
    </w:p>
    <w:p w14:paraId="2F61E292" w14:textId="77777777" w:rsidR="00414EA3" w:rsidRPr="00414EA3" w:rsidRDefault="00414EA3" w:rsidP="00414EA3">
      <w:pPr>
        <w:pStyle w:val="EstilodePrrafoNormal1RdeC"/>
        <w:spacing w:line="240" w:lineRule="auto"/>
        <w:jc w:val="center"/>
        <w:rPr>
          <w:rFonts w:eastAsia="Calibri"/>
          <w:b/>
          <w:bCs/>
          <w:spacing w:val="0"/>
          <w:lang w:eastAsia="es-ES_tradnl"/>
        </w:rPr>
      </w:pPr>
    </w:p>
    <w:p w14:paraId="128B12EE" w14:textId="77777777" w:rsidR="00BC27E9" w:rsidRPr="00954407" w:rsidRDefault="00BC27E9" w:rsidP="004C2ADB">
      <w:pPr>
        <w:pStyle w:val="EstilodePrrafoNormal1RdeC"/>
        <w:jc w:val="center"/>
        <w:rPr>
          <w:spacing w:val="0"/>
          <w:sz w:val="32"/>
          <w:szCs w:val="32"/>
          <w:lang w:eastAsia="es-ES_tradnl"/>
        </w:rPr>
      </w:pPr>
      <w:r w:rsidRPr="00954407">
        <w:rPr>
          <w:noProof/>
          <w:lang w:eastAsia="es-DO"/>
        </w:rPr>
        <w:drawing>
          <wp:inline distT="0" distB="0" distL="0" distR="0" wp14:anchorId="482ACC6A" wp14:editId="24600555">
            <wp:extent cx="5035550" cy="2686050"/>
            <wp:effectExtent l="0" t="0" r="12700" b="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61F9B1" w14:textId="77777777" w:rsidR="00BC27E9" w:rsidRDefault="00BC27E9" w:rsidP="00414EA3">
      <w:pPr>
        <w:pStyle w:val="EstilodePrrafoNormal1RdeC"/>
        <w:jc w:val="center"/>
        <w:rPr>
          <w:i/>
          <w:iCs/>
          <w:color w:val="767171"/>
          <w:sz w:val="18"/>
          <w:szCs w:val="18"/>
        </w:rPr>
      </w:pPr>
      <w:r w:rsidRPr="00414EA3">
        <w:rPr>
          <w:b/>
          <w:bCs/>
          <w:i/>
          <w:iCs/>
          <w:color w:val="767171"/>
          <w:sz w:val="18"/>
          <w:szCs w:val="18"/>
        </w:rPr>
        <w:t>Nota</w:t>
      </w:r>
      <w:r w:rsidRPr="00954407">
        <w:rPr>
          <w:i/>
          <w:iCs/>
          <w:color w:val="767171"/>
          <w:sz w:val="18"/>
          <w:szCs w:val="18"/>
        </w:rPr>
        <w:t>: La DIGEPRES no ha actualizado el trimestre octubre-noviembre del 2025.</w:t>
      </w:r>
    </w:p>
    <w:p w14:paraId="32CF1C6A" w14:textId="77777777" w:rsidR="00414EA3" w:rsidRDefault="00414EA3" w:rsidP="00BC27E9">
      <w:pPr>
        <w:pStyle w:val="EstilodePrrafoNormal1RdeC"/>
        <w:rPr>
          <w:i/>
          <w:iCs/>
          <w:color w:val="767171"/>
          <w:sz w:val="18"/>
          <w:szCs w:val="18"/>
        </w:rPr>
      </w:pPr>
    </w:p>
    <w:p w14:paraId="6590D479" w14:textId="77777777" w:rsidR="00414EA3" w:rsidRPr="00954407" w:rsidRDefault="00414EA3" w:rsidP="00BC27E9">
      <w:pPr>
        <w:pStyle w:val="EstilodePrrafoNormal1RdeC"/>
        <w:rPr>
          <w:i/>
          <w:iCs/>
          <w:color w:val="767171"/>
          <w:sz w:val="18"/>
          <w:szCs w:val="18"/>
        </w:rPr>
      </w:pPr>
    </w:p>
    <w:p w14:paraId="55B4F535" w14:textId="77777777" w:rsidR="00BC27E9" w:rsidRPr="00414EA3" w:rsidRDefault="00BC27E9" w:rsidP="00414EA3">
      <w:pPr>
        <w:pStyle w:val="Heading2"/>
        <w:rPr>
          <w:rFonts w:ascii="Times New Roman" w:hAnsi="Times New Roman" w:cs="Times New Roman"/>
          <w:b/>
          <w:bCs/>
          <w:color w:val="767171"/>
          <w:sz w:val="24"/>
          <w:szCs w:val="24"/>
        </w:rPr>
      </w:pPr>
      <w:bookmarkStart w:id="84" w:name="_Toc217402129"/>
      <w:r w:rsidRPr="00414EA3">
        <w:rPr>
          <w:rFonts w:ascii="Times New Roman" w:hAnsi="Times New Roman" w:cs="Times New Roman"/>
          <w:b/>
          <w:bCs/>
          <w:color w:val="767171"/>
          <w:sz w:val="24"/>
          <w:szCs w:val="24"/>
        </w:rPr>
        <w:lastRenderedPageBreak/>
        <w:t>Indicador Compras y Contrataciones Públicas</w:t>
      </w:r>
      <w:bookmarkEnd w:id="84"/>
    </w:p>
    <w:p w14:paraId="1A2FE07A" w14:textId="77777777" w:rsidR="00BC27E9" w:rsidRPr="00954407" w:rsidRDefault="00BC27E9" w:rsidP="00BC27E9">
      <w:pPr>
        <w:pStyle w:val="EstilodePrrafoNormal1RdeC"/>
        <w:rPr>
          <w:color w:val="767171"/>
          <w:sz w:val="20"/>
        </w:rPr>
      </w:pPr>
    </w:p>
    <w:p w14:paraId="39C36337" w14:textId="77777777" w:rsidR="00BC27E9" w:rsidRPr="00954407" w:rsidRDefault="00BC27E9" w:rsidP="00BC27E9">
      <w:pPr>
        <w:pStyle w:val="EstilodePrrafoNormal1RdeC"/>
        <w:rPr>
          <w:color w:val="767171"/>
        </w:rPr>
      </w:pPr>
      <w:r w:rsidRPr="00954407">
        <w:rPr>
          <w:color w:val="767171"/>
        </w:rPr>
        <w:t>Este indicador tiene como finalidad el monitoreo en el cumplimiento de la Ley 340-06, su modificación y normativas vinculadas. Está orientado a medir el grado de desarrollo de la gestión de las contrataciones en términos de transparencia, eficacia y calidad en correspondencia con el marco normativo y procedimental vigente.</w:t>
      </w:r>
    </w:p>
    <w:p w14:paraId="17C205FB" w14:textId="77777777" w:rsidR="00BC27E9" w:rsidRPr="00954407" w:rsidRDefault="00BC27E9" w:rsidP="00BC27E9">
      <w:pPr>
        <w:pStyle w:val="EstilodePrrafoNormal1RdeC"/>
        <w:rPr>
          <w:rFonts w:eastAsia="Calibri"/>
          <w:spacing w:val="0"/>
          <w:sz w:val="20"/>
          <w:szCs w:val="20"/>
          <w:lang w:eastAsia="es-ES_tradnl"/>
        </w:rPr>
      </w:pPr>
    </w:p>
    <w:p w14:paraId="096C2F3A" w14:textId="77777777" w:rsidR="00BC27E9" w:rsidRPr="00954407" w:rsidRDefault="00BC27E9" w:rsidP="00414EA3">
      <w:pPr>
        <w:pStyle w:val="EstilodePrrafoNormal1RdeC"/>
        <w:numPr>
          <w:ilvl w:val="0"/>
          <w:numId w:val="192"/>
        </w:numPr>
        <w:rPr>
          <w:rFonts w:eastAsia="Calibri"/>
          <w:spacing w:val="0"/>
          <w:lang w:eastAsia="es-ES_tradnl"/>
        </w:rPr>
      </w:pPr>
      <w:r w:rsidRPr="00414EA3">
        <w:rPr>
          <w:rFonts w:eastAsia="Calibri"/>
          <w:b/>
          <w:bCs/>
          <w:spacing w:val="0"/>
          <w:lang w:eastAsia="es-ES_tradnl"/>
        </w:rPr>
        <w:t>Órgano rector responsable de medir Indicador Gestión Presupuestaria</w:t>
      </w:r>
      <w:r w:rsidRPr="00954407">
        <w:rPr>
          <w:rFonts w:eastAsia="Calibri"/>
          <w:spacing w:val="0"/>
          <w:lang w:eastAsia="es-ES_tradnl"/>
        </w:rPr>
        <w:t>: Dirección General de Compras y Contrataciones Públicas (DGCP)</w:t>
      </w:r>
    </w:p>
    <w:p w14:paraId="165C6AA9" w14:textId="77777777" w:rsidR="00BC27E9" w:rsidRPr="00954407" w:rsidRDefault="00BC27E9" w:rsidP="00414EA3">
      <w:pPr>
        <w:pStyle w:val="EstilodePrrafoNormal1RdeC"/>
        <w:numPr>
          <w:ilvl w:val="0"/>
          <w:numId w:val="192"/>
        </w:numPr>
        <w:rPr>
          <w:rFonts w:eastAsia="Calibri"/>
          <w:spacing w:val="0"/>
          <w:lang w:eastAsia="es-ES_tradnl"/>
        </w:rPr>
      </w:pPr>
      <w:r w:rsidRPr="00414EA3">
        <w:rPr>
          <w:rFonts w:eastAsia="Calibri"/>
          <w:b/>
          <w:bCs/>
          <w:spacing w:val="0"/>
          <w:lang w:eastAsia="es-ES_tradnl"/>
        </w:rPr>
        <w:t>Área del MOPC que lidera el indicador Compras y contrataciones Públicas:</w:t>
      </w:r>
      <w:r w:rsidRPr="00954407">
        <w:rPr>
          <w:rFonts w:eastAsia="Calibri"/>
          <w:spacing w:val="0"/>
          <w:lang w:eastAsia="es-ES_tradnl"/>
        </w:rPr>
        <w:t xml:space="preserve"> Dirección de Compras y Contrataciones</w:t>
      </w:r>
    </w:p>
    <w:p w14:paraId="72749DC6" w14:textId="77777777" w:rsidR="00BC27E9" w:rsidRPr="00954407" w:rsidRDefault="00BC27E9" w:rsidP="00414EA3">
      <w:pPr>
        <w:pStyle w:val="EstilodePrrafoNormal1RdeC"/>
        <w:numPr>
          <w:ilvl w:val="0"/>
          <w:numId w:val="192"/>
        </w:numPr>
        <w:rPr>
          <w:rFonts w:eastAsia="Calibri"/>
          <w:spacing w:val="0"/>
          <w:lang w:eastAsia="es-ES_tradnl"/>
        </w:rPr>
      </w:pPr>
      <w:r w:rsidRPr="00414EA3">
        <w:rPr>
          <w:rFonts w:eastAsia="Calibri"/>
          <w:b/>
          <w:bCs/>
          <w:spacing w:val="0"/>
          <w:lang w:eastAsia="es-ES_tradnl"/>
        </w:rPr>
        <w:t>Frecuencia de evaluación:</w:t>
      </w:r>
      <w:r w:rsidRPr="00954407">
        <w:rPr>
          <w:rFonts w:eastAsia="Calibri"/>
          <w:spacing w:val="0"/>
          <w:lang w:eastAsia="es-ES_tradnl"/>
        </w:rPr>
        <w:t xml:space="preserve"> Trimestral</w:t>
      </w:r>
    </w:p>
    <w:p w14:paraId="7ED5A099" w14:textId="77777777" w:rsidR="00BC27E9" w:rsidRPr="00954407" w:rsidRDefault="00BC27E9" w:rsidP="00BC27E9">
      <w:pPr>
        <w:pStyle w:val="EstilodePrrafoNormal1RdeC"/>
        <w:rPr>
          <w:rFonts w:eastAsia="Calibri"/>
          <w:spacing w:val="0"/>
          <w:lang w:eastAsia="es-ES_tradnl"/>
        </w:rPr>
      </w:pPr>
    </w:p>
    <w:p w14:paraId="647F0E88" w14:textId="77777777" w:rsidR="00BC27E9" w:rsidRPr="00414EA3" w:rsidRDefault="00BC27E9" w:rsidP="00414EA3">
      <w:pPr>
        <w:pStyle w:val="EstilodePrrafoNormal1RdeC"/>
        <w:spacing w:line="240" w:lineRule="auto"/>
        <w:jc w:val="center"/>
        <w:rPr>
          <w:rFonts w:eastAsia="Calibri"/>
          <w:b/>
          <w:bCs/>
          <w:spacing w:val="0"/>
          <w:lang w:eastAsia="es-ES_tradnl"/>
        </w:rPr>
      </w:pPr>
      <w:r w:rsidRPr="00414EA3">
        <w:rPr>
          <w:rFonts w:eastAsia="Calibri"/>
          <w:b/>
          <w:bCs/>
          <w:spacing w:val="0"/>
          <w:lang w:eastAsia="es-ES_tradnl"/>
        </w:rPr>
        <w:t>Gráfico porcentual del indicador Contrataciones Públicas</w:t>
      </w:r>
    </w:p>
    <w:p w14:paraId="795D6878" w14:textId="50067773" w:rsidR="00BC27E9" w:rsidRDefault="00BC27E9" w:rsidP="00414EA3">
      <w:pPr>
        <w:pStyle w:val="EstilodePrrafoNormal1RdeC"/>
        <w:spacing w:line="240" w:lineRule="auto"/>
        <w:jc w:val="center"/>
        <w:rPr>
          <w:rFonts w:eastAsia="Calibri"/>
          <w:b/>
          <w:bCs/>
          <w:spacing w:val="0"/>
          <w:lang w:eastAsia="es-ES_tradnl"/>
        </w:rPr>
      </w:pPr>
      <w:r w:rsidRPr="00414EA3">
        <w:rPr>
          <w:rFonts w:eastAsia="Calibri"/>
          <w:b/>
          <w:bCs/>
          <w:spacing w:val="0"/>
          <w:lang w:eastAsia="es-ES_tradnl"/>
        </w:rPr>
        <w:t>según periodo enero – diciembre del 2025</w:t>
      </w:r>
    </w:p>
    <w:p w14:paraId="52073916" w14:textId="77777777" w:rsidR="00414EA3" w:rsidRPr="00414EA3" w:rsidRDefault="00414EA3" w:rsidP="00414EA3">
      <w:pPr>
        <w:pStyle w:val="EstilodePrrafoNormal1RdeC"/>
        <w:spacing w:line="240" w:lineRule="auto"/>
        <w:jc w:val="center"/>
        <w:rPr>
          <w:rFonts w:eastAsia="Calibri"/>
          <w:b/>
          <w:bCs/>
          <w:spacing w:val="0"/>
          <w:lang w:eastAsia="es-ES_tradnl"/>
        </w:rPr>
      </w:pPr>
    </w:p>
    <w:p w14:paraId="0F7DC779" w14:textId="77777777" w:rsidR="00BC27E9" w:rsidRPr="00954407" w:rsidRDefault="00BC27E9" w:rsidP="00414EA3">
      <w:pPr>
        <w:pStyle w:val="EstilodePrrafoNormal1RdeC"/>
        <w:jc w:val="center"/>
        <w:rPr>
          <w:rFonts w:eastAsia="Calibri"/>
          <w:spacing w:val="0"/>
          <w:lang w:eastAsia="es-ES_tradnl"/>
        </w:rPr>
      </w:pPr>
      <w:r w:rsidRPr="00954407">
        <w:rPr>
          <w:noProof/>
          <w:lang w:eastAsia="es-DO"/>
        </w:rPr>
        <w:drawing>
          <wp:inline distT="0" distB="0" distL="0" distR="0" wp14:anchorId="2CBA3640" wp14:editId="7EBFFA8E">
            <wp:extent cx="4288420" cy="2517493"/>
            <wp:effectExtent l="0" t="0" r="17145" b="16510"/>
            <wp:docPr id="1877695301" name="Gráfico 1877695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75A1471" w14:textId="77777777" w:rsidR="00BC27E9" w:rsidRPr="00954407" w:rsidRDefault="00BC27E9" w:rsidP="00BC27E9">
      <w:pPr>
        <w:pStyle w:val="EstilodePrrafoNormal1RdeC"/>
        <w:rPr>
          <w:rFonts w:eastAsia="Arial"/>
          <w:i/>
          <w:iCs/>
          <w:sz w:val="18"/>
          <w:szCs w:val="18"/>
        </w:rPr>
      </w:pPr>
      <w:r w:rsidRPr="00414EA3">
        <w:rPr>
          <w:b/>
          <w:bCs/>
          <w:i/>
          <w:iCs/>
          <w:sz w:val="18"/>
          <w:szCs w:val="18"/>
        </w:rPr>
        <w:t>Nota:</w:t>
      </w:r>
      <w:r w:rsidRPr="00954407">
        <w:rPr>
          <w:i/>
          <w:iCs/>
          <w:sz w:val="18"/>
          <w:szCs w:val="18"/>
        </w:rPr>
        <w:t xml:space="preserve"> </w:t>
      </w:r>
      <w:r w:rsidRPr="00954407">
        <w:rPr>
          <w:rFonts w:eastAsia="Calibri"/>
          <w:i/>
          <w:iCs/>
          <w:sz w:val="18"/>
          <w:szCs w:val="18"/>
        </w:rPr>
        <w:t>Los datos suministrados en este informe son de fuente oficial del Sistema SISCOMPRAS.</w:t>
      </w:r>
    </w:p>
    <w:p w14:paraId="05CF28B1" w14:textId="77777777" w:rsidR="00BC27E9" w:rsidRPr="00954407" w:rsidRDefault="00BC27E9" w:rsidP="00BC27E9">
      <w:pPr>
        <w:pStyle w:val="EstilodePrrafoNormal1RdeC"/>
      </w:pPr>
    </w:p>
    <w:p w14:paraId="7758C884" w14:textId="77777777" w:rsidR="00BC27E9" w:rsidRPr="00954407" w:rsidRDefault="00BC27E9" w:rsidP="00BC27E9">
      <w:pPr>
        <w:pStyle w:val="EstilodePrrafoNormal1RdeC"/>
      </w:pPr>
    </w:p>
    <w:p w14:paraId="24117554" w14:textId="728C1B19" w:rsidR="00BC27E9" w:rsidRPr="00CF3199" w:rsidRDefault="00BC27E9" w:rsidP="00CF3199">
      <w:pPr>
        <w:pStyle w:val="Heading2"/>
        <w:rPr>
          <w:rFonts w:ascii="Times New Roman" w:hAnsi="Times New Roman" w:cs="Times New Roman"/>
          <w:b/>
          <w:bCs/>
          <w:color w:val="767171"/>
          <w:sz w:val="24"/>
          <w:szCs w:val="24"/>
        </w:rPr>
      </w:pPr>
      <w:bookmarkStart w:id="85" w:name="_Toc217402130"/>
      <w:r w:rsidRPr="00CF3199">
        <w:rPr>
          <w:rFonts w:ascii="Times New Roman" w:hAnsi="Times New Roman" w:cs="Times New Roman"/>
          <w:b/>
          <w:bCs/>
          <w:color w:val="767171"/>
          <w:sz w:val="24"/>
          <w:szCs w:val="24"/>
        </w:rPr>
        <w:lastRenderedPageBreak/>
        <w:t>Sistema de Monitoreo de la Evaluación del Desempeño Institucional (EDI)</w:t>
      </w:r>
      <w:bookmarkEnd w:id="85"/>
    </w:p>
    <w:p w14:paraId="4CCED747" w14:textId="77777777" w:rsidR="00BC27E9" w:rsidRPr="00954407" w:rsidRDefault="00BC27E9" w:rsidP="00BC27E9">
      <w:pPr>
        <w:pStyle w:val="EstilodePrrafoNormal1RdeC"/>
        <w:rPr>
          <w:sz w:val="28"/>
          <w:szCs w:val="28"/>
          <w:lang w:eastAsia="es-ES_tradnl"/>
        </w:rPr>
      </w:pPr>
    </w:p>
    <w:p w14:paraId="3625AEBD" w14:textId="77777777" w:rsidR="00BC27E9" w:rsidRPr="00954407" w:rsidRDefault="00BC27E9" w:rsidP="00BC27E9">
      <w:pPr>
        <w:pStyle w:val="EstilodePrrafoNormal1RdeC"/>
        <w:rPr>
          <w:color w:val="767171"/>
        </w:rPr>
      </w:pPr>
      <w:r w:rsidRPr="00954407">
        <w:rPr>
          <w:color w:val="767171"/>
        </w:rPr>
        <w:t xml:space="preserve"> La Evaluación del Desempeño Institucional es un proceso sistemático, sustentado en instrumentos técnicos y confiables, que muestra los esfuerzos de las organizaciones por lograr los resultados esperados en forma efectiva, de frente a sus ciudadanos clientes y a la población en general, y abarca todos los aspectos que tienden a la mejora continua del desempeño.</w:t>
      </w:r>
    </w:p>
    <w:p w14:paraId="5EAD4A5F" w14:textId="77777777" w:rsidR="00BC27E9" w:rsidRPr="00954407" w:rsidRDefault="00BC27E9" w:rsidP="00BC27E9">
      <w:pPr>
        <w:pStyle w:val="EstilodePrrafoNormal1RdeC"/>
        <w:rPr>
          <w:color w:val="767171"/>
        </w:rPr>
      </w:pPr>
    </w:p>
    <w:p w14:paraId="390B03D1" w14:textId="77777777" w:rsidR="00BC27E9" w:rsidRPr="00954407" w:rsidRDefault="00BC27E9" w:rsidP="00BC27E9">
      <w:pPr>
        <w:pStyle w:val="EstilodePrrafoNormal1RdeC"/>
        <w:rPr>
          <w:color w:val="767171"/>
        </w:rPr>
      </w:pPr>
      <w:r w:rsidRPr="00954407">
        <w:rPr>
          <w:color w:val="767171"/>
        </w:rPr>
        <w:t>Han sido seleccionadas 45 instituciones, las cuales son las que tienen más acercamiento con el desarrollo y producción en nuestra sociedad, entre ellas se encuentra nuestro Ministerio de Obras Públicas y Comunicaciones.</w:t>
      </w:r>
    </w:p>
    <w:p w14:paraId="769E3294" w14:textId="77777777" w:rsidR="00BC27E9" w:rsidRPr="00954407" w:rsidRDefault="00BC27E9" w:rsidP="00BC27E9">
      <w:pPr>
        <w:pStyle w:val="EstilodePrrafoNormal1RdeC"/>
        <w:rPr>
          <w:rFonts w:eastAsia="Calibri"/>
          <w:spacing w:val="0"/>
          <w:lang w:eastAsia="es-ES_tradnl"/>
        </w:rPr>
      </w:pPr>
    </w:p>
    <w:p w14:paraId="68345487" w14:textId="77777777" w:rsidR="00BC27E9" w:rsidRPr="00414EA3" w:rsidRDefault="00BC27E9" w:rsidP="00414EA3">
      <w:pPr>
        <w:pStyle w:val="EstilodePrrafoNormal1RdeC"/>
        <w:rPr>
          <w:rFonts w:eastAsia="Calibri"/>
          <w:b/>
          <w:bCs/>
          <w:spacing w:val="0"/>
          <w:lang w:eastAsia="es-ES_tradnl"/>
        </w:rPr>
      </w:pPr>
      <w:r w:rsidRPr="00414EA3">
        <w:rPr>
          <w:rFonts w:eastAsia="Calibri"/>
          <w:b/>
          <w:bCs/>
          <w:spacing w:val="0"/>
          <w:lang w:eastAsia="es-ES_tradnl"/>
        </w:rPr>
        <w:t>Organismos Rectores</w:t>
      </w:r>
    </w:p>
    <w:p w14:paraId="3A9BBD5F" w14:textId="77777777" w:rsidR="00BC27E9" w:rsidRPr="00954407" w:rsidRDefault="00BC27E9" w:rsidP="00414EA3">
      <w:pPr>
        <w:pStyle w:val="EstilodePrrafoNormal1RdeC"/>
        <w:numPr>
          <w:ilvl w:val="0"/>
          <w:numId w:val="193"/>
        </w:numPr>
        <w:rPr>
          <w:rFonts w:eastAsia="Calibri"/>
          <w:spacing w:val="0"/>
          <w:lang w:eastAsia="es-ES_tradnl"/>
        </w:rPr>
      </w:pPr>
      <w:r w:rsidRPr="00414EA3">
        <w:rPr>
          <w:rFonts w:eastAsia="Calibri"/>
          <w:b/>
          <w:bCs/>
          <w:spacing w:val="0"/>
          <w:lang w:eastAsia="es-ES_tradnl"/>
        </w:rPr>
        <w:t>Ministerio de Administración Pública</w:t>
      </w:r>
      <w:r w:rsidRPr="00954407">
        <w:rPr>
          <w:rFonts w:eastAsia="Calibri"/>
          <w:spacing w:val="0"/>
          <w:lang w:eastAsia="es-ES_tradnl"/>
        </w:rPr>
        <w:t xml:space="preserve"> (Coordinador General)</w:t>
      </w:r>
    </w:p>
    <w:p w14:paraId="03BCC8CC" w14:textId="77777777" w:rsidR="00BC27E9" w:rsidRPr="00954407" w:rsidRDefault="00BC27E9" w:rsidP="00414EA3">
      <w:pPr>
        <w:pStyle w:val="EstilodePrrafoNormal1RdeC"/>
        <w:numPr>
          <w:ilvl w:val="0"/>
          <w:numId w:val="193"/>
        </w:numPr>
        <w:rPr>
          <w:rFonts w:eastAsia="Calibri"/>
          <w:spacing w:val="0"/>
          <w:lang w:eastAsia="es-ES_tradnl"/>
        </w:rPr>
      </w:pPr>
      <w:r w:rsidRPr="00414EA3">
        <w:rPr>
          <w:rFonts w:eastAsia="Calibri"/>
          <w:b/>
          <w:bCs/>
          <w:spacing w:val="0"/>
          <w:lang w:eastAsia="es-ES_tradnl"/>
        </w:rPr>
        <w:t>Ministerio de Economía, Planificación y Desarrollo</w:t>
      </w:r>
      <w:r w:rsidRPr="00954407">
        <w:rPr>
          <w:rFonts w:eastAsia="Calibri"/>
          <w:spacing w:val="0"/>
          <w:lang w:eastAsia="es-ES_tradnl"/>
        </w:rPr>
        <w:t xml:space="preserve"> (Coordinador de indicadores de Producción y sectoriales)</w:t>
      </w:r>
    </w:p>
    <w:p w14:paraId="7C6FE112" w14:textId="77777777" w:rsidR="00BC27E9" w:rsidRPr="00954407" w:rsidRDefault="00BC27E9" w:rsidP="00414EA3">
      <w:pPr>
        <w:pStyle w:val="EstilodePrrafoNormal1RdeC"/>
        <w:numPr>
          <w:ilvl w:val="0"/>
          <w:numId w:val="193"/>
        </w:numPr>
        <w:rPr>
          <w:rFonts w:eastAsia="Calibri"/>
          <w:spacing w:val="0"/>
          <w:lang w:eastAsia="es-ES_tradnl"/>
        </w:rPr>
      </w:pPr>
      <w:r w:rsidRPr="00414EA3">
        <w:rPr>
          <w:rFonts w:eastAsia="Calibri"/>
          <w:b/>
          <w:bCs/>
          <w:spacing w:val="0"/>
          <w:lang w:eastAsia="es-ES_tradnl"/>
        </w:rPr>
        <w:t>Ministerio de la Presidencia</w:t>
      </w:r>
      <w:r w:rsidRPr="00954407">
        <w:rPr>
          <w:rFonts w:eastAsia="Calibri"/>
          <w:spacing w:val="0"/>
          <w:lang w:eastAsia="es-ES_tradnl"/>
        </w:rPr>
        <w:t xml:space="preserve"> (Apoyo del proceso de monitoreo de los entes y órganos del sector público)</w:t>
      </w:r>
    </w:p>
    <w:p w14:paraId="6B1A5AC2" w14:textId="77777777" w:rsidR="00BC27E9" w:rsidRPr="00954407" w:rsidRDefault="00BC27E9" w:rsidP="00BC27E9">
      <w:pPr>
        <w:pStyle w:val="EstilodePrrafoNormal1RdeC"/>
        <w:rPr>
          <w:spacing w:val="0"/>
          <w:lang w:eastAsia="es-ES_tradnl"/>
        </w:rPr>
      </w:pPr>
    </w:p>
    <w:p w14:paraId="6D18C1FB" w14:textId="77777777" w:rsidR="00BC27E9" w:rsidRPr="00954407" w:rsidRDefault="00BC27E9" w:rsidP="00BC27E9">
      <w:pPr>
        <w:pStyle w:val="EstilodePrrafoNormal1RdeC"/>
        <w:rPr>
          <w:rFonts w:eastAsia="Calibri"/>
          <w:spacing w:val="0"/>
          <w:lang w:eastAsia="es-ES_tradnl"/>
        </w:rPr>
      </w:pPr>
      <w:r w:rsidRPr="00954407">
        <w:rPr>
          <w:rFonts w:eastAsia="Calibri"/>
          <w:spacing w:val="0"/>
          <w:lang w:eastAsia="es-ES_tradnl"/>
        </w:rPr>
        <w:t>En lo que corresponde al periodo enero-diciembre de 2025 la calificación para el MOPC es de 72.13, como se muestra en la siguiente imagen:</w:t>
      </w:r>
    </w:p>
    <w:p w14:paraId="69D69D9C" w14:textId="77777777" w:rsidR="00BC27E9" w:rsidRPr="00954407" w:rsidRDefault="00BC27E9" w:rsidP="00BC27E9">
      <w:pPr>
        <w:pStyle w:val="EstilodePrrafoNormal1RdeC"/>
        <w:rPr>
          <w:color w:val="767171"/>
        </w:rPr>
      </w:pPr>
    </w:p>
    <w:p w14:paraId="69696B5F" w14:textId="77777777" w:rsidR="00BC27E9" w:rsidRPr="00954407" w:rsidRDefault="00BC27E9" w:rsidP="00BC27E9">
      <w:pPr>
        <w:pStyle w:val="EstilodePrrafoNormal1RdeC"/>
      </w:pPr>
      <w:r w:rsidRPr="00954407">
        <w:rPr>
          <w:noProof/>
          <w:lang w:eastAsia="es-DO"/>
        </w:rPr>
        <w:drawing>
          <wp:inline distT="0" distB="0" distL="0" distR="0" wp14:anchorId="25FC1A77" wp14:editId="53900AE4">
            <wp:extent cx="5116195" cy="935542"/>
            <wp:effectExtent l="0" t="0" r="8255" b="0"/>
            <wp:docPr id="1877695302" name="Imagen 187769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t="28840" b="44748"/>
                    <a:stretch/>
                  </pic:blipFill>
                  <pic:spPr bwMode="auto">
                    <a:xfrm>
                      <a:off x="0" y="0"/>
                      <a:ext cx="5173442" cy="946010"/>
                    </a:xfrm>
                    <a:prstGeom prst="rect">
                      <a:avLst/>
                    </a:prstGeom>
                    <a:noFill/>
                    <a:ln>
                      <a:noFill/>
                    </a:ln>
                    <a:extLst>
                      <a:ext uri="{53640926-AAD7-44D8-BBD7-CCE9431645EC}">
                        <a14:shadowObscured xmlns:a14="http://schemas.microsoft.com/office/drawing/2010/main"/>
                      </a:ext>
                    </a:extLst>
                  </pic:spPr>
                </pic:pic>
              </a:graphicData>
            </a:graphic>
          </wp:inline>
        </w:drawing>
      </w:r>
    </w:p>
    <w:p w14:paraId="0C490577" w14:textId="77777777" w:rsidR="00BC27E9" w:rsidRDefault="00BC27E9" w:rsidP="00BC27E9">
      <w:pPr>
        <w:pStyle w:val="EstilodePrrafoNormal1RdeC"/>
      </w:pPr>
    </w:p>
    <w:p w14:paraId="4BAB2FEF" w14:textId="77777777" w:rsidR="00414EA3" w:rsidRDefault="00414EA3" w:rsidP="00BC27E9">
      <w:pPr>
        <w:pStyle w:val="EstilodePrrafoNormal1RdeC"/>
      </w:pPr>
    </w:p>
    <w:p w14:paraId="1469AF0F" w14:textId="77777777" w:rsidR="00414EA3" w:rsidRPr="00954407" w:rsidRDefault="00414EA3" w:rsidP="00BC27E9">
      <w:pPr>
        <w:pStyle w:val="EstilodePrrafoNormal1RdeC"/>
      </w:pPr>
    </w:p>
    <w:p w14:paraId="6863538F" w14:textId="77777777" w:rsidR="00BC27E9" w:rsidRPr="00414EA3" w:rsidRDefault="00BC27E9" w:rsidP="00414EA3">
      <w:pPr>
        <w:pStyle w:val="EstilodePrrafoNormal1RdeC"/>
        <w:jc w:val="center"/>
        <w:rPr>
          <w:b/>
          <w:bCs/>
          <w:color w:val="767171"/>
        </w:rPr>
      </w:pPr>
      <w:r w:rsidRPr="00414EA3">
        <w:rPr>
          <w:b/>
          <w:bCs/>
          <w:color w:val="767171"/>
        </w:rPr>
        <w:lastRenderedPageBreak/>
        <w:t>Gráfico del crecimiento de la puntuación del Índice de Evaluación Institucional en los 2 años que formamos parte de esta medición</w:t>
      </w:r>
    </w:p>
    <w:p w14:paraId="45899108" w14:textId="77777777" w:rsidR="00BC27E9" w:rsidRPr="00954407" w:rsidRDefault="00BC27E9" w:rsidP="00414EA3">
      <w:pPr>
        <w:pStyle w:val="EstilodePrrafoNormal1RdeC"/>
        <w:jc w:val="center"/>
        <w:rPr>
          <w:color w:val="767171"/>
        </w:rPr>
      </w:pPr>
      <w:r w:rsidRPr="00954407">
        <w:rPr>
          <w:noProof/>
          <w:lang w:val="es-DO" w:eastAsia="es-DO" w:bidi="ar-SA"/>
        </w:rPr>
        <w:drawing>
          <wp:inline distT="0" distB="0" distL="0" distR="0" wp14:anchorId="57FEA77D" wp14:editId="5F6C5E5E">
            <wp:extent cx="4572000" cy="2159000"/>
            <wp:effectExtent l="0" t="0" r="0" b="12700"/>
            <wp:docPr id="1877695303" name="Gráfico 1877695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98DB1F4" w14:textId="77777777" w:rsidR="00BC27E9" w:rsidRPr="00954407" w:rsidRDefault="00BC27E9" w:rsidP="00BC27E9">
      <w:pPr>
        <w:pStyle w:val="EstilodePrrafoNormal1RdeC"/>
        <w:rPr>
          <w:rFonts w:eastAsia="Calibri"/>
          <w:spacing w:val="0"/>
          <w:lang w:eastAsia="es-ES_tradnl"/>
        </w:rPr>
      </w:pPr>
    </w:p>
    <w:p w14:paraId="3C236236" w14:textId="218DFF51" w:rsidR="00BC27E9" w:rsidRPr="00954407" w:rsidRDefault="00BC27E9" w:rsidP="00BC27E9">
      <w:pPr>
        <w:pStyle w:val="EstilodePrrafoNormal1RdeC"/>
      </w:pPr>
      <w:r w:rsidRPr="00954407">
        <w:t>Actividades realizadas por el equipo de la D.A.D correspondiente a enero-diciembre</w:t>
      </w:r>
      <w:r w:rsidR="00414EA3">
        <w:t xml:space="preserve"> de </w:t>
      </w:r>
      <w:r w:rsidRPr="00954407">
        <w:t>2025:</w:t>
      </w:r>
    </w:p>
    <w:p w14:paraId="347B7F3E" w14:textId="77777777" w:rsidR="00BC27E9" w:rsidRPr="00954407" w:rsidRDefault="00BC27E9" w:rsidP="00BC27E9">
      <w:pPr>
        <w:pStyle w:val="EstilodePrrafoNormal1RdeC"/>
      </w:pPr>
    </w:p>
    <w:p w14:paraId="00CD4E43" w14:textId="77777777" w:rsidR="00BC27E9" w:rsidRPr="00954407" w:rsidRDefault="00BC27E9" w:rsidP="00414EA3">
      <w:pPr>
        <w:pStyle w:val="EstilodePrrafoNormal1RdeC"/>
        <w:numPr>
          <w:ilvl w:val="0"/>
          <w:numId w:val="194"/>
        </w:numPr>
        <w:spacing w:after="240"/>
      </w:pPr>
      <w:r w:rsidRPr="00954407">
        <w:t xml:space="preserve">Monitoreo y seguimiento continuo a indicadores de gestión en el SMMGP. Monitoreo y seguimiento continuo a indicadores de gestión en el sistema del EDI. </w:t>
      </w:r>
    </w:p>
    <w:p w14:paraId="5F40008F" w14:textId="77777777" w:rsidR="00BC27E9" w:rsidRPr="00954407" w:rsidRDefault="00BC27E9" w:rsidP="00414EA3">
      <w:pPr>
        <w:pStyle w:val="EstilodePrrafoNormal1RdeC"/>
        <w:numPr>
          <w:ilvl w:val="0"/>
          <w:numId w:val="194"/>
        </w:numPr>
        <w:spacing w:after="240"/>
      </w:pPr>
      <w:r w:rsidRPr="00954407">
        <w:t xml:space="preserve">Actualización del sub-indicador de Transparencia en las Informaciones de Servicios y Funcionarios 2025. </w:t>
      </w:r>
    </w:p>
    <w:p w14:paraId="35624BD6" w14:textId="77777777" w:rsidR="00BC27E9" w:rsidRPr="00954407" w:rsidRDefault="00BC27E9" w:rsidP="00414EA3">
      <w:pPr>
        <w:pStyle w:val="EstilodePrrafoNormal1RdeC"/>
        <w:numPr>
          <w:ilvl w:val="0"/>
          <w:numId w:val="194"/>
        </w:numPr>
        <w:spacing w:after="240"/>
      </w:pPr>
      <w:r w:rsidRPr="00954407">
        <w:t>Colaboración con la Dirección de TIC en procesos de recertificación de las normativas A3 y E1, así como de la auditoria del indicador Iticge.</w:t>
      </w:r>
    </w:p>
    <w:p w14:paraId="1704268A" w14:textId="77777777" w:rsidR="00BC27E9" w:rsidRPr="00954407" w:rsidRDefault="00BC27E9" w:rsidP="00414EA3">
      <w:pPr>
        <w:pStyle w:val="EstilodePrrafoNormal1RdeC"/>
        <w:numPr>
          <w:ilvl w:val="0"/>
          <w:numId w:val="194"/>
        </w:numPr>
        <w:spacing w:after="240"/>
      </w:pPr>
      <w:r w:rsidRPr="00954407">
        <w:t>Colaboración con la Coordinación de Servicios en procesos de actualización del Catálogo de Servicios.</w:t>
      </w:r>
    </w:p>
    <w:p w14:paraId="15472ECA" w14:textId="77777777" w:rsidR="00BC27E9" w:rsidRPr="00954407" w:rsidRDefault="00BC27E9" w:rsidP="00414EA3">
      <w:pPr>
        <w:pStyle w:val="EstilodePrrafoNormal1RdeC"/>
        <w:numPr>
          <w:ilvl w:val="0"/>
          <w:numId w:val="194"/>
        </w:numPr>
        <w:spacing w:after="240"/>
      </w:pPr>
      <w:r w:rsidRPr="00954407">
        <w:t xml:space="preserve">Orientar y supervisar la implementación de las Políticas Transversales en la ejecución de la Evaluación de desempeño Institucional. </w:t>
      </w:r>
    </w:p>
    <w:p w14:paraId="66DAA6C4" w14:textId="77777777" w:rsidR="00BC27E9" w:rsidRPr="00954407" w:rsidRDefault="00BC27E9" w:rsidP="00414EA3">
      <w:pPr>
        <w:pStyle w:val="EstilodePrrafoNormal1RdeC"/>
        <w:numPr>
          <w:ilvl w:val="0"/>
          <w:numId w:val="194"/>
        </w:numPr>
        <w:spacing w:after="240"/>
      </w:pPr>
      <w:r w:rsidRPr="00954407">
        <w:lastRenderedPageBreak/>
        <w:t xml:space="preserve">Realizar los informes trimestrales, finales sobre los avances de los indicadores que inciden en la Evaluación de desempeño Institucional. </w:t>
      </w:r>
    </w:p>
    <w:p w14:paraId="6D3C8D8F" w14:textId="77777777" w:rsidR="00BC27E9" w:rsidRPr="00954407" w:rsidRDefault="00BC27E9" w:rsidP="00414EA3">
      <w:pPr>
        <w:pStyle w:val="EstilodePrrafoNormal1RdeC"/>
        <w:spacing w:after="240"/>
        <w:rPr>
          <w:rFonts w:eastAsia="Calibri"/>
          <w:spacing w:val="0"/>
          <w:lang w:eastAsia="es-ES_tradnl"/>
        </w:rPr>
      </w:pPr>
    </w:p>
    <w:p w14:paraId="32DF9854" w14:textId="77777777" w:rsidR="00BC27E9" w:rsidRPr="004C2ADB" w:rsidRDefault="00BC27E9" w:rsidP="004C2ADB">
      <w:pPr>
        <w:pStyle w:val="Heading3"/>
        <w:rPr>
          <w:b/>
          <w:bCs/>
          <w:color w:val="808080" w:themeColor="background1" w:themeShade="80"/>
          <w:sz w:val="24"/>
          <w:szCs w:val="24"/>
        </w:rPr>
      </w:pPr>
      <w:bookmarkStart w:id="86" w:name="_Toc1381792"/>
      <w:bookmarkStart w:id="87" w:name="_Toc1418541"/>
      <w:bookmarkStart w:id="88" w:name="_Toc59361401"/>
      <w:r w:rsidRPr="004C2ADB">
        <w:rPr>
          <w:b/>
          <w:bCs/>
          <w:color w:val="808080" w:themeColor="background1" w:themeShade="80"/>
          <w:sz w:val="24"/>
          <w:szCs w:val="24"/>
        </w:rPr>
        <w:t>Objetivos Globales del Gobierno para el Cuatrienio 2025 – 2028, durante el año 2025</w:t>
      </w:r>
      <w:bookmarkEnd w:id="86"/>
      <w:bookmarkEnd w:id="87"/>
      <w:bookmarkEnd w:id="88"/>
    </w:p>
    <w:p w14:paraId="24181B41" w14:textId="77777777" w:rsidR="00BC27E9" w:rsidRPr="00954407" w:rsidRDefault="00BC27E9" w:rsidP="00BC27E9">
      <w:pPr>
        <w:pStyle w:val="EstilodePrrafoNormal1RdeC"/>
      </w:pPr>
    </w:p>
    <w:p w14:paraId="4BDA4D20" w14:textId="77777777" w:rsidR="00BC27E9" w:rsidRDefault="00BC27E9" w:rsidP="00BC27E9">
      <w:pPr>
        <w:pStyle w:val="EstilodePrrafoNormal1RdeC"/>
        <w:rPr>
          <w:color w:val="767171"/>
        </w:rPr>
      </w:pPr>
      <w:r w:rsidRPr="00954407">
        <w:rPr>
          <w:color w:val="767171"/>
        </w:rPr>
        <w:t xml:space="preserve">El Ministerio de Obras Públicas y Comunicaciones (MOPC) durante el periodo enero-diciembre del año 2025, continuó la ejecución de los planes y programas en función de su compromiso con el desarrollo del país, acogiendo el cumplimiento de los objetivos globales del Gobierno Constitucional para el cuatrienio 2025-2028, cuyos elementos principales  establecen el Desarrollo Económico e Industrial, el Desarrollo Social y Humano, la Planificación y Gestión y el Fortalecimiento del Estado y la Seguridad para consolidar la transformación del país bajo un modelo de desarrollo con bienestar, justicia social y sostenibilidad.  </w:t>
      </w:r>
    </w:p>
    <w:p w14:paraId="6B6E4ACD" w14:textId="77777777" w:rsidR="004C2ADB" w:rsidRPr="00954407" w:rsidRDefault="004C2ADB" w:rsidP="00BC27E9">
      <w:pPr>
        <w:pStyle w:val="EstilodePrrafoNormal1RdeC"/>
        <w:rPr>
          <w:color w:val="767171"/>
        </w:rPr>
      </w:pPr>
    </w:p>
    <w:p w14:paraId="10CDAD87" w14:textId="77777777" w:rsidR="00BC27E9" w:rsidRDefault="00BC27E9" w:rsidP="00BC27E9">
      <w:pPr>
        <w:pStyle w:val="EstilodePrrafoNormal1RdeC"/>
        <w:rPr>
          <w:color w:val="767171"/>
        </w:rPr>
      </w:pPr>
      <w:r w:rsidRPr="00954407">
        <w:rPr>
          <w:color w:val="767171"/>
        </w:rPr>
        <w:t xml:space="preserve">La participación de la institución en el logro de los objetivos globales, se evidencia en las ejecutorias de los planes operativos anuales a nivel nacional, al proporcionar a la ciudadanía las obras y servicios para mejorar la infraestructura vial urbana e interurbana, con el objetivo de desarrollar una red vial adecuada para el apoyo de la producción y distribución agroalimentaria del país, y la mejora de la accesibilidad, movilidad, seguridad y confort para los usuarios, y ofrecer los servicios de asistencias viales en los principales corredores urbanos e interurbanos del país, contribuyendo con los objetivos de la Estrategia Nacional de Desarrollo (END) 2030, los Objetivos de Desarrollo Sostenible (ODS), el Marco de Sendai para la Reducción de Riesgos de Desastres 2015-2030 y el Plan Nacional Plurianual de Inversión Publica 2025-2028, destacándose durante </w:t>
      </w:r>
      <w:r w:rsidRPr="00954407">
        <w:rPr>
          <w:color w:val="767171"/>
        </w:rPr>
        <w:lastRenderedPageBreak/>
        <w:t>el año 2025, los programas, proyectos y políticas públicas ejecutadas por el MOPC, siguientes:</w:t>
      </w:r>
    </w:p>
    <w:p w14:paraId="6AE9CCF7" w14:textId="77777777" w:rsidR="004C2ADB" w:rsidRPr="00954407" w:rsidRDefault="004C2ADB" w:rsidP="00BC27E9">
      <w:pPr>
        <w:pStyle w:val="EstilodePrrafoNormal1RdeC"/>
        <w:rPr>
          <w:color w:val="767171"/>
        </w:rPr>
      </w:pPr>
    </w:p>
    <w:p w14:paraId="3D86D2E9" w14:textId="77777777" w:rsidR="00BC27E9" w:rsidRPr="00954407" w:rsidRDefault="00BC27E9" w:rsidP="004F4463">
      <w:pPr>
        <w:pStyle w:val="EstilodePrrafoNormal1RdeC"/>
        <w:numPr>
          <w:ilvl w:val="0"/>
          <w:numId w:val="195"/>
        </w:numPr>
        <w:spacing w:after="240"/>
      </w:pPr>
      <w:r w:rsidRPr="00954407">
        <w:t>Continuaron durante el año 2025, las ejecutorias de los Programas Nacionales de Asfaltado de Carreteras, Calles y Avenidas, denominados PROPACC IV y V, con el objetivo de mejorar la infraestructura vial urbana y rural con acciones de rehabilitación de la red vial, construcción de aceras y contenes, actividades de bacheo y asfaltado de carreteras, entre otras acciones;  facilitando la conectividad entre comunidades y regiones y promoviendo el desarrollo económico y social del país, lo que ha impactado significativamente en la población dominicana.</w:t>
      </w:r>
    </w:p>
    <w:p w14:paraId="7855F754" w14:textId="77777777" w:rsidR="00BC27E9" w:rsidRPr="00954407" w:rsidRDefault="00BC27E9" w:rsidP="004F4463">
      <w:pPr>
        <w:pStyle w:val="EstilodePrrafoNormal1RdeC"/>
        <w:numPr>
          <w:ilvl w:val="0"/>
          <w:numId w:val="195"/>
        </w:numPr>
        <w:spacing w:after="240"/>
      </w:pPr>
      <w:r w:rsidRPr="00954407">
        <w:t>Construir, reconstruir y conservar la red de carreteras troncales, secundarias y locales a nivel nacional, para garantizar la comunicación terrestre segura y efectiva en el territorio nacional, impidiendo el deterioro significativo, al prolongar la vida útil de las mismas, reduciendo costos a largo plazo y mejorando la experiencia del usuario, lo que promueve la sostenibilidad con las opciones de mejoras, ya que el mantenimiento preventivo es más económico que las grandes inversiones futuras.</w:t>
      </w:r>
    </w:p>
    <w:p w14:paraId="14FE44AF" w14:textId="77777777" w:rsidR="00BC27E9" w:rsidRPr="00954407" w:rsidRDefault="00BC27E9" w:rsidP="004F4463">
      <w:pPr>
        <w:pStyle w:val="EstilodePrrafoNormal1RdeC"/>
        <w:numPr>
          <w:ilvl w:val="0"/>
          <w:numId w:val="195"/>
        </w:numPr>
        <w:spacing w:after="240"/>
      </w:pPr>
      <w:r w:rsidRPr="00954407">
        <w:t xml:space="preserve">Construcción de aproximadamente 58.46 kilómetros de Avenidas de Circunvalación en los principales polos atractores del país, siendo obras trascendentales que se ejecutan en el país, destacándose: a) Circunvalación Baní (inaugurada), b) Circunvalación  Nuevo Camino (Los Alcarrizos), c) Circunvalación Navarrete (Villa Bisonó), d) Circunvalación Moca (Cruce de Chero), e) Circunvalación San Francisco de Macorís; f) Circunvalación La Otra Banda, Municipio Higüey, entre otras; las cuales proporcionan mejora en el desplazamiento y la movilidad al desviar el tráfico </w:t>
      </w:r>
      <w:r w:rsidRPr="00954407">
        <w:lastRenderedPageBreak/>
        <w:t>pesado y de paso fuera de la ciudad que circundan, reduciendo la congestión y los tiempos de viaje, mejorando la seguridad vial e impulsando el desarrollo económico local.</w:t>
      </w:r>
    </w:p>
    <w:p w14:paraId="799DA817" w14:textId="77777777" w:rsidR="00BC27E9" w:rsidRPr="00954407" w:rsidRDefault="00BC27E9" w:rsidP="004F4463">
      <w:pPr>
        <w:pStyle w:val="EstilodePrrafoNormal1RdeC"/>
        <w:numPr>
          <w:ilvl w:val="0"/>
          <w:numId w:val="195"/>
        </w:numPr>
        <w:spacing w:after="240"/>
      </w:pPr>
      <w:r w:rsidRPr="00954407">
        <w:t>Construir, rehabilitar y conservar la red vial adyacente a los principales polos turísticos en todo el territorio nacional para proveer una accesibilidad segura y apropiada a las infraestructuras turísticas, apoyando el desarrollo de los polos turísticos ubicados en Punta Cana, La Romana, Miches, Samaná, Puerto Plata, Pedernales, entre otros polos de la importante industria turística del país, lo cual incrementa el número de empleos y la calidad de vida de los beneficiados.</w:t>
      </w:r>
    </w:p>
    <w:p w14:paraId="3046753D" w14:textId="77777777" w:rsidR="00BC27E9" w:rsidRPr="00954407" w:rsidRDefault="00BC27E9" w:rsidP="004F4463">
      <w:pPr>
        <w:pStyle w:val="EstilodePrrafoNormal1RdeC"/>
        <w:numPr>
          <w:ilvl w:val="0"/>
          <w:numId w:val="195"/>
        </w:numPr>
        <w:spacing w:after="240"/>
      </w:pPr>
      <w:r w:rsidRPr="00954407">
        <w:t xml:space="preserve">Ampliación del Programa Comunitario Acción Vial de Caminos Vecinales (Peón Caminero), fundamentado en el mantenimiento de los caminos, integrando la comunidad residente en el área de influencia del camino a participar en los trabajos de mantenimiento, generando empleos e impulsando el desarrollo social y económico de las zonas rurales, implementado en diez (10) provincial del país, con el objetivo de promover una infraestructura adecuada para el apoyo de la producción y distribución agroalimentaria del país.  </w:t>
      </w:r>
    </w:p>
    <w:p w14:paraId="1A0C7ACE" w14:textId="77777777" w:rsidR="00BC27E9" w:rsidRPr="00954407" w:rsidRDefault="00BC27E9" w:rsidP="004F4463">
      <w:pPr>
        <w:pStyle w:val="EstilodePrrafoNormal1RdeC"/>
        <w:numPr>
          <w:ilvl w:val="0"/>
          <w:numId w:val="195"/>
        </w:numPr>
        <w:spacing w:after="240"/>
      </w:pPr>
      <w:r w:rsidRPr="00954407">
        <w:t xml:space="preserve">Continuidad de la ejecución del Programa de Reconstrucción y Mantenimiento de Puentes a nivel nacional. </w:t>
      </w:r>
    </w:p>
    <w:p w14:paraId="6BCFFBE9" w14:textId="77777777" w:rsidR="00BC27E9" w:rsidRPr="00954407" w:rsidRDefault="00BC27E9" w:rsidP="004F4463">
      <w:pPr>
        <w:pStyle w:val="EstilodePrrafoNormal1RdeC"/>
        <w:numPr>
          <w:ilvl w:val="0"/>
          <w:numId w:val="195"/>
        </w:numPr>
        <w:spacing w:after="240"/>
      </w:pPr>
      <w:r w:rsidRPr="00954407">
        <w:t xml:space="preserve">Continuación del Programa de Señalización Vial a nivel nacional, con el objetivo de proveer los elementos necesarios para la señalización horizontal y vertical adecuada y los dispositivos de control del tránsito necesarios en el sistema de infraestructura vial del país, para la operación segura y eficiente de los usuarios que transitan por las vías. </w:t>
      </w:r>
    </w:p>
    <w:p w14:paraId="25001A00" w14:textId="77777777" w:rsidR="00BC27E9" w:rsidRPr="00954407" w:rsidRDefault="00BC27E9" w:rsidP="004F4463">
      <w:pPr>
        <w:pStyle w:val="EstilodePrrafoNormal1RdeC"/>
        <w:numPr>
          <w:ilvl w:val="0"/>
          <w:numId w:val="195"/>
        </w:numPr>
        <w:spacing w:after="240"/>
      </w:pPr>
      <w:r w:rsidRPr="00954407">
        <w:lastRenderedPageBreak/>
        <w:t xml:space="preserve">Implementación en el MOPC de políticas públicas para la evaluación de la vulnerabilidad y riesgos de las infraestructuras viales y de edificaciones públicas ante la ocurrencia de fenómenos naturales, lo que implica identificar debilidades para implementar medidas de prevención, mitigación y preparación, en línea con la legislación dominicana de Gestión de Riesgos (Ley 147-02) y la normativa de compras públicas. Además, evaluar daños y coordinar acciones post-desastre, etc., lo que representa un proceso integral para asegurar la resiliencia de la infraestructura pública ante eventos adversos, integrando aspectos técnicos, sociales y ambientales según la normativa nacional. </w:t>
      </w:r>
    </w:p>
    <w:p w14:paraId="0FF22B53" w14:textId="77777777" w:rsidR="00BC27E9" w:rsidRPr="00954407" w:rsidRDefault="00BC27E9" w:rsidP="004F4463">
      <w:pPr>
        <w:pStyle w:val="EstilodePrrafoNormal1RdeC"/>
        <w:numPr>
          <w:ilvl w:val="0"/>
          <w:numId w:val="195"/>
        </w:numPr>
        <w:spacing w:after="240"/>
      </w:pPr>
      <w:r w:rsidRPr="00954407">
        <w:t>Sostenibilidad y Ampliación de los Servicios del Programa de Patrullaje y Protección de Asistencia Vial que integran los miembros de la Comisión Militar y Policial del MOPC (COMIPOL), desplegando actividades de patrullaje, vigilancia, protección y asistencia vial a los usuarios que transitan por los principales corredores urbanos e interurbanos del país, ampliando el alcance con la integración de nuevos corredores, con la finalidad de disminuir las condiciones de vulnerabilidad a los usuarios, proporcionando asistencias viales por diversas causas (mecánica, neumáticos, combustible, seguridad, calentamiento), entre otras.</w:t>
      </w:r>
    </w:p>
    <w:p w14:paraId="5874C0E7" w14:textId="77777777" w:rsidR="00BC27E9" w:rsidRDefault="00BC27E9" w:rsidP="004F4463">
      <w:pPr>
        <w:pStyle w:val="EstilodePrrafoNormal1RdeC"/>
        <w:numPr>
          <w:ilvl w:val="0"/>
          <w:numId w:val="195"/>
        </w:numPr>
        <w:spacing w:after="240"/>
      </w:pPr>
      <w:r w:rsidRPr="00954407">
        <w:t xml:space="preserve">Valoración exhaustiva y sistemática de la aplicación de la Ley No.115 en los proyectos de infraestructura vial a cargo del MOPC, que grava con un impuesto los terrenos urbanos no edificados que deriven una plusvalía por una intervención del Estado Dominicano en la ejecución de obras de infraestructura vial, tales como: Construcción de Avenidas de Circunvalación que construye el MOPC en diferentes ciudades, las cuales generan plusvalía a los terrenos periféricos, posibilitando el desarrollo de proyectos de </w:t>
      </w:r>
      <w:r w:rsidRPr="00954407">
        <w:lastRenderedPageBreak/>
        <w:t>urbanizaciones e impulsando la economía de la zona, lo que representa una importante fuente generadora de valor para los inmuebles ubicados en áreas periféricas a las obras públicas ejecutadas.</w:t>
      </w:r>
    </w:p>
    <w:p w14:paraId="58FACFAD" w14:textId="77777777" w:rsidR="00CF3199" w:rsidRDefault="00CF3199" w:rsidP="00BC27E9">
      <w:pPr>
        <w:pStyle w:val="EstilodePrrafoNormal1RdeC"/>
      </w:pPr>
    </w:p>
    <w:p w14:paraId="12194F23" w14:textId="66C50ECA" w:rsidR="00BC27E9" w:rsidRPr="00BC27E9" w:rsidRDefault="00BC27E9" w:rsidP="00DD3C36">
      <w:pPr>
        <w:pStyle w:val="Heading1"/>
        <w:numPr>
          <w:ilvl w:val="0"/>
          <w:numId w:val="108"/>
        </w:numPr>
        <w:spacing w:line="240" w:lineRule="auto"/>
        <w:jc w:val="center"/>
        <w:rPr>
          <w:rFonts w:ascii="Times New Roman" w:hAnsi="Times New Roman" w:cs="Times New Roman"/>
          <w:color w:val="767171"/>
          <w:sz w:val="28"/>
          <w:szCs w:val="28"/>
        </w:rPr>
      </w:pPr>
      <w:bookmarkStart w:id="89" w:name="_Toc217387678"/>
      <w:bookmarkStart w:id="90" w:name="_Toc217402131"/>
      <w:r w:rsidRPr="00BC27E9">
        <w:rPr>
          <w:rFonts w:ascii="Times New Roman" w:hAnsi="Times New Roman" w:cs="Times New Roman"/>
          <w:color w:val="767171"/>
          <w:sz w:val="28"/>
          <w:szCs w:val="28"/>
        </w:rPr>
        <w:t>RESULTADOS ÁREAS TRANSVERSALES</w:t>
      </w:r>
      <w:bookmarkStart w:id="91" w:name="_Toc186924350"/>
      <w:bookmarkEnd w:id="89"/>
      <w:bookmarkEnd w:id="90"/>
      <w:r w:rsidRPr="00BC27E9">
        <w:rPr>
          <w:rFonts w:ascii="Times New Roman" w:hAnsi="Times New Roman" w:cs="Times New Roman"/>
          <w:color w:val="767171"/>
          <w:sz w:val="28"/>
          <w:szCs w:val="28"/>
        </w:rPr>
        <w:t xml:space="preserve"> </w:t>
      </w:r>
    </w:p>
    <w:p w14:paraId="6FFDB6CC" w14:textId="340A4598" w:rsidR="00BC27E9" w:rsidRPr="00DD3C36" w:rsidRDefault="00DD3C36" w:rsidP="00DD3C36">
      <w:pPr>
        <w:pStyle w:val="EstilodePrrafoNormal1RdeC"/>
        <w:spacing w:line="240" w:lineRule="auto"/>
        <w:jc w:val="center"/>
        <w:rPr>
          <w:sz w:val="28"/>
          <w:szCs w:val="28"/>
        </w:rPr>
      </w:pPr>
      <w:r w:rsidRPr="00DD3C36">
        <w:rPr>
          <w:rFonts w:eastAsiaTheme="majorEastAsia"/>
          <w:noProof/>
          <w:spacing w:val="30"/>
          <w:kern w:val="38"/>
          <w:sz w:val="32"/>
          <w:szCs w:val="36"/>
          <w:lang w:eastAsia="es-DO"/>
        </w:rPr>
        <mc:AlternateContent>
          <mc:Choice Requires="wps">
            <w:drawing>
              <wp:anchor distT="0" distB="0" distL="114300" distR="114300" simplePos="0" relativeHeight="251669504" behindDoc="1" locked="0" layoutInCell="1" allowOverlap="1" wp14:anchorId="5B6D34EE" wp14:editId="444343B1">
                <wp:simplePos x="0" y="0"/>
                <wp:positionH relativeFrom="column">
                  <wp:posOffset>2202180</wp:posOffset>
                </wp:positionH>
                <wp:positionV relativeFrom="paragraph">
                  <wp:posOffset>254000</wp:posOffset>
                </wp:positionV>
                <wp:extent cx="539750" cy="0"/>
                <wp:effectExtent l="0" t="19050" r="31750" b="19050"/>
                <wp:wrapNone/>
                <wp:docPr id="12" name="Conector recto 12"/>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0A8A4" id="Conector recto 1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4pt,20pt" to="215.9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" strokecolor="red" strokeweight="2.5pt">
                <v:stroke joinstyle="miter"/>
              </v:line>
            </w:pict>
          </mc:Fallback>
        </mc:AlternateContent>
      </w:r>
      <w:r w:rsidR="00BC27E9" w:rsidRPr="00DD3C36">
        <w:rPr>
          <w:sz w:val="28"/>
          <w:szCs w:val="28"/>
        </w:rPr>
        <w:t>Y DE APOYO, AÑO 2025</w:t>
      </w:r>
      <w:bookmarkEnd w:id="91"/>
    </w:p>
    <w:p w14:paraId="735A9C14" w14:textId="051C9199" w:rsidR="00BC27E9" w:rsidRPr="00954407" w:rsidRDefault="00BC27E9" w:rsidP="00BC27E9">
      <w:pPr>
        <w:pStyle w:val="EstilodePrrafoNormal1RdeC"/>
      </w:pPr>
    </w:p>
    <w:p w14:paraId="7622A1B9" w14:textId="77777777" w:rsidR="00BC27E9" w:rsidRPr="00954407" w:rsidRDefault="00BC27E9" w:rsidP="00DD3C36">
      <w:pPr>
        <w:pStyle w:val="EstilodePrrafoNormal1RdeC"/>
        <w:jc w:val="center"/>
        <w:rPr>
          <w:rFonts w:eastAsia="Calibri"/>
          <w:color w:val="767171"/>
        </w:rPr>
      </w:pPr>
      <w:r w:rsidRPr="00954407">
        <w:rPr>
          <w:rFonts w:eastAsia="Calibri"/>
          <w:color w:val="767171"/>
        </w:rPr>
        <w:t>Memoria institucional 2025</w:t>
      </w:r>
    </w:p>
    <w:p w14:paraId="29A33D28" w14:textId="001A14B9" w:rsidR="00BC27E9" w:rsidRPr="00954407" w:rsidRDefault="00BC27E9" w:rsidP="00BC27E9">
      <w:pPr>
        <w:pStyle w:val="EstilodePrrafoNormal1RdeC"/>
        <w:rPr>
          <w:rFonts w:eastAsia="Calibri"/>
          <w:color w:val="767171"/>
        </w:rPr>
      </w:pPr>
      <w:r w:rsidRPr="00954407">
        <w:rPr>
          <w:rFonts w:eastAsia="Calibri"/>
          <w:color w:val="767171"/>
        </w:rPr>
        <w:t xml:space="preserve"> </w:t>
      </w:r>
    </w:p>
    <w:p w14:paraId="1279BB2A" w14:textId="77777777" w:rsidR="00CF3199" w:rsidRPr="00CF3199" w:rsidRDefault="00CF3199" w:rsidP="00CF3199">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92" w:name="_Toc90884480"/>
      <w:bookmarkStart w:id="93" w:name="_Toc90929076"/>
      <w:bookmarkStart w:id="94" w:name="_Toc90929437"/>
      <w:bookmarkStart w:id="95" w:name="_Toc91264805"/>
      <w:bookmarkStart w:id="96" w:name="_Toc217394544"/>
      <w:bookmarkStart w:id="97" w:name="_Toc217394798"/>
      <w:bookmarkStart w:id="98" w:name="_Toc217394903"/>
      <w:bookmarkStart w:id="99" w:name="_Toc217402063"/>
      <w:bookmarkStart w:id="100" w:name="_Toc217402132"/>
      <w:bookmarkStart w:id="101" w:name="_Toc78583640"/>
      <w:bookmarkStart w:id="102" w:name="_Toc186924351"/>
      <w:bookmarkEnd w:id="92"/>
      <w:bookmarkEnd w:id="93"/>
      <w:bookmarkEnd w:id="94"/>
      <w:bookmarkEnd w:id="95"/>
      <w:bookmarkEnd w:id="96"/>
      <w:bookmarkEnd w:id="97"/>
      <w:bookmarkEnd w:id="98"/>
      <w:bookmarkEnd w:id="99"/>
      <w:bookmarkEnd w:id="100"/>
    </w:p>
    <w:p w14:paraId="766DE040" w14:textId="51D27906" w:rsidR="00BC27E9" w:rsidRPr="00CF3199" w:rsidRDefault="00BC27E9" w:rsidP="00CF3199">
      <w:pPr>
        <w:pStyle w:val="Heading2"/>
        <w:rPr>
          <w:rFonts w:ascii="Times New Roman" w:hAnsi="Times New Roman" w:cs="Times New Roman"/>
          <w:b/>
          <w:bCs/>
          <w:color w:val="767171"/>
          <w:sz w:val="24"/>
          <w:szCs w:val="24"/>
        </w:rPr>
      </w:pPr>
      <w:bookmarkStart w:id="103" w:name="_Toc217402133"/>
      <w:r w:rsidRPr="00CF3199">
        <w:rPr>
          <w:rFonts w:ascii="Times New Roman" w:hAnsi="Times New Roman" w:cs="Times New Roman"/>
          <w:b/>
          <w:bCs/>
          <w:color w:val="767171"/>
          <w:sz w:val="24"/>
          <w:szCs w:val="24"/>
        </w:rPr>
        <w:t>Desempeño Área Administrativa y Financiera</w:t>
      </w:r>
      <w:bookmarkEnd w:id="101"/>
      <w:bookmarkEnd w:id="102"/>
      <w:bookmarkEnd w:id="103"/>
    </w:p>
    <w:p w14:paraId="7040E458" w14:textId="77777777" w:rsidR="00BC27E9" w:rsidRPr="00954407" w:rsidRDefault="00BC27E9" w:rsidP="00BC27E9">
      <w:pPr>
        <w:pStyle w:val="EstilodePrrafoNormal1RdeC"/>
        <w:rPr>
          <w:color w:val="767171"/>
        </w:rPr>
      </w:pPr>
    </w:p>
    <w:p w14:paraId="0484EFCB" w14:textId="77777777" w:rsidR="00BC27E9" w:rsidRDefault="00BC27E9" w:rsidP="00BC27E9">
      <w:pPr>
        <w:pStyle w:val="EstilodePrrafoNormal1RdeC"/>
      </w:pPr>
      <w:r w:rsidRPr="00954407">
        <w:t>Para el año fiscal 2025, el Ministerio de Obras Públicas y Comunicaciones (MOPC), registró una asignación de recursos en el Proyecto de Ley de Presupuesto General del Estado No.80-24 de fecha 09 diciembre del año 2024, por un monto de RD$33,093,415,477.00 (Treinta y Tres Mil Noventa y Tres  Millones Cuatrocientos Quince  Mil Cuatrocientos Setenta y Siete Pesos con 00/100), los cuales corresponden al presupuesto inicial asignado al Ministerio y posteriormente le asignaron un presupuesto suplementario RD$13,540,000,000.00 (Trece Mil Quinientos Cuarenta Millones de Pesos con 00/100), para un monto total de RD$46,620,189,419.00 (Cuarenta y Seis Mil Seiscientos Veinte  Millones Ciento Ochenta y  Nueve Mil Cuatrocientos Diecinueve Pesos con 00/100), registrando una ejecución de un 96.0% de inversión durante el período Enero - Diciembre del año 2025 en obras priorizadas (activos no financieros), de acuerdo al programa de inversión previsto para el logro de las metas de infraestructuras viales y de edificaciones desarrolladas para el beneficio sostenible de la población dominicana.</w:t>
      </w:r>
    </w:p>
    <w:p w14:paraId="70075AA4" w14:textId="77777777" w:rsidR="004F4463" w:rsidRPr="00954407" w:rsidRDefault="004F4463" w:rsidP="00BC27E9">
      <w:pPr>
        <w:pStyle w:val="EstilodePrrafoNormal1RdeC"/>
      </w:pPr>
    </w:p>
    <w:p w14:paraId="7AF000E8" w14:textId="7A2B15D0" w:rsidR="00BC27E9" w:rsidRPr="00755C02" w:rsidRDefault="00BC27E9" w:rsidP="00755C02">
      <w:pPr>
        <w:pStyle w:val="Heading3"/>
        <w:rPr>
          <w:b/>
          <w:bCs/>
          <w:color w:val="808080" w:themeColor="background1" w:themeShade="80"/>
          <w:sz w:val="24"/>
          <w:szCs w:val="24"/>
        </w:rPr>
      </w:pPr>
      <w:bookmarkStart w:id="104" w:name="_Toc78583641"/>
      <w:bookmarkStart w:id="105" w:name="_Toc186924352"/>
      <w:r w:rsidRPr="00755C02">
        <w:rPr>
          <w:b/>
          <w:bCs/>
          <w:color w:val="808080" w:themeColor="background1" w:themeShade="80"/>
          <w:sz w:val="24"/>
          <w:szCs w:val="24"/>
        </w:rPr>
        <w:lastRenderedPageBreak/>
        <w:t xml:space="preserve">Ejecución Presupuestaria del MOPC en el período Enero – Diciembre del año </w:t>
      </w:r>
      <w:bookmarkEnd w:id="104"/>
      <w:r w:rsidRPr="00755C02">
        <w:rPr>
          <w:b/>
          <w:bCs/>
          <w:color w:val="808080" w:themeColor="background1" w:themeShade="80"/>
          <w:sz w:val="24"/>
          <w:szCs w:val="24"/>
        </w:rPr>
        <w:t>2025</w:t>
      </w:r>
      <w:bookmarkEnd w:id="105"/>
    </w:p>
    <w:p w14:paraId="645FAD07" w14:textId="77777777" w:rsidR="00BC27E9" w:rsidRPr="00954407" w:rsidRDefault="00BC27E9" w:rsidP="00BC27E9">
      <w:pPr>
        <w:pStyle w:val="EstilodePrrafoNormal1RdeC"/>
      </w:pPr>
    </w:p>
    <w:p w14:paraId="457DE359" w14:textId="77777777" w:rsidR="00BC27E9" w:rsidRDefault="00BC27E9" w:rsidP="00BC27E9">
      <w:pPr>
        <w:pStyle w:val="EstilodePrrafoNormal1RdeC"/>
      </w:pPr>
      <w:r w:rsidRPr="00954407">
        <w:t xml:space="preserve">La ejecución presupuestaria durante el periodo enero – diciembre del 2025, del Ministerio de Obras Públicas y Comunicaciones (MOPC), se efectuó acorde a la asignación de recursos financieros para el ejercicio fiscal vigente, distribuidos por objeto del gasto de los egresos realizados, integrando Activos No Financieros (Obras), Transferencias de Capital, Disminución de Pasivos, Remuneraciones y Gratificaciones, Materiales y Suministros, Bienes Muebles, Inmuebles e Intangibles, Transferencias de Capital, Transferencias Corrientes y Contratación de Servicios, entre otros. </w:t>
      </w:r>
    </w:p>
    <w:p w14:paraId="6E674189" w14:textId="77777777" w:rsidR="004F4463" w:rsidRDefault="004F4463" w:rsidP="00BC27E9">
      <w:pPr>
        <w:pStyle w:val="EstilodePrrafoNormal1RdeC"/>
      </w:pPr>
    </w:p>
    <w:p w14:paraId="178FDADE" w14:textId="2AAC4703" w:rsidR="004F4463" w:rsidRPr="004F4463" w:rsidRDefault="004F4463" w:rsidP="004F4463">
      <w:pPr>
        <w:pStyle w:val="EstilodePrrafoNormal1RdeC"/>
        <w:spacing w:line="240" w:lineRule="auto"/>
        <w:jc w:val="center"/>
        <w:rPr>
          <w:b/>
          <w:bCs/>
          <w:color w:val="767171"/>
        </w:rPr>
      </w:pPr>
      <w:r w:rsidRPr="004F4463">
        <w:rPr>
          <w:b/>
          <w:bCs/>
          <w:color w:val="767171"/>
        </w:rPr>
        <w:t xml:space="preserve">Ejecución de Presupuestaria por Objeto del Gasto </w:t>
      </w:r>
    </w:p>
    <w:p w14:paraId="35DCA7FA" w14:textId="039D5313" w:rsidR="004F4463" w:rsidRPr="004F4463" w:rsidRDefault="004F4463" w:rsidP="004F4463">
      <w:pPr>
        <w:pStyle w:val="EstilodePrrafoNormal1RdeC"/>
        <w:spacing w:line="240" w:lineRule="auto"/>
        <w:jc w:val="center"/>
        <w:rPr>
          <w:b/>
          <w:bCs/>
          <w:color w:val="767171"/>
        </w:rPr>
      </w:pPr>
      <w:r w:rsidRPr="004F4463">
        <w:rPr>
          <w:b/>
          <w:bCs/>
          <w:color w:val="767171"/>
        </w:rPr>
        <w:t>Periodo enero-diciembre 2025</w:t>
      </w:r>
    </w:p>
    <w:tbl>
      <w:tblPr>
        <w:tblpPr w:leftFromText="141" w:rightFromText="141" w:vertAnchor="page" w:horzAnchor="margin" w:tblpXSpec="center" w:tblpY="7421"/>
        <w:tblW w:w="7645" w:type="dxa"/>
        <w:tblLayout w:type="fixed"/>
        <w:tblCellMar>
          <w:left w:w="70" w:type="dxa"/>
          <w:right w:w="70" w:type="dxa"/>
        </w:tblCellMar>
        <w:tblLook w:val="04A0" w:firstRow="1" w:lastRow="0" w:firstColumn="1" w:lastColumn="0" w:noHBand="0" w:noVBand="1"/>
      </w:tblPr>
      <w:tblGrid>
        <w:gridCol w:w="4526"/>
        <w:gridCol w:w="3119"/>
      </w:tblGrid>
      <w:tr w:rsidR="004F4463" w:rsidRPr="00954407" w14:paraId="41B766EA" w14:textId="77777777" w:rsidTr="004F4463">
        <w:trPr>
          <w:trHeight w:val="550"/>
        </w:trPr>
        <w:tc>
          <w:tcPr>
            <w:tcW w:w="4526" w:type="dxa"/>
            <w:tcBorders>
              <w:top w:val="single" w:sz="8" w:space="0" w:color="808080"/>
              <w:left w:val="single" w:sz="8" w:space="0" w:color="808080"/>
              <w:bottom w:val="single" w:sz="8" w:space="0" w:color="808080"/>
              <w:right w:val="single" w:sz="4" w:space="0" w:color="FFFFFF"/>
            </w:tcBorders>
            <w:shd w:val="clear" w:color="auto" w:fill="002060"/>
            <w:vAlign w:val="center"/>
            <w:hideMark/>
          </w:tcPr>
          <w:p w14:paraId="09BE76A2" w14:textId="77777777" w:rsidR="004F4463" w:rsidRPr="00954407" w:rsidRDefault="004F4463" w:rsidP="004F4463">
            <w:pPr>
              <w:pStyle w:val="EstilodePrrafoNormal1RdeC"/>
              <w:jc w:val="center"/>
              <w:rPr>
                <w:color w:val="auto"/>
                <w:spacing w:val="0"/>
                <w:sz w:val="20"/>
                <w:szCs w:val="20"/>
                <w:lang w:eastAsia="es-DO"/>
              </w:rPr>
            </w:pPr>
            <w:r w:rsidRPr="00954407">
              <w:rPr>
                <w:color w:val="auto"/>
                <w:spacing w:val="0"/>
                <w:sz w:val="20"/>
                <w:szCs w:val="20"/>
                <w:lang w:eastAsia="es-DO"/>
              </w:rPr>
              <w:t>CLASIFICACION OBJETAL</w:t>
            </w:r>
          </w:p>
        </w:tc>
        <w:tc>
          <w:tcPr>
            <w:tcW w:w="3119" w:type="dxa"/>
            <w:tcBorders>
              <w:top w:val="single" w:sz="8" w:space="0" w:color="808080"/>
              <w:left w:val="nil"/>
              <w:bottom w:val="single" w:sz="8" w:space="0" w:color="808080"/>
              <w:right w:val="single" w:sz="8" w:space="0" w:color="808080"/>
            </w:tcBorders>
            <w:shd w:val="clear" w:color="auto" w:fill="002060"/>
            <w:vAlign w:val="center"/>
            <w:hideMark/>
          </w:tcPr>
          <w:p w14:paraId="6AD9D46E" w14:textId="77777777" w:rsidR="004F4463" w:rsidRPr="00954407" w:rsidRDefault="004F4463" w:rsidP="004F4463">
            <w:pPr>
              <w:pStyle w:val="EstilodePrrafoNormal1RdeC"/>
              <w:jc w:val="center"/>
              <w:rPr>
                <w:i/>
                <w:color w:val="auto"/>
                <w:spacing w:val="0"/>
                <w:sz w:val="20"/>
                <w:szCs w:val="20"/>
                <w:lang w:eastAsia="es-DO"/>
              </w:rPr>
            </w:pPr>
            <w:r w:rsidRPr="00954407">
              <w:rPr>
                <w:i/>
                <w:color w:val="auto"/>
                <w:spacing w:val="0"/>
                <w:sz w:val="20"/>
                <w:szCs w:val="20"/>
                <w:lang w:eastAsia="es-DO"/>
              </w:rPr>
              <w:t>MONTO RD$</w:t>
            </w:r>
          </w:p>
        </w:tc>
      </w:tr>
      <w:tr w:rsidR="004F4463" w:rsidRPr="00954407" w14:paraId="1A98CBDF" w14:textId="77777777" w:rsidTr="004F4463">
        <w:trPr>
          <w:trHeight w:val="423"/>
        </w:trPr>
        <w:tc>
          <w:tcPr>
            <w:tcW w:w="4526" w:type="dxa"/>
            <w:tcBorders>
              <w:top w:val="single" w:sz="8" w:space="0" w:color="808080"/>
              <w:left w:val="single" w:sz="8" w:space="0" w:color="808080"/>
              <w:bottom w:val="single" w:sz="8" w:space="0" w:color="808080"/>
              <w:right w:val="single" w:sz="8" w:space="0" w:color="808080"/>
            </w:tcBorders>
            <w:hideMark/>
          </w:tcPr>
          <w:p w14:paraId="33F3E8AA"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REMUNERACIONES Y GRATIFICACIONES</w:t>
            </w:r>
          </w:p>
        </w:tc>
        <w:tc>
          <w:tcPr>
            <w:tcW w:w="3119" w:type="dxa"/>
            <w:tcBorders>
              <w:top w:val="single" w:sz="8" w:space="0" w:color="808080"/>
              <w:left w:val="single" w:sz="8" w:space="0" w:color="FFFFFF"/>
              <w:bottom w:val="single" w:sz="8" w:space="0" w:color="808080"/>
              <w:right w:val="single" w:sz="8" w:space="0" w:color="808080"/>
            </w:tcBorders>
            <w:noWrap/>
            <w:vAlign w:val="bottom"/>
            <w:hideMark/>
          </w:tcPr>
          <w:p w14:paraId="2F318A71"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RD$ 4,551,608,161.61</w:t>
            </w:r>
          </w:p>
        </w:tc>
      </w:tr>
      <w:tr w:rsidR="004F4463" w:rsidRPr="00954407" w14:paraId="472E3E2F" w14:textId="77777777" w:rsidTr="004F4463">
        <w:trPr>
          <w:trHeight w:val="468"/>
        </w:trPr>
        <w:tc>
          <w:tcPr>
            <w:tcW w:w="4526" w:type="dxa"/>
            <w:tcBorders>
              <w:top w:val="single" w:sz="8" w:space="0" w:color="808080"/>
              <w:left w:val="single" w:sz="8" w:space="0" w:color="808080"/>
              <w:bottom w:val="single" w:sz="8" w:space="0" w:color="808080"/>
              <w:right w:val="single" w:sz="8" w:space="0" w:color="808080"/>
            </w:tcBorders>
          </w:tcPr>
          <w:p w14:paraId="72D1F40A"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CONTRATACION DE SERVICIOS</w:t>
            </w:r>
          </w:p>
        </w:tc>
        <w:tc>
          <w:tcPr>
            <w:tcW w:w="3119" w:type="dxa"/>
            <w:tcBorders>
              <w:top w:val="single" w:sz="8" w:space="0" w:color="808080"/>
              <w:left w:val="single" w:sz="8" w:space="0" w:color="FFFFFF"/>
              <w:bottom w:val="single" w:sz="8" w:space="0" w:color="808080"/>
              <w:right w:val="single" w:sz="8" w:space="0" w:color="808080"/>
            </w:tcBorders>
            <w:noWrap/>
            <w:vAlign w:val="bottom"/>
          </w:tcPr>
          <w:p w14:paraId="7B8C0F27"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RD$ 1,304,537,108.14</w:t>
            </w:r>
          </w:p>
        </w:tc>
      </w:tr>
      <w:tr w:rsidR="004F4463" w:rsidRPr="00954407" w14:paraId="221332A9" w14:textId="77777777" w:rsidTr="004F4463">
        <w:trPr>
          <w:trHeight w:val="542"/>
        </w:trPr>
        <w:tc>
          <w:tcPr>
            <w:tcW w:w="4526" w:type="dxa"/>
            <w:tcBorders>
              <w:top w:val="nil"/>
              <w:left w:val="single" w:sz="8" w:space="0" w:color="808080"/>
              <w:bottom w:val="single" w:sz="8" w:space="0" w:color="808080"/>
              <w:right w:val="single" w:sz="8" w:space="0" w:color="808080"/>
            </w:tcBorders>
            <w:hideMark/>
          </w:tcPr>
          <w:p w14:paraId="54146405"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MATERIEALES Y SUMINISTROS</w:t>
            </w:r>
          </w:p>
        </w:tc>
        <w:tc>
          <w:tcPr>
            <w:tcW w:w="3119" w:type="dxa"/>
            <w:tcBorders>
              <w:top w:val="nil"/>
              <w:left w:val="single" w:sz="8" w:space="0" w:color="FFFFFF"/>
              <w:bottom w:val="single" w:sz="8" w:space="0" w:color="808080"/>
              <w:right w:val="single" w:sz="8" w:space="0" w:color="808080"/>
            </w:tcBorders>
            <w:noWrap/>
            <w:vAlign w:val="bottom"/>
            <w:hideMark/>
          </w:tcPr>
          <w:p w14:paraId="2D4DF094"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RD$ 3,392,714,811.92</w:t>
            </w:r>
          </w:p>
        </w:tc>
      </w:tr>
      <w:tr w:rsidR="004F4463" w:rsidRPr="00954407" w14:paraId="4312BC3F" w14:textId="77777777" w:rsidTr="004F4463">
        <w:trPr>
          <w:trHeight w:val="712"/>
        </w:trPr>
        <w:tc>
          <w:tcPr>
            <w:tcW w:w="4526" w:type="dxa"/>
            <w:tcBorders>
              <w:top w:val="nil"/>
              <w:left w:val="single" w:sz="8" w:space="0" w:color="808080"/>
              <w:bottom w:val="single" w:sz="8" w:space="0" w:color="808080"/>
              <w:right w:val="single" w:sz="8" w:space="0" w:color="808080"/>
            </w:tcBorders>
          </w:tcPr>
          <w:p w14:paraId="558B4F84"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TRANSFERENCIAS CORRIENTES</w:t>
            </w:r>
          </w:p>
        </w:tc>
        <w:tc>
          <w:tcPr>
            <w:tcW w:w="3119" w:type="dxa"/>
            <w:tcBorders>
              <w:top w:val="nil"/>
              <w:left w:val="single" w:sz="8" w:space="0" w:color="FFFFFF"/>
              <w:bottom w:val="single" w:sz="8" w:space="0" w:color="808080"/>
              <w:right w:val="single" w:sz="8" w:space="0" w:color="808080"/>
            </w:tcBorders>
            <w:noWrap/>
            <w:vAlign w:val="bottom"/>
          </w:tcPr>
          <w:p w14:paraId="5C7657CA"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RD$ 3,935,635,972.49</w:t>
            </w:r>
          </w:p>
        </w:tc>
      </w:tr>
      <w:tr w:rsidR="004F4463" w:rsidRPr="00954407" w14:paraId="490EDC30" w14:textId="77777777" w:rsidTr="004F4463">
        <w:trPr>
          <w:trHeight w:val="468"/>
        </w:trPr>
        <w:tc>
          <w:tcPr>
            <w:tcW w:w="4526" w:type="dxa"/>
            <w:tcBorders>
              <w:top w:val="nil"/>
              <w:left w:val="single" w:sz="8" w:space="0" w:color="808080"/>
              <w:bottom w:val="single" w:sz="8" w:space="0" w:color="808080"/>
              <w:right w:val="single" w:sz="8" w:space="0" w:color="808080"/>
            </w:tcBorders>
          </w:tcPr>
          <w:p w14:paraId="40CC8AE3"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TRANSFERENCIAS DE CAPITAL</w:t>
            </w:r>
          </w:p>
        </w:tc>
        <w:tc>
          <w:tcPr>
            <w:tcW w:w="3119" w:type="dxa"/>
            <w:tcBorders>
              <w:top w:val="nil"/>
              <w:left w:val="single" w:sz="8" w:space="0" w:color="FFFFFF"/>
              <w:bottom w:val="single" w:sz="8" w:space="0" w:color="808080"/>
              <w:right w:val="single" w:sz="8" w:space="0" w:color="808080"/>
            </w:tcBorders>
            <w:noWrap/>
            <w:vAlign w:val="bottom"/>
          </w:tcPr>
          <w:p w14:paraId="01F903AE"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RD$ 1,453,413,972.74</w:t>
            </w:r>
          </w:p>
        </w:tc>
      </w:tr>
      <w:tr w:rsidR="004F4463" w:rsidRPr="00954407" w14:paraId="1A354448" w14:textId="77777777" w:rsidTr="004F4463">
        <w:trPr>
          <w:trHeight w:val="468"/>
        </w:trPr>
        <w:tc>
          <w:tcPr>
            <w:tcW w:w="4526" w:type="dxa"/>
            <w:tcBorders>
              <w:top w:val="nil"/>
              <w:left w:val="single" w:sz="8" w:space="0" w:color="808080"/>
              <w:bottom w:val="single" w:sz="8" w:space="0" w:color="808080"/>
              <w:right w:val="single" w:sz="8" w:space="0" w:color="808080"/>
            </w:tcBorders>
          </w:tcPr>
          <w:p w14:paraId="5A21FD32"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BIENES MUEBLES, INMUEBLES E INTANGIBLES</w:t>
            </w:r>
          </w:p>
        </w:tc>
        <w:tc>
          <w:tcPr>
            <w:tcW w:w="3119" w:type="dxa"/>
            <w:tcBorders>
              <w:top w:val="nil"/>
              <w:left w:val="single" w:sz="8" w:space="0" w:color="FFFFFF"/>
              <w:bottom w:val="single" w:sz="8" w:space="0" w:color="808080"/>
              <w:right w:val="single" w:sz="8" w:space="0" w:color="808080"/>
            </w:tcBorders>
            <w:noWrap/>
            <w:vAlign w:val="bottom"/>
          </w:tcPr>
          <w:p w14:paraId="64FB5D40"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RD$ 1,009,359,470.82</w:t>
            </w:r>
          </w:p>
        </w:tc>
      </w:tr>
      <w:tr w:rsidR="004F4463" w:rsidRPr="00954407" w14:paraId="2418F1A1" w14:textId="77777777" w:rsidTr="004F4463">
        <w:trPr>
          <w:trHeight w:val="468"/>
        </w:trPr>
        <w:tc>
          <w:tcPr>
            <w:tcW w:w="4526" w:type="dxa"/>
            <w:tcBorders>
              <w:top w:val="nil"/>
              <w:left w:val="single" w:sz="8" w:space="0" w:color="808080"/>
              <w:bottom w:val="single" w:sz="8" w:space="0" w:color="808080"/>
              <w:right w:val="single" w:sz="8" w:space="0" w:color="808080"/>
            </w:tcBorders>
          </w:tcPr>
          <w:p w14:paraId="08894471"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OBRAS</w:t>
            </w:r>
          </w:p>
        </w:tc>
        <w:tc>
          <w:tcPr>
            <w:tcW w:w="3119" w:type="dxa"/>
            <w:tcBorders>
              <w:top w:val="nil"/>
              <w:left w:val="single" w:sz="8" w:space="0" w:color="FFFFFF"/>
              <w:bottom w:val="single" w:sz="8" w:space="0" w:color="808080"/>
              <w:right w:val="single" w:sz="8" w:space="0" w:color="808080"/>
            </w:tcBorders>
            <w:noWrap/>
            <w:vAlign w:val="bottom"/>
          </w:tcPr>
          <w:p w14:paraId="15136511" w14:textId="77777777" w:rsidR="004F4463" w:rsidRPr="00954407" w:rsidRDefault="004F4463" w:rsidP="004F4463">
            <w:pPr>
              <w:pStyle w:val="EstilodePrrafoNormal1RdeC"/>
              <w:jc w:val="center"/>
              <w:rPr>
                <w:color w:val="000000"/>
                <w:spacing w:val="0"/>
                <w:sz w:val="20"/>
                <w:szCs w:val="20"/>
                <w:lang w:eastAsia="es-DO"/>
              </w:rPr>
            </w:pPr>
            <w:r w:rsidRPr="00954407">
              <w:rPr>
                <w:color w:val="000000"/>
                <w:spacing w:val="0"/>
                <w:sz w:val="20"/>
                <w:szCs w:val="20"/>
                <w:lang w:eastAsia="es-DO"/>
              </w:rPr>
              <w:t>RD$ 39,107,238,508.04</w:t>
            </w:r>
          </w:p>
        </w:tc>
      </w:tr>
      <w:tr w:rsidR="004F4463" w:rsidRPr="004F4463" w14:paraId="5F3179A5" w14:textId="77777777" w:rsidTr="004F4463">
        <w:trPr>
          <w:trHeight w:val="426"/>
        </w:trPr>
        <w:tc>
          <w:tcPr>
            <w:tcW w:w="4526" w:type="dxa"/>
            <w:tcBorders>
              <w:top w:val="single" w:sz="8" w:space="0" w:color="808080"/>
              <w:left w:val="single" w:sz="8" w:space="0" w:color="808080"/>
              <w:bottom w:val="single" w:sz="8" w:space="0" w:color="808080"/>
              <w:right w:val="single" w:sz="8" w:space="0" w:color="FFFFFF"/>
            </w:tcBorders>
            <w:shd w:val="clear" w:color="auto" w:fill="002060"/>
            <w:vAlign w:val="center"/>
            <w:hideMark/>
          </w:tcPr>
          <w:p w14:paraId="6BFA66A8" w14:textId="77777777" w:rsidR="004F4463" w:rsidRPr="004F4463" w:rsidRDefault="004F4463" w:rsidP="004F4463">
            <w:pPr>
              <w:pStyle w:val="EstilodePrrafoNormal1RdeC"/>
              <w:rPr>
                <w:color w:val="FFFFFF" w:themeColor="background1"/>
                <w:spacing w:val="0"/>
                <w:sz w:val="20"/>
                <w:szCs w:val="20"/>
                <w:lang w:eastAsia="es-DO"/>
              </w:rPr>
            </w:pPr>
            <w:r w:rsidRPr="004F4463">
              <w:rPr>
                <w:color w:val="FFFFFF" w:themeColor="background1"/>
                <w:spacing w:val="0"/>
                <w:sz w:val="20"/>
                <w:szCs w:val="20"/>
                <w:lang w:eastAsia="es-DO"/>
              </w:rPr>
              <w:t>TOTALES</w:t>
            </w:r>
          </w:p>
        </w:tc>
        <w:tc>
          <w:tcPr>
            <w:tcW w:w="3119" w:type="dxa"/>
            <w:tcBorders>
              <w:top w:val="nil"/>
              <w:left w:val="nil"/>
              <w:bottom w:val="single" w:sz="8" w:space="0" w:color="808080"/>
              <w:right w:val="single" w:sz="8" w:space="0" w:color="808080"/>
            </w:tcBorders>
            <w:shd w:val="clear" w:color="auto" w:fill="002060"/>
            <w:noWrap/>
            <w:vAlign w:val="center"/>
            <w:hideMark/>
          </w:tcPr>
          <w:p w14:paraId="00412B94" w14:textId="77777777" w:rsidR="004F4463" w:rsidRPr="004F4463" w:rsidRDefault="004F4463" w:rsidP="004F4463">
            <w:pPr>
              <w:pStyle w:val="EstilodePrrafoNormal1RdeC"/>
              <w:rPr>
                <w:color w:val="FFFFFF" w:themeColor="background1"/>
                <w:spacing w:val="0"/>
                <w:sz w:val="20"/>
                <w:szCs w:val="20"/>
                <w:lang w:eastAsia="es-DO"/>
              </w:rPr>
            </w:pPr>
            <w:r w:rsidRPr="004F4463">
              <w:rPr>
                <w:color w:val="FFFFFF" w:themeColor="background1"/>
                <w:spacing w:val="0"/>
                <w:sz w:val="20"/>
                <w:szCs w:val="20"/>
                <w:lang w:eastAsia="es-DO"/>
              </w:rPr>
              <w:t>RD$ 54,754,508,005.76</w:t>
            </w:r>
          </w:p>
        </w:tc>
      </w:tr>
    </w:tbl>
    <w:p w14:paraId="589060C1" w14:textId="77777777" w:rsidR="004F4463" w:rsidRDefault="004F4463" w:rsidP="00BC27E9">
      <w:pPr>
        <w:pStyle w:val="EstilodePrrafoNormal1RdeC"/>
      </w:pPr>
    </w:p>
    <w:p w14:paraId="3C7F9674" w14:textId="77777777" w:rsidR="004F4463" w:rsidRPr="00954407" w:rsidRDefault="004F4463" w:rsidP="00BC27E9">
      <w:pPr>
        <w:pStyle w:val="EstilodePrrafoNormal1RdeC"/>
      </w:pPr>
    </w:p>
    <w:p w14:paraId="0987A633" w14:textId="77777777" w:rsidR="00BC27E9" w:rsidRPr="00954407" w:rsidRDefault="00BC27E9" w:rsidP="00BC27E9">
      <w:pPr>
        <w:pStyle w:val="EstilodePrrafoNormal1RdeC"/>
        <w:rPr>
          <w:color w:val="767171"/>
        </w:rPr>
      </w:pPr>
      <w:r w:rsidRPr="00954407">
        <w:rPr>
          <w:color w:val="767171"/>
        </w:rPr>
        <w:t>La distribución general por objeto del gasto de los egresos efectuados por el MOPC durante el periodo enero - noviembre del año 2025, se resume a continuación:</w:t>
      </w:r>
    </w:p>
    <w:p w14:paraId="336B587C" w14:textId="678F1657" w:rsidR="004F4463" w:rsidRDefault="009E5280" w:rsidP="00BC27E9">
      <w:pPr>
        <w:pStyle w:val="EstilodePrrafoNormal1RdeC"/>
      </w:pPr>
      <w:r w:rsidRPr="00954407">
        <w:rPr>
          <w:noProof/>
          <w:lang w:eastAsia="es-DO"/>
        </w:rPr>
        <w:lastRenderedPageBreak/>
        <w:drawing>
          <wp:anchor distT="0" distB="0" distL="114300" distR="114300" simplePos="0" relativeHeight="251683840" behindDoc="0" locked="0" layoutInCell="1" allowOverlap="1" wp14:anchorId="68126E5C" wp14:editId="695B8F60">
            <wp:simplePos x="0" y="0"/>
            <wp:positionH relativeFrom="column">
              <wp:posOffset>-6350</wp:posOffset>
            </wp:positionH>
            <wp:positionV relativeFrom="paragraph">
              <wp:posOffset>101600</wp:posOffset>
            </wp:positionV>
            <wp:extent cx="5194300" cy="3302000"/>
            <wp:effectExtent l="0" t="0" r="6350" b="12700"/>
            <wp:wrapThrough wrapText="bothSides">
              <wp:wrapPolygon edited="0">
                <wp:start x="0" y="0"/>
                <wp:lineTo x="0" y="21558"/>
                <wp:lineTo x="21547" y="21558"/>
                <wp:lineTo x="21547" y="0"/>
                <wp:lineTo x="0" y="0"/>
              </wp:wrapPolygon>
            </wp:wrapThrough>
            <wp:docPr id="1877695306" name="Gráfico 1877695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p w14:paraId="13F8D3E5" w14:textId="2B657AB4"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 xml:space="preserve">Redistribuciones Ejecución Presupuestaria del MOPC en el período enero – </w:t>
      </w:r>
      <w:r w:rsidR="009E5280">
        <w:rPr>
          <w:b/>
          <w:bCs/>
          <w:color w:val="808080" w:themeColor="background1" w:themeShade="80"/>
          <w:sz w:val="24"/>
          <w:szCs w:val="24"/>
        </w:rPr>
        <w:t>d</w:t>
      </w:r>
      <w:r w:rsidRPr="00755C02">
        <w:rPr>
          <w:b/>
          <w:bCs/>
          <w:color w:val="808080" w:themeColor="background1" w:themeShade="80"/>
          <w:sz w:val="24"/>
          <w:szCs w:val="24"/>
        </w:rPr>
        <w:t>iciembre del año 2025</w:t>
      </w:r>
    </w:p>
    <w:p w14:paraId="4BE5BF26" w14:textId="77777777" w:rsidR="00BC27E9" w:rsidRPr="00954407" w:rsidRDefault="00BC27E9" w:rsidP="00BC27E9">
      <w:pPr>
        <w:pStyle w:val="EstilodePrrafoNormal1RdeC"/>
        <w:rPr>
          <w:color w:val="767171"/>
          <w:highlight w:val="yellow"/>
        </w:rPr>
      </w:pPr>
    </w:p>
    <w:p w14:paraId="47E2EF2B" w14:textId="77777777" w:rsidR="00BC27E9" w:rsidRPr="00954407" w:rsidRDefault="00BC27E9" w:rsidP="00BC27E9">
      <w:pPr>
        <w:pStyle w:val="EstilodePrrafoNormal1RdeC"/>
        <w:rPr>
          <w:color w:val="767171"/>
        </w:rPr>
      </w:pPr>
      <w:r w:rsidRPr="00954407">
        <w:rPr>
          <w:color w:val="767171"/>
        </w:rPr>
        <w:t xml:space="preserve">La ejecución presupuestaria del Ministerio de Obras Públicas y Comunicaciones (MOPC) correspondiente al periodo enero-diciembre del año 2025, enfrentó cambios no previstos en la formulación original del Presupuesto General del Estado, lo que generó que la institución solicitara al Ministerio de Hacienda y Economía, a través de la Dirección General de Inversión Pública y la Dirección General de Presupuesto, realizar ajustes en el Presupuesto aprobado para el MOPC para el año fiscal vigente y adaptarlo a nuevas necesidades o imprevistos para cumplir metas, optimizando el uso de los recursos regulados por la Ley Orgánica No. 423-01 y la Resolución No. 162-2020 para su tramitación, en proyectos cuyos recursos disponibles en el Presupuesto requerían modificarse, por incremento o por disminución, siendo las principales  causas, las siguientes: </w:t>
      </w:r>
    </w:p>
    <w:p w14:paraId="67FE20B5" w14:textId="77777777" w:rsidR="00BC27E9" w:rsidRPr="00954407" w:rsidRDefault="00BC27E9" w:rsidP="00BC27E9">
      <w:pPr>
        <w:pStyle w:val="EstilodePrrafoNormal1RdeC"/>
        <w:rPr>
          <w:color w:val="767171"/>
        </w:rPr>
      </w:pPr>
    </w:p>
    <w:p w14:paraId="6C2369FC" w14:textId="3F201652" w:rsidR="00BC27E9" w:rsidRPr="00954407" w:rsidRDefault="00BC27E9" w:rsidP="004F4463">
      <w:pPr>
        <w:pStyle w:val="EstilodePrrafoNormal1RdeC"/>
        <w:numPr>
          <w:ilvl w:val="0"/>
          <w:numId w:val="196"/>
        </w:numPr>
        <w:spacing w:after="240"/>
        <w:rPr>
          <w:color w:val="767171"/>
        </w:rPr>
      </w:pPr>
      <w:r w:rsidRPr="00954407">
        <w:rPr>
          <w:color w:val="767171"/>
        </w:rPr>
        <w:lastRenderedPageBreak/>
        <w:t>Proyectos prioritarios no incluidos en el Presupuesto General del</w:t>
      </w:r>
      <w:r w:rsidR="004F4463">
        <w:rPr>
          <w:color w:val="767171"/>
        </w:rPr>
        <w:t xml:space="preserve"> </w:t>
      </w:r>
      <w:r w:rsidRPr="00954407">
        <w:rPr>
          <w:color w:val="767171"/>
        </w:rPr>
        <w:t>Estado del año 2025</w:t>
      </w:r>
      <w:r w:rsidR="004F4463">
        <w:rPr>
          <w:color w:val="767171"/>
        </w:rPr>
        <w:t>.</w:t>
      </w:r>
    </w:p>
    <w:p w14:paraId="682CA783" w14:textId="362CAD3C" w:rsidR="00BC27E9" w:rsidRPr="00954407" w:rsidRDefault="00BC27E9" w:rsidP="004F4463">
      <w:pPr>
        <w:pStyle w:val="EstilodePrrafoNormal1RdeC"/>
        <w:numPr>
          <w:ilvl w:val="0"/>
          <w:numId w:val="196"/>
        </w:numPr>
        <w:spacing w:after="240"/>
        <w:rPr>
          <w:color w:val="767171"/>
        </w:rPr>
      </w:pPr>
      <w:r w:rsidRPr="00954407">
        <w:rPr>
          <w:color w:val="767171"/>
        </w:rPr>
        <w:t>Proyectos que requerían mayor disponibilidad de recursos con respecto a lo asignado para el año vigente</w:t>
      </w:r>
      <w:r w:rsidR="004F4463">
        <w:rPr>
          <w:color w:val="767171"/>
        </w:rPr>
        <w:t>.</w:t>
      </w:r>
    </w:p>
    <w:p w14:paraId="284BC4AC" w14:textId="0E7271FD" w:rsidR="00BC27E9" w:rsidRPr="00954407" w:rsidRDefault="00BC27E9" w:rsidP="004F4463">
      <w:pPr>
        <w:pStyle w:val="EstilodePrrafoNormal1RdeC"/>
        <w:numPr>
          <w:ilvl w:val="0"/>
          <w:numId w:val="196"/>
        </w:numPr>
        <w:spacing w:after="240"/>
        <w:rPr>
          <w:color w:val="0A0A0A"/>
          <w:spacing w:val="0"/>
          <w:lang w:eastAsia="es-DO"/>
        </w:rPr>
      </w:pPr>
      <w:r w:rsidRPr="00954407">
        <w:rPr>
          <w:color w:val="767171"/>
        </w:rPr>
        <w:t>Cambio de fuente o fondo, en los casos que no fueron incluidas, para los fines correspondientes</w:t>
      </w:r>
      <w:r w:rsidR="004F4463">
        <w:rPr>
          <w:color w:val="767171"/>
        </w:rPr>
        <w:t>.</w:t>
      </w:r>
    </w:p>
    <w:p w14:paraId="7DC4BAC5" w14:textId="77777777" w:rsidR="00BC27E9" w:rsidRPr="00954407" w:rsidRDefault="00BC27E9" w:rsidP="00BC27E9">
      <w:pPr>
        <w:pStyle w:val="EstilodePrrafoNormal1RdeC"/>
        <w:rPr>
          <w:color w:val="767171"/>
        </w:rPr>
      </w:pPr>
    </w:p>
    <w:p w14:paraId="0B427C67" w14:textId="77777777" w:rsidR="00BC27E9" w:rsidRPr="00954407" w:rsidRDefault="00BC27E9" w:rsidP="00BC27E9">
      <w:pPr>
        <w:pStyle w:val="EstilodePrrafoNormal1RdeC"/>
        <w:rPr>
          <w:color w:val="767171"/>
        </w:rPr>
      </w:pPr>
      <w:r w:rsidRPr="00954407">
        <w:rPr>
          <w:color w:val="767171"/>
        </w:rPr>
        <w:t>Por lo antes expuesto, se realizaron durante el periodo enero-diciembre del 2025, un total de ciento setenta y dos (172) modificaciones presupuestarias, con el objetivo de garantizar la sostenibilidad del amplio programa de ejecución de obras prioritarias para concluir a corto y mediano plazo y de los servicios demandados por la población dominicana a la institución.</w:t>
      </w:r>
    </w:p>
    <w:p w14:paraId="10AB4407" w14:textId="77777777" w:rsidR="00BC27E9" w:rsidRPr="00954407" w:rsidRDefault="00BC27E9" w:rsidP="00BC27E9">
      <w:pPr>
        <w:pStyle w:val="EstilodePrrafoNormal1RdeC"/>
        <w:rPr>
          <w:color w:val="767171"/>
        </w:rPr>
      </w:pPr>
    </w:p>
    <w:p w14:paraId="155D7465" w14:textId="3EDCCDC9" w:rsidR="00BC27E9" w:rsidRPr="00755C02" w:rsidRDefault="00BC27E9" w:rsidP="00755C02">
      <w:pPr>
        <w:pStyle w:val="Heading3"/>
        <w:rPr>
          <w:b/>
          <w:bCs/>
          <w:color w:val="808080" w:themeColor="background1" w:themeShade="80"/>
          <w:sz w:val="24"/>
          <w:szCs w:val="24"/>
        </w:rPr>
      </w:pPr>
      <w:bookmarkStart w:id="106" w:name="_Toc186924353"/>
      <w:r w:rsidRPr="00755C02">
        <w:rPr>
          <w:b/>
          <w:bCs/>
          <w:color w:val="808080" w:themeColor="background1" w:themeShade="80"/>
          <w:sz w:val="24"/>
          <w:szCs w:val="24"/>
        </w:rPr>
        <w:t>Plan de Inversión (Operativo) Anual</w:t>
      </w:r>
      <w:bookmarkEnd w:id="106"/>
    </w:p>
    <w:p w14:paraId="3D4714D8" w14:textId="77777777" w:rsidR="00BC27E9" w:rsidRPr="00954407" w:rsidRDefault="00BC27E9" w:rsidP="00BC27E9">
      <w:pPr>
        <w:pStyle w:val="EstilodePrrafoNormal1RdeC"/>
        <w:rPr>
          <w:rFonts w:eastAsia="Calibri"/>
          <w:color w:val="767171"/>
        </w:rPr>
      </w:pPr>
    </w:p>
    <w:p w14:paraId="6AF76740" w14:textId="77777777" w:rsidR="00BC27E9" w:rsidRPr="00954407" w:rsidRDefault="00BC27E9" w:rsidP="00BC27E9">
      <w:pPr>
        <w:pStyle w:val="EstilodePrrafoNormal1RdeC"/>
      </w:pPr>
      <w:r w:rsidRPr="00954407">
        <w:t>El Plan de Inversión (Operativo) Anual del MOPC correspondiente al año 2025, constituye una herramienta clave para la planificación y el seguimiento de las ejecutorias de la institución durante el año fiscal vigente, integra los programas, proyectos y metas alineadas para el corto y mediano plazo, formulado para eficientizar los recursos financieros, humanos y tecnológicos de la institución, en concordancia con el Plan Nacional Plurianual de Inversión Pública del ministerio sobre la base de la asignación presupuestaria anual, alineados con las directrices económicas, sociales y medioambientales del Programa de Gobierno del Presidente Luis Abinader para el periodo 2025-2028, que refleja las prioridades de la nación en beneficio de la población dominicana.</w:t>
      </w:r>
    </w:p>
    <w:p w14:paraId="3040F8B7" w14:textId="77777777" w:rsidR="00BC27E9" w:rsidRPr="00954407" w:rsidRDefault="00BC27E9" w:rsidP="00BC27E9">
      <w:pPr>
        <w:pStyle w:val="EstilodePrrafoNormal1RdeC"/>
        <w:rPr>
          <w:color w:val="767171"/>
          <w:highlight w:val="yellow"/>
          <w:lang w:val="es-DO"/>
        </w:rPr>
      </w:pPr>
    </w:p>
    <w:p w14:paraId="47923EB3" w14:textId="77777777" w:rsidR="00BC27E9" w:rsidRPr="00954407" w:rsidRDefault="00BC27E9" w:rsidP="00BC27E9">
      <w:pPr>
        <w:pStyle w:val="EstilodePrrafoNormal1RdeC"/>
        <w:rPr>
          <w:color w:val="767171"/>
        </w:rPr>
      </w:pPr>
      <w:r w:rsidRPr="00954407">
        <w:rPr>
          <w:color w:val="767171"/>
        </w:rPr>
        <w:t>E</w:t>
      </w:r>
      <w:r w:rsidRPr="00954407">
        <w:rPr>
          <w:color w:val="767171"/>
          <w:szCs w:val="20"/>
        </w:rPr>
        <w:t xml:space="preserve">l </w:t>
      </w:r>
      <w:r w:rsidRPr="00954407">
        <w:rPr>
          <w:color w:val="767171"/>
        </w:rPr>
        <w:t xml:space="preserve">Plan de Inversión (Operativo) Anual del MOPC correspondiente al año </w:t>
      </w:r>
      <w:r w:rsidRPr="00954407">
        <w:rPr>
          <w:color w:val="767171"/>
        </w:rPr>
        <w:lastRenderedPageBreak/>
        <w:t>2025,  registró un</w:t>
      </w:r>
      <w:r w:rsidRPr="00954407">
        <w:rPr>
          <w:color w:val="767171"/>
          <w:szCs w:val="20"/>
        </w:rPr>
        <w:t xml:space="preserve"> total de Quinientos Cuarenta y Cuatro  (544) proyectos</w:t>
      </w:r>
      <w:r w:rsidRPr="00954407">
        <w:rPr>
          <w:color w:val="767171"/>
        </w:rPr>
        <w:t>,</w:t>
      </w:r>
      <w:r w:rsidRPr="00954407">
        <w:rPr>
          <w:color w:val="767171"/>
          <w:szCs w:val="20"/>
        </w:rPr>
        <w:t xml:space="preserve"> con una inversión asignada para año 2025 </w:t>
      </w:r>
      <w:r w:rsidRPr="00954407">
        <w:rPr>
          <w:color w:val="767171"/>
        </w:rPr>
        <w:t xml:space="preserve">de RD$46,620,189,419.00 </w:t>
      </w:r>
      <w:r w:rsidRPr="00954407">
        <w:rPr>
          <w:color w:val="767171"/>
          <w:szCs w:val="20"/>
        </w:rPr>
        <w:t xml:space="preserve">(Cuarenta y Seis Mil Seiscientos Veinte Millones Ciento Ochenta y Nueve Mil Cuatrocientos Diecinueve  Pesos con 00/100), de los cuales se ejecutaron en obras durante el período enero - diciembre del 2025, un total de </w:t>
      </w:r>
      <w:r w:rsidRPr="00954407">
        <w:rPr>
          <w:color w:val="767171"/>
        </w:rPr>
        <w:t xml:space="preserve">RD$ (Cuarenta y Tres Mil Ciento Cuarenta y Siete Millones Novecientos Noventa Mil Ciento Noventa y Nueve Pesos con 00/100), </w:t>
      </w:r>
      <w:r w:rsidRPr="00954407">
        <w:rPr>
          <w:color w:val="767171"/>
          <w:szCs w:val="20"/>
        </w:rPr>
        <w:t>l</w:t>
      </w:r>
      <w:r w:rsidRPr="00954407">
        <w:rPr>
          <w:color w:val="767171"/>
        </w:rPr>
        <w:t xml:space="preserve">o que representa un cumplimiento de la ejecución aproximado de un </w:t>
      </w:r>
      <w:r w:rsidRPr="00954407">
        <w:rPr>
          <w:color w:val="767171"/>
          <w:szCs w:val="20"/>
        </w:rPr>
        <w:t>92.5%</w:t>
      </w:r>
      <w:r w:rsidRPr="00954407">
        <w:rPr>
          <w:color w:val="767171"/>
        </w:rPr>
        <w:t>, con respecto al monto anual asignado para la ejecución de obras.</w:t>
      </w:r>
    </w:p>
    <w:p w14:paraId="507C3809" w14:textId="77777777" w:rsidR="00BC27E9" w:rsidRPr="00954407" w:rsidRDefault="00BC27E9" w:rsidP="00BC27E9">
      <w:pPr>
        <w:pStyle w:val="EstilodePrrafoNormal1RdeC"/>
        <w:rPr>
          <w:color w:val="767171"/>
          <w:szCs w:val="20"/>
        </w:rPr>
      </w:pPr>
    </w:p>
    <w:p w14:paraId="487E9766" w14:textId="77777777" w:rsidR="00BC27E9" w:rsidRPr="00954407" w:rsidRDefault="00BC27E9" w:rsidP="00BC27E9">
      <w:pPr>
        <w:pStyle w:val="EstilodePrrafoNormal1RdeC"/>
        <w:rPr>
          <w:rFonts w:eastAsia="Calibri"/>
          <w:color w:val="767171"/>
        </w:rPr>
      </w:pPr>
      <w:r w:rsidRPr="00954407">
        <w:rPr>
          <w:rFonts w:eastAsia="Calibri"/>
          <w:color w:val="767171"/>
        </w:rPr>
        <w:t xml:space="preserve">Las políticas públicas aplicadas en la producción generada del Plan de Inversión (Operativo) Anual del MOPC correspondiente al año 2025, </w:t>
      </w:r>
      <w:r w:rsidRPr="00954407">
        <w:rPr>
          <w:color w:val="767171"/>
        </w:rPr>
        <w:t>beneficiaron una población aproximada de 6,000,000 personas</w:t>
      </w:r>
      <w:r w:rsidRPr="00954407">
        <w:rPr>
          <w:rFonts w:eastAsia="Calibri"/>
          <w:color w:val="767171"/>
        </w:rPr>
        <w:t xml:space="preserve">, generando con la ejecución de las infraestructuras viales y de edificaciones aproximadamente unos 371,137 empleos directos y 463,922empleos indirectos, lo que permite un incremento del desarrollo económico y social, así como del bienestar de la población residente en el área de influencia de las obras realizadas y en los usuarios de las mismas. </w:t>
      </w:r>
    </w:p>
    <w:p w14:paraId="3B82EDA3" w14:textId="77777777" w:rsidR="00BC27E9" w:rsidRPr="00954407" w:rsidRDefault="00BC27E9" w:rsidP="00BC27E9">
      <w:pPr>
        <w:pStyle w:val="EstilodePrrafoNormal1RdeC"/>
        <w:rPr>
          <w:rFonts w:eastAsia="Calibri"/>
          <w:color w:val="767171"/>
          <w:szCs w:val="20"/>
        </w:rPr>
      </w:pPr>
    </w:p>
    <w:p w14:paraId="28E347EE" w14:textId="7AD0251F" w:rsidR="00BC27E9" w:rsidRPr="00954407" w:rsidRDefault="00BC27E9" w:rsidP="00BC27E9">
      <w:pPr>
        <w:pStyle w:val="EstilodePrrafoNormal1RdeC"/>
        <w:rPr>
          <w:color w:val="767171"/>
          <w:highlight w:val="yellow"/>
        </w:rPr>
      </w:pPr>
      <w:r w:rsidRPr="00954407">
        <w:rPr>
          <w:color w:val="767171"/>
        </w:rPr>
        <w:t xml:space="preserve">La matriz del </w:t>
      </w:r>
      <w:r w:rsidR="004F4463" w:rsidRPr="00954407">
        <w:rPr>
          <w:color w:val="767171"/>
        </w:rPr>
        <w:t>Índice</w:t>
      </w:r>
      <w:r w:rsidRPr="00954407">
        <w:rPr>
          <w:color w:val="767171"/>
        </w:rPr>
        <w:t xml:space="preserve"> de Gestión Presupuestaria (IGP) del desempeño de la producción institucional correspondiente al periodo enero-diciembre del año 2025, conteniendo la asignación presupuestaria y la ejecución por programa para determinar el </w:t>
      </w:r>
      <w:r w:rsidR="004F4463" w:rsidRPr="00954407">
        <w:rPr>
          <w:color w:val="767171"/>
        </w:rPr>
        <w:t>Índice</w:t>
      </w:r>
      <w:r w:rsidRPr="00954407">
        <w:rPr>
          <w:color w:val="767171"/>
        </w:rPr>
        <w:t xml:space="preserve"> de Ejecución por Programa versus la Ejecución Total del año, se presenta en el anexo B del presente informe. </w:t>
      </w:r>
    </w:p>
    <w:p w14:paraId="324B3467" w14:textId="77777777" w:rsidR="00BC27E9" w:rsidRPr="00954407" w:rsidRDefault="00BC27E9" w:rsidP="00BC27E9">
      <w:pPr>
        <w:pStyle w:val="EstilodePrrafoNormal1RdeC"/>
      </w:pPr>
      <w:bookmarkStart w:id="107" w:name="_Toc186924354"/>
    </w:p>
    <w:p w14:paraId="0A261D13" w14:textId="24C82B8E"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 xml:space="preserve">Ejecución Física - Financiera por Programa en el Periodo </w:t>
      </w:r>
      <w:r w:rsidR="004F4463" w:rsidRPr="00755C02">
        <w:rPr>
          <w:b/>
          <w:bCs/>
          <w:color w:val="808080" w:themeColor="background1" w:themeShade="80"/>
          <w:sz w:val="24"/>
          <w:szCs w:val="24"/>
        </w:rPr>
        <w:t>e</w:t>
      </w:r>
      <w:r w:rsidRPr="00755C02">
        <w:rPr>
          <w:b/>
          <w:bCs/>
          <w:color w:val="808080" w:themeColor="background1" w:themeShade="80"/>
          <w:sz w:val="24"/>
          <w:szCs w:val="24"/>
        </w:rPr>
        <w:t xml:space="preserve">nero - </w:t>
      </w:r>
      <w:r w:rsidR="006371D9" w:rsidRPr="00755C02">
        <w:rPr>
          <w:b/>
          <w:bCs/>
          <w:color w:val="808080" w:themeColor="background1" w:themeShade="80"/>
          <w:sz w:val="24"/>
          <w:szCs w:val="24"/>
        </w:rPr>
        <w:t>diciembre</w:t>
      </w:r>
      <w:r w:rsidRPr="00755C02">
        <w:rPr>
          <w:b/>
          <w:bCs/>
          <w:color w:val="808080" w:themeColor="background1" w:themeShade="80"/>
          <w:sz w:val="24"/>
          <w:szCs w:val="24"/>
        </w:rPr>
        <w:t xml:space="preserve"> del Año 2025</w:t>
      </w:r>
      <w:bookmarkEnd w:id="107"/>
    </w:p>
    <w:p w14:paraId="73362A94" w14:textId="77777777" w:rsidR="00BC27E9" w:rsidRPr="00954407" w:rsidRDefault="00BC27E9" w:rsidP="00BC27E9">
      <w:pPr>
        <w:pStyle w:val="EstilodePrrafoNormal1RdeC"/>
        <w:rPr>
          <w:rFonts w:eastAsia="Calibri"/>
          <w:color w:val="767171"/>
          <w:lang w:val="es-DO"/>
        </w:rPr>
      </w:pPr>
    </w:p>
    <w:p w14:paraId="000C7751" w14:textId="77777777" w:rsidR="00BC27E9" w:rsidRPr="00954407" w:rsidRDefault="00BC27E9" w:rsidP="00BC27E9">
      <w:pPr>
        <w:pStyle w:val="EstilodePrrafoNormal1RdeC"/>
        <w:rPr>
          <w:rFonts w:eastAsia="Calibri"/>
          <w:color w:val="767171"/>
          <w:lang w:val="es-DO"/>
        </w:rPr>
      </w:pPr>
    </w:p>
    <w:p w14:paraId="794A022A" w14:textId="77777777" w:rsidR="00BC27E9" w:rsidRPr="00954407" w:rsidRDefault="00BC27E9" w:rsidP="00BC27E9">
      <w:pPr>
        <w:pStyle w:val="EstilodePrrafoNormal1RdeC"/>
      </w:pPr>
      <w:r w:rsidRPr="00954407">
        <w:t xml:space="preserve">La distribución por programa presupuestario del Ministerio de Obras </w:t>
      </w:r>
      <w:r w:rsidRPr="00954407">
        <w:lastRenderedPageBreak/>
        <w:t xml:space="preserve">Públicas y Comunicaciones (MOPC), conteniendo la ejecución física-financiera alcanzada durante el periodo enero-diciembre del 2025, con los recursos asignados en el Presupuesto General del Estado para el año 2025, para el logro de los objetivos del Plan de Inversión (Operativo) Anual, registrándose las mayores ejecutorias con respecto a lo planeado, en los Programas 11 y 12 correspondientes al Desarrollo de la Infraestructura Física de Calles y Avenidas y al Mantenimiento, Seguridad y Asistencia Vial, respectivamente, con un monto asignado de RD$29,013,696,919.55 (Veintinueve Mil Trece Millones Seiscientos Noventa y Seis Mil Novecientos Diecinueve Pesos con 55/100), de los cuales ejecutaron un total de RD$28,688,871,518.97 (Veintiocho Mil Seiscientos Ochenta y Ocho Millones Ochocientos Setenta y Un Mil Quinientos Dieciocho con 97/100) ) lo que representa un 99%  ejecutado versus lo programado, con un total de 181 productos generados durante el año fiscal vigente. </w:t>
      </w:r>
    </w:p>
    <w:p w14:paraId="2741F7C0" w14:textId="77777777" w:rsidR="00BC27E9" w:rsidRPr="00954407" w:rsidRDefault="00BC27E9" w:rsidP="00BC27E9">
      <w:pPr>
        <w:pStyle w:val="EstilodePrrafoNormal1RdeC"/>
        <w:rPr>
          <w:color w:val="767171"/>
          <w:lang w:val="es-DO"/>
        </w:rPr>
      </w:pPr>
    </w:p>
    <w:p w14:paraId="28CA56FF" w14:textId="77777777" w:rsidR="00BC27E9" w:rsidRPr="00954407" w:rsidRDefault="00BC27E9" w:rsidP="00BC27E9">
      <w:pPr>
        <w:pStyle w:val="EstilodePrrafoNormal1RdeC"/>
        <w:rPr>
          <w:color w:val="767171"/>
        </w:rPr>
      </w:pPr>
      <w:r w:rsidRPr="00954407">
        <w:rPr>
          <w:color w:val="767171"/>
        </w:rPr>
        <w:t xml:space="preserve">El desempeño de la ejecución presupuestaria por programa y los productos generados por el MOPC durante el periodo enero-diciembre del año fiscal vigente, se presenta en la tabla siguiente: </w:t>
      </w:r>
    </w:p>
    <w:p w14:paraId="75782ABB" w14:textId="77777777" w:rsidR="00BC27E9" w:rsidRPr="00954407" w:rsidRDefault="00BC27E9" w:rsidP="00BC27E9">
      <w:pPr>
        <w:pStyle w:val="EstilodePrrafoNormal1RdeC"/>
        <w:rPr>
          <w:color w:val="767171"/>
        </w:rPr>
      </w:pPr>
    </w:p>
    <w:p w14:paraId="1E0C4DAF" w14:textId="77777777" w:rsidR="00BC27E9" w:rsidRPr="00954407" w:rsidRDefault="00BC27E9" w:rsidP="00BC27E9">
      <w:pPr>
        <w:pStyle w:val="EstilodePrrafoNormal1RdeC"/>
        <w:rPr>
          <w:color w:val="767171"/>
        </w:rPr>
      </w:pPr>
    </w:p>
    <w:p w14:paraId="590CEEE4" w14:textId="77777777" w:rsidR="00BC27E9" w:rsidRPr="00954407" w:rsidRDefault="00BC27E9" w:rsidP="00BC27E9">
      <w:pPr>
        <w:pStyle w:val="EstilodePrrafoNormal1RdeC"/>
        <w:rPr>
          <w:color w:val="767171"/>
        </w:rPr>
      </w:pPr>
      <w:r w:rsidRPr="00954407">
        <w:rPr>
          <w:noProof/>
        </w:rPr>
        <w:lastRenderedPageBreak/>
        <w:drawing>
          <wp:anchor distT="0" distB="0" distL="114300" distR="114300" simplePos="0" relativeHeight="251684864" behindDoc="0" locked="0" layoutInCell="1" allowOverlap="1" wp14:anchorId="4FD780A5" wp14:editId="196F0C97">
            <wp:simplePos x="0" y="0"/>
            <wp:positionH relativeFrom="column">
              <wp:posOffset>-1104265</wp:posOffset>
            </wp:positionH>
            <wp:positionV relativeFrom="paragraph">
              <wp:posOffset>1109345</wp:posOffset>
            </wp:positionV>
            <wp:extent cx="7279640" cy="4890135"/>
            <wp:effectExtent l="0" t="5398" r="0" b="0"/>
            <wp:wrapThrough wrapText="bothSides">
              <wp:wrapPolygon edited="0">
                <wp:start x="21616" y="1538"/>
                <wp:lineTo x="19751" y="1454"/>
                <wp:lineTo x="18903" y="445"/>
                <wp:lineTo x="9802" y="445"/>
                <wp:lineTo x="8954" y="1454"/>
                <wp:lineTo x="8898" y="1454"/>
                <wp:lineTo x="8050" y="445"/>
                <wp:lineTo x="2567" y="445"/>
                <wp:lineTo x="1719" y="1454"/>
                <wp:lineTo x="80" y="1538"/>
                <wp:lineTo x="80" y="21481"/>
                <wp:lineTo x="21616" y="21481"/>
                <wp:lineTo x="21616" y="1538"/>
              </wp:wrapPolygon>
            </wp:wrapThrough>
            <wp:docPr id="1877695307" name="Imagen 1877695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6200000">
                      <a:off x="0" y="0"/>
                      <a:ext cx="7279640" cy="4890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C0F09E" w14:textId="77777777" w:rsidR="004F4463" w:rsidRDefault="004F4463" w:rsidP="00BC27E9">
      <w:pPr>
        <w:pStyle w:val="EstilodePrrafoNormal1RdeC"/>
      </w:pPr>
    </w:p>
    <w:p w14:paraId="0422DB92" w14:textId="77777777" w:rsidR="004F4463" w:rsidRDefault="004F4463" w:rsidP="00BC27E9">
      <w:pPr>
        <w:pStyle w:val="EstilodePrrafoNormal1RdeC"/>
      </w:pPr>
    </w:p>
    <w:p w14:paraId="782876F5" w14:textId="77777777" w:rsidR="004F4463" w:rsidRDefault="004F4463" w:rsidP="00BC27E9">
      <w:pPr>
        <w:pStyle w:val="EstilodePrrafoNormal1RdeC"/>
      </w:pPr>
    </w:p>
    <w:p w14:paraId="1FA3B33F" w14:textId="77777777" w:rsidR="004F4463" w:rsidRDefault="004F4463" w:rsidP="00BC27E9">
      <w:pPr>
        <w:pStyle w:val="EstilodePrrafoNormal1RdeC"/>
      </w:pPr>
    </w:p>
    <w:p w14:paraId="7BECF7CA" w14:textId="77777777" w:rsidR="004F4463" w:rsidRDefault="004F4463" w:rsidP="00BC27E9">
      <w:pPr>
        <w:pStyle w:val="EstilodePrrafoNormal1RdeC"/>
      </w:pPr>
    </w:p>
    <w:p w14:paraId="6D4EBA00" w14:textId="77777777" w:rsidR="004F4463" w:rsidRDefault="004F4463" w:rsidP="00BC27E9">
      <w:pPr>
        <w:pStyle w:val="EstilodePrrafoNormal1RdeC"/>
      </w:pPr>
    </w:p>
    <w:p w14:paraId="11F5E8FD" w14:textId="77777777" w:rsidR="004F4463" w:rsidRDefault="004F4463" w:rsidP="00BC27E9">
      <w:pPr>
        <w:pStyle w:val="EstilodePrrafoNormal1RdeC"/>
      </w:pPr>
    </w:p>
    <w:p w14:paraId="60358322" w14:textId="21F7DE6C"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lastRenderedPageBreak/>
        <w:t>Ejecución Física y Financiera por Proyectos de Inversión para el periodo enero-diciembre del año 2025</w:t>
      </w:r>
    </w:p>
    <w:p w14:paraId="650BD9C7" w14:textId="77777777" w:rsidR="00BC27E9" w:rsidRPr="00954407" w:rsidRDefault="00BC27E9" w:rsidP="00BC27E9">
      <w:pPr>
        <w:pStyle w:val="EstilodePrrafoNormal1RdeC"/>
      </w:pPr>
    </w:p>
    <w:p w14:paraId="12AEA001" w14:textId="45B18BDF" w:rsidR="00BC27E9" w:rsidRPr="00954407" w:rsidRDefault="00BC27E9" w:rsidP="00BC27E9">
      <w:pPr>
        <w:pStyle w:val="EstilodePrrafoNormal1RdeC"/>
      </w:pPr>
      <w:r w:rsidRPr="00954407">
        <w:t xml:space="preserve">Con el objetivo de administrar los recursos asignados en el Presupuesto de Inversión Pública del Estado, el Ministerio de Obras Públicas y Comunicaciones (MOPC), durante el periodo enero-diciembre del 2025, distribuyó los recursos acorde a los programas vigentes en el Sistema Nacional de Inversión Pública (SNIP) y a las metas de producción programadas para el logro de los objetivos, los mismos se registran en el Anexo C del presente documento, con el </w:t>
      </w:r>
      <w:r w:rsidR="004E3208" w:rsidRPr="00954407">
        <w:t>Índice</w:t>
      </w:r>
      <w:r w:rsidRPr="00954407">
        <w:t xml:space="preserve"> de Gestión Presupuestaria (IGP) correspondiente al referido periodo, integrando los indicadores de la producción programada para el año 2025, con la </w:t>
      </w:r>
      <w:r w:rsidR="004E3208" w:rsidRPr="00954407">
        <w:t>Línea</w:t>
      </w:r>
      <w:r w:rsidRPr="00954407">
        <w:t xml:space="preserve"> Base, los resultados de las metas logradas y los indicadores de eficacia en porcentajes (%) de los avances alcanzados hasta la última medición realizada en fecha 15 de diciembre del 2025. de la producción institucional del año fiscal vigente.</w:t>
      </w:r>
    </w:p>
    <w:p w14:paraId="503D11BE" w14:textId="77777777" w:rsidR="00BC27E9" w:rsidRPr="00954407" w:rsidRDefault="00BC27E9" w:rsidP="00BC27E9">
      <w:pPr>
        <w:pStyle w:val="EstilodePrrafoNormal1RdeC"/>
      </w:pPr>
    </w:p>
    <w:p w14:paraId="212EA0F9" w14:textId="77777777" w:rsidR="004E3208" w:rsidRPr="00755C02" w:rsidRDefault="004E3208" w:rsidP="00755C02">
      <w:pPr>
        <w:pStyle w:val="Heading3"/>
        <w:rPr>
          <w:b/>
          <w:bCs/>
          <w:color w:val="808080" w:themeColor="background1" w:themeShade="80"/>
          <w:sz w:val="24"/>
          <w:szCs w:val="24"/>
        </w:rPr>
      </w:pPr>
      <w:r w:rsidRPr="00755C02">
        <w:rPr>
          <w:b/>
          <w:bCs/>
          <w:color w:val="808080" w:themeColor="background1" w:themeShade="80"/>
          <w:sz w:val="24"/>
          <w:szCs w:val="24"/>
        </w:rPr>
        <w:t>Ingresos (Recaudaciones) por otros conceptos durante el año 2025</w:t>
      </w:r>
    </w:p>
    <w:p w14:paraId="14E22D60" w14:textId="77777777" w:rsidR="004E3208" w:rsidRPr="004E3208" w:rsidRDefault="004E3208" w:rsidP="004E3208">
      <w:pPr>
        <w:spacing w:after="160"/>
      </w:pPr>
    </w:p>
    <w:p w14:paraId="43F38933" w14:textId="77777777" w:rsidR="004E3208" w:rsidRPr="004E3208" w:rsidRDefault="004E3208" w:rsidP="004E3208">
      <w:pPr>
        <w:spacing w:after="160"/>
      </w:pPr>
      <w:r w:rsidRPr="004E3208">
        <w:t xml:space="preserve">El Ministerio de Obras Públicas y Comunicaciones (MOPC), recibió ingresos durante el periodo enero - diciembre del año 2025, por conceptos externos al presupuesto asignado a la institución para la ejecución fiscal del periodo citado, los cuales se describen a continuación: </w:t>
      </w:r>
    </w:p>
    <w:p w14:paraId="70E354BF" w14:textId="77777777" w:rsidR="004E3208" w:rsidRPr="004E3208" w:rsidRDefault="004E3208" w:rsidP="004E3208">
      <w:pPr>
        <w:spacing w:after="120"/>
      </w:pPr>
    </w:p>
    <w:p w14:paraId="5C3720D1" w14:textId="77777777" w:rsidR="004E3208" w:rsidRPr="004E3208" w:rsidRDefault="004E3208" w:rsidP="004E3208">
      <w:pPr>
        <w:numPr>
          <w:ilvl w:val="0"/>
          <w:numId w:val="238"/>
        </w:numPr>
        <w:spacing w:after="160" w:line="456" w:lineRule="auto"/>
      </w:pPr>
      <w:r w:rsidRPr="004E3208">
        <w:t>Ingresos por pagos en las estaciones de peajes como derecho de circulación por las principales carreteras de nuestro país;</w:t>
      </w:r>
    </w:p>
    <w:p w14:paraId="02E76B39" w14:textId="77777777" w:rsidR="004E3208" w:rsidRPr="004E3208" w:rsidRDefault="004E3208" w:rsidP="004E3208">
      <w:pPr>
        <w:numPr>
          <w:ilvl w:val="0"/>
          <w:numId w:val="238"/>
        </w:numPr>
        <w:spacing w:after="160" w:line="456" w:lineRule="auto"/>
      </w:pPr>
      <w:r w:rsidRPr="004E3208">
        <w:lastRenderedPageBreak/>
        <w:t>Ingresos por pagos de impuestos por servicios varios suministrados a la ciudadanía, tales como:</w:t>
      </w:r>
    </w:p>
    <w:p w14:paraId="030921D5" w14:textId="77777777" w:rsidR="004E3208" w:rsidRPr="004E3208" w:rsidRDefault="004E3208" w:rsidP="004E3208">
      <w:r w:rsidRPr="004E3208">
        <w:t xml:space="preserve"> </w:t>
      </w:r>
    </w:p>
    <w:p w14:paraId="10639DBC" w14:textId="77777777" w:rsidR="004E3208" w:rsidRPr="004E3208" w:rsidRDefault="004E3208" w:rsidP="004E3208">
      <w:pPr>
        <w:spacing w:after="160" w:line="456" w:lineRule="auto"/>
        <w:ind w:left="720" w:hanging="450"/>
      </w:pPr>
      <w:r w:rsidRPr="004E3208">
        <w:t>b.1 Pagos por adquisición de los Manuales y Reglamentos Técnicos que regulan el Diseño y Construcción de las obras en el área de la Ingeniería, Arquitectura y ramas afines;</w:t>
      </w:r>
    </w:p>
    <w:p w14:paraId="58A6E5FF" w14:textId="77777777" w:rsidR="004E3208" w:rsidRPr="004E3208" w:rsidRDefault="004E3208" w:rsidP="004E3208">
      <w:pPr>
        <w:spacing w:after="160" w:line="456" w:lineRule="auto"/>
        <w:ind w:left="720" w:hanging="450"/>
      </w:pPr>
      <w:r w:rsidRPr="004E3208">
        <w:t>b.2 Pagos por el derecho de las empresas y/o consorcios a participar en las diferentes modalidades de los procesos de Compras y Contrataciones (Licitaciones Públicas, Comparación de Precios, Captación Directa, entre otros);</w:t>
      </w:r>
    </w:p>
    <w:p w14:paraId="15D23C67" w14:textId="77777777" w:rsidR="004E3208" w:rsidRPr="004E3208" w:rsidRDefault="004E3208" w:rsidP="004E3208">
      <w:pPr>
        <w:spacing w:after="160" w:line="456" w:lineRule="auto"/>
        <w:ind w:left="720" w:hanging="450"/>
      </w:pPr>
      <w:r w:rsidRPr="004E3208">
        <w:t>b.3 Ingresos por Captación Directa: servicios de alquiler del Club Recreativo y Cultural del MOPC.</w:t>
      </w:r>
    </w:p>
    <w:p w14:paraId="3D63F7BC" w14:textId="77777777" w:rsidR="004E3208" w:rsidRPr="004E3208" w:rsidRDefault="004E3208" w:rsidP="004E3208">
      <w:pPr>
        <w:ind w:left="720"/>
      </w:pPr>
    </w:p>
    <w:p w14:paraId="3F23C99A" w14:textId="3B69E93E" w:rsidR="004E3208" w:rsidRPr="004E3208" w:rsidRDefault="004E3208" w:rsidP="004E3208">
      <w:pPr>
        <w:pStyle w:val="Estilo1-Vietas-Parrafo"/>
        <w:rPr>
          <w:szCs w:val="24"/>
        </w:rPr>
      </w:pPr>
      <w:r w:rsidRPr="004E3208">
        <w:rPr>
          <w:szCs w:val="24"/>
        </w:rPr>
        <w:t xml:space="preserve">Con respecto a los ingresos percibidos en el periodo enero – noviembre del año 2025, por concepto de las recaudaciones en las </w:t>
      </w:r>
      <w:r w:rsidRPr="004E3208">
        <w:t xml:space="preserve">dieciocho (18) estaciones de peaje en funcionamiento en el país, </w:t>
      </w:r>
      <w:r w:rsidRPr="004E3208">
        <w:rPr>
          <w:szCs w:val="24"/>
        </w:rPr>
        <w:t xml:space="preserve">gestionadas </w:t>
      </w:r>
      <w:r w:rsidRPr="004E3208">
        <w:t>a través de la Oficina Coordinadora General Fiducia RD-Vial del MOPC, se cuantificaron la suma de RD</w:t>
      </w:r>
      <w:r w:rsidRPr="004E3208">
        <w:rPr>
          <w:szCs w:val="24"/>
        </w:rPr>
        <w:t>$12,720,426,847.56 (</w:t>
      </w:r>
      <w:r>
        <w:rPr>
          <w:szCs w:val="24"/>
        </w:rPr>
        <w:t>Doce</w:t>
      </w:r>
      <w:r w:rsidRPr="004E3208">
        <w:rPr>
          <w:szCs w:val="24"/>
        </w:rPr>
        <w:t xml:space="preserve"> Mil </w:t>
      </w:r>
      <w:r>
        <w:rPr>
          <w:szCs w:val="24"/>
        </w:rPr>
        <w:t>Setecientos</w:t>
      </w:r>
      <w:r w:rsidRPr="004E3208">
        <w:rPr>
          <w:szCs w:val="24"/>
        </w:rPr>
        <w:t xml:space="preserve"> </w:t>
      </w:r>
      <w:r>
        <w:rPr>
          <w:szCs w:val="24"/>
        </w:rPr>
        <w:t>Veinte</w:t>
      </w:r>
      <w:r w:rsidRPr="004E3208">
        <w:rPr>
          <w:szCs w:val="24"/>
        </w:rPr>
        <w:t xml:space="preserve"> </w:t>
      </w:r>
      <w:r>
        <w:rPr>
          <w:szCs w:val="24"/>
        </w:rPr>
        <w:t xml:space="preserve"> Millones Cuatrocientos Veintiséis Mil Ochocientos Cuarenta y Siete</w:t>
      </w:r>
      <w:r w:rsidRPr="004E3208">
        <w:rPr>
          <w:szCs w:val="24"/>
        </w:rPr>
        <w:t xml:space="preserve"> </w:t>
      </w:r>
      <w:r>
        <w:rPr>
          <w:szCs w:val="24"/>
        </w:rPr>
        <w:t xml:space="preserve">Pesos </w:t>
      </w:r>
      <w:r w:rsidRPr="004E3208">
        <w:rPr>
          <w:szCs w:val="24"/>
        </w:rPr>
        <w:t xml:space="preserve">con </w:t>
      </w:r>
      <w:r>
        <w:rPr>
          <w:szCs w:val="24"/>
        </w:rPr>
        <w:t>56</w:t>
      </w:r>
      <w:r w:rsidRPr="004E3208">
        <w:rPr>
          <w:szCs w:val="24"/>
        </w:rPr>
        <w:t>/100)., ingresos que se detallan por estación de peaje, a continuación:</w:t>
      </w:r>
    </w:p>
    <w:p w14:paraId="3B9CC650" w14:textId="77777777" w:rsidR="00BC27E9" w:rsidRDefault="00BC27E9" w:rsidP="00BC27E9">
      <w:pPr>
        <w:pStyle w:val="EstilodePrrafoNormal1RdeC"/>
        <w:rPr>
          <w:lang w:val="es-DO"/>
        </w:rPr>
      </w:pPr>
    </w:p>
    <w:p w14:paraId="3B4C6252" w14:textId="77777777" w:rsidR="005D6D6C" w:rsidRPr="005D6D6C" w:rsidRDefault="005D6D6C" w:rsidP="005D6D6C">
      <w:pPr>
        <w:pStyle w:val="Heading3"/>
        <w:rPr>
          <w:b/>
          <w:bCs/>
          <w:color w:val="808080" w:themeColor="background1" w:themeShade="80"/>
          <w:sz w:val="24"/>
          <w:szCs w:val="24"/>
        </w:rPr>
      </w:pPr>
      <w:r w:rsidRPr="005D6D6C">
        <w:rPr>
          <w:b/>
          <w:bCs/>
          <w:color w:val="808080" w:themeColor="background1" w:themeShade="80"/>
          <w:sz w:val="24"/>
          <w:szCs w:val="24"/>
        </w:rPr>
        <w:t>Ingresos (Recaudaciones) por otros Conceptos</w:t>
      </w:r>
    </w:p>
    <w:p w14:paraId="7762E886" w14:textId="77777777" w:rsidR="005D6D6C" w:rsidRPr="004E3208" w:rsidRDefault="005D6D6C" w:rsidP="00BC27E9">
      <w:pPr>
        <w:pStyle w:val="EstilodePrrafoNormal1RdeC"/>
        <w:rPr>
          <w:lang w:val="es-DO"/>
        </w:rPr>
      </w:pPr>
    </w:p>
    <w:p w14:paraId="1E9BD4DC" w14:textId="77777777" w:rsidR="006371D9" w:rsidRPr="00954407" w:rsidRDefault="006371D9" w:rsidP="00BC27E9">
      <w:pPr>
        <w:pStyle w:val="EstilodePrrafoNormal1RdeC"/>
      </w:pPr>
    </w:p>
    <w:tbl>
      <w:tblPr>
        <w:tblpPr w:leftFromText="180" w:rightFromText="180" w:vertAnchor="text" w:horzAnchor="margin" w:tblpXSpec="center" w:tblpY="109"/>
        <w:tblW w:w="5838" w:type="pct"/>
        <w:tblLook w:val="04A0" w:firstRow="1" w:lastRow="0" w:firstColumn="1" w:lastColumn="0" w:noHBand="0" w:noVBand="1"/>
      </w:tblPr>
      <w:tblGrid>
        <w:gridCol w:w="3648"/>
        <w:gridCol w:w="3350"/>
        <w:gridCol w:w="2016"/>
        <w:gridCol w:w="222"/>
      </w:tblGrid>
      <w:tr w:rsidR="006371D9" w:rsidRPr="006371D9" w14:paraId="7D1CD214" w14:textId="77777777" w:rsidTr="006371D9">
        <w:trPr>
          <w:gridAfter w:val="1"/>
          <w:wAfter w:w="120" w:type="pct"/>
          <w:trHeight w:val="480"/>
          <w:tblHeader/>
        </w:trPr>
        <w:tc>
          <w:tcPr>
            <w:tcW w:w="1975"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28F6EE99" w14:textId="77777777" w:rsidR="006371D9" w:rsidRPr="006371D9" w:rsidRDefault="006371D9" w:rsidP="006371D9">
            <w:pPr>
              <w:spacing w:line="240" w:lineRule="auto"/>
              <w:jc w:val="center"/>
              <w:rPr>
                <w:rFonts w:eastAsia="Times New Roman" w:cs="Times New Roman"/>
                <w:b/>
                <w:bCs/>
                <w:color w:val="FFFFFF"/>
                <w:spacing w:val="0"/>
                <w:szCs w:val="24"/>
                <w:lang w:val="en-US"/>
              </w:rPr>
            </w:pPr>
            <w:r w:rsidRPr="006371D9">
              <w:rPr>
                <w:rFonts w:eastAsia="Times New Roman" w:cs="Times New Roman"/>
                <w:b/>
                <w:bCs/>
                <w:color w:val="FFFFFF"/>
                <w:spacing w:val="0"/>
                <w:szCs w:val="24"/>
                <w:lang w:val="en-US"/>
              </w:rPr>
              <w:lastRenderedPageBreak/>
              <w:t>REGION</w:t>
            </w:r>
          </w:p>
        </w:tc>
        <w:tc>
          <w:tcPr>
            <w:tcW w:w="1814" w:type="pct"/>
            <w:vMerge w:val="restart"/>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242C2A0E" w14:textId="77777777" w:rsidR="006371D9" w:rsidRPr="006371D9" w:rsidRDefault="006371D9" w:rsidP="006371D9">
            <w:pPr>
              <w:spacing w:line="240" w:lineRule="auto"/>
              <w:jc w:val="center"/>
              <w:rPr>
                <w:rFonts w:eastAsia="Times New Roman" w:cs="Times New Roman"/>
                <w:b/>
                <w:bCs/>
                <w:color w:val="FFFFFF"/>
                <w:spacing w:val="0"/>
                <w:szCs w:val="24"/>
                <w:lang w:val="en-US"/>
              </w:rPr>
            </w:pPr>
            <w:r w:rsidRPr="006371D9">
              <w:rPr>
                <w:rFonts w:eastAsia="Times New Roman" w:cs="Times New Roman"/>
                <w:b/>
                <w:bCs/>
                <w:color w:val="FFFFFF"/>
                <w:spacing w:val="0"/>
                <w:szCs w:val="24"/>
                <w:lang w:val="en-US"/>
              </w:rPr>
              <w:t>ESTACIONES DE PEAJES</w:t>
            </w:r>
          </w:p>
        </w:tc>
        <w:tc>
          <w:tcPr>
            <w:tcW w:w="1091" w:type="pct"/>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4D5626D7" w14:textId="77777777" w:rsidR="006371D9" w:rsidRPr="006371D9" w:rsidRDefault="006371D9" w:rsidP="006371D9">
            <w:pPr>
              <w:spacing w:line="240" w:lineRule="auto"/>
              <w:jc w:val="center"/>
              <w:rPr>
                <w:rFonts w:eastAsia="Times New Roman" w:cs="Times New Roman"/>
                <w:b/>
                <w:bCs/>
                <w:color w:val="FFFFFF"/>
                <w:spacing w:val="0"/>
                <w:szCs w:val="24"/>
              </w:rPr>
            </w:pPr>
            <w:r w:rsidRPr="006371D9">
              <w:rPr>
                <w:rFonts w:eastAsia="Times New Roman" w:cs="Times New Roman"/>
                <w:b/>
                <w:bCs/>
                <w:color w:val="FFFFFF"/>
                <w:spacing w:val="0"/>
                <w:szCs w:val="24"/>
              </w:rPr>
              <w:t>INGRESOS POR COBRO DE PEAJE (RD$)</w:t>
            </w:r>
          </w:p>
        </w:tc>
      </w:tr>
      <w:tr w:rsidR="006371D9" w:rsidRPr="006371D9" w14:paraId="3F6F0205" w14:textId="77777777" w:rsidTr="006371D9">
        <w:trPr>
          <w:trHeight w:val="290"/>
          <w:tblHeader/>
        </w:trPr>
        <w:tc>
          <w:tcPr>
            <w:tcW w:w="1975" w:type="pct"/>
            <w:vMerge/>
            <w:tcBorders>
              <w:top w:val="single" w:sz="4" w:space="0" w:color="auto"/>
              <w:left w:val="single" w:sz="4" w:space="0" w:color="auto"/>
              <w:bottom w:val="single" w:sz="4" w:space="0" w:color="auto"/>
              <w:right w:val="single" w:sz="4" w:space="0" w:color="auto"/>
            </w:tcBorders>
            <w:vAlign w:val="center"/>
            <w:hideMark/>
          </w:tcPr>
          <w:p w14:paraId="55B45083" w14:textId="77777777" w:rsidR="006371D9" w:rsidRPr="006371D9" w:rsidRDefault="006371D9" w:rsidP="006371D9">
            <w:pPr>
              <w:spacing w:line="240" w:lineRule="auto"/>
              <w:jc w:val="left"/>
              <w:rPr>
                <w:rFonts w:eastAsia="Times New Roman" w:cs="Times New Roman"/>
                <w:b/>
                <w:bCs/>
                <w:color w:val="FFFFFF"/>
                <w:spacing w:val="0"/>
                <w:szCs w:val="24"/>
              </w:rPr>
            </w:pPr>
          </w:p>
        </w:tc>
        <w:tc>
          <w:tcPr>
            <w:tcW w:w="1814" w:type="pct"/>
            <w:vMerge/>
            <w:tcBorders>
              <w:top w:val="single" w:sz="4" w:space="0" w:color="auto"/>
              <w:left w:val="single" w:sz="4" w:space="0" w:color="auto"/>
              <w:bottom w:val="single" w:sz="4" w:space="0" w:color="auto"/>
              <w:right w:val="single" w:sz="4" w:space="0" w:color="auto"/>
            </w:tcBorders>
            <w:vAlign w:val="center"/>
            <w:hideMark/>
          </w:tcPr>
          <w:p w14:paraId="01818630" w14:textId="77777777" w:rsidR="006371D9" w:rsidRPr="006371D9" w:rsidRDefault="006371D9" w:rsidP="006371D9">
            <w:pPr>
              <w:spacing w:line="240" w:lineRule="auto"/>
              <w:jc w:val="left"/>
              <w:rPr>
                <w:rFonts w:eastAsia="Times New Roman" w:cs="Times New Roman"/>
                <w:b/>
                <w:bCs/>
                <w:color w:val="FFFFFF"/>
                <w:spacing w:val="0"/>
                <w:szCs w:val="24"/>
              </w:rPr>
            </w:pPr>
          </w:p>
        </w:tc>
        <w:tc>
          <w:tcPr>
            <w:tcW w:w="1091" w:type="pct"/>
            <w:vMerge/>
            <w:tcBorders>
              <w:top w:val="single" w:sz="4" w:space="0" w:color="auto"/>
              <w:left w:val="single" w:sz="4" w:space="0" w:color="auto"/>
              <w:bottom w:val="single" w:sz="4" w:space="0" w:color="auto"/>
              <w:right w:val="single" w:sz="4" w:space="0" w:color="auto"/>
            </w:tcBorders>
            <w:vAlign w:val="center"/>
            <w:hideMark/>
          </w:tcPr>
          <w:p w14:paraId="610595AF" w14:textId="77777777" w:rsidR="006371D9" w:rsidRPr="006371D9" w:rsidRDefault="006371D9" w:rsidP="006371D9">
            <w:pPr>
              <w:spacing w:line="240" w:lineRule="auto"/>
              <w:jc w:val="left"/>
              <w:rPr>
                <w:rFonts w:eastAsia="Times New Roman" w:cs="Times New Roman"/>
                <w:b/>
                <w:bCs/>
                <w:color w:val="FFFFFF"/>
                <w:spacing w:val="0"/>
                <w:szCs w:val="24"/>
              </w:rPr>
            </w:pPr>
          </w:p>
        </w:tc>
        <w:tc>
          <w:tcPr>
            <w:tcW w:w="120" w:type="pct"/>
            <w:tcBorders>
              <w:top w:val="nil"/>
              <w:left w:val="nil"/>
              <w:bottom w:val="nil"/>
              <w:right w:val="nil"/>
            </w:tcBorders>
            <w:noWrap/>
            <w:vAlign w:val="bottom"/>
            <w:hideMark/>
          </w:tcPr>
          <w:p w14:paraId="2E4C47E6" w14:textId="77777777" w:rsidR="006371D9" w:rsidRPr="006371D9" w:rsidRDefault="006371D9" w:rsidP="006371D9">
            <w:pPr>
              <w:spacing w:line="240" w:lineRule="auto"/>
              <w:jc w:val="center"/>
              <w:rPr>
                <w:rFonts w:eastAsia="Times New Roman" w:cs="Times New Roman"/>
                <w:b/>
                <w:bCs/>
                <w:color w:val="FFFFFF"/>
                <w:spacing w:val="0"/>
                <w:szCs w:val="24"/>
              </w:rPr>
            </w:pPr>
          </w:p>
        </w:tc>
      </w:tr>
      <w:tr w:rsidR="006371D9" w:rsidRPr="006371D9" w14:paraId="151D6B85" w14:textId="77777777" w:rsidTr="006371D9">
        <w:trPr>
          <w:trHeight w:val="403"/>
        </w:trPr>
        <w:tc>
          <w:tcPr>
            <w:tcW w:w="1975" w:type="pct"/>
            <w:vMerge w:val="restart"/>
            <w:tcBorders>
              <w:top w:val="nil"/>
              <w:left w:val="single" w:sz="4" w:space="0" w:color="auto"/>
              <w:bottom w:val="single" w:sz="4" w:space="0" w:color="auto"/>
              <w:right w:val="single" w:sz="4" w:space="0" w:color="auto"/>
            </w:tcBorders>
            <w:shd w:val="clear" w:color="000000" w:fill="203764"/>
            <w:vAlign w:val="center"/>
            <w:hideMark/>
          </w:tcPr>
          <w:p w14:paraId="20AD4DE3" w14:textId="77777777" w:rsidR="006371D9" w:rsidRPr="006371D9" w:rsidRDefault="006371D9" w:rsidP="006371D9">
            <w:pPr>
              <w:spacing w:line="240" w:lineRule="auto"/>
              <w:jc w:val="center"/>
              <w:rPr>
                <w:rFonts w:eastAsia="Times New Roman" w:cs="Times New Roman"/>
                <w:color w:val="FFFFFF"/>
                <w:spacing w:val="0"/>
                <w:szCs w:val="24"/>
                <w:lang w:val="en-US"/>
              </w:rPr>
            </w:pPr>
            <w:r w:rsidRPr="006371D9">
              <w:rPr>
                <w:rFonts w:eastAsia="Times New Roman" w:cs="Times New Roman"/>
                <w:color w:val="FFFFFF"/>
                <w:spacing w:val="0"/>
                <w:szCs w:val="24"/>
                <w:lang w:val="en-US"/>
              </w:rPr>
              <w:t>OZAMA O METROPOLITANA</w:t>
            </w:r>
          </w:p>
        </w:tc>
        <w:tc>
          <w:tcPr>
            <w:tcW w:w="1814" w:type="pct"/>
            <w:tcBorders>
              <w:top w:val="nil"/>
              <w:left w:val="nil"/>
              <w:bottom w:val="single" w:sz="4" w:space="0" w:color="auto"/>
              <w:right w:val="single" w:sz="4" w:space="0" w:color="auto"/>
            </w:tcBorders>
            <w:noWrap/>
            <w:vAlign w:val="center"/>
            <w:hideMark/>
          </w:tcPr>
          <w:p w14:paraId="3391CFAA"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LAS AMERICAS</w:t>
            </w:r>
          </w:p>
        </w:tc>
        <w:tc>
          <w:tcPr>
            <w:tcW w:w="1091" w:type="pct"/>
            <w:tcBorders>
              <w:top w:val="nil"/>
              <w:left w:val="nil"/>
              <w:bottom w:val="single" w:sz="4" w:space="0" w:color="auto"/>
              <w:right w:val="single" w:sz="4" w:space="0" w:color="auto"/>
            </w:tcBorders>
            <w:noWrap/>
            <w:vAlign w:val="center"/>
            <w:hideMark/>
          </w:tcPr>
          <w:p w14:paraId="7BD86A32"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1,287,829,380.42</w:t>
            </w:r>
          </w:p>
        </w:tc>
        <w:tc>
          <w:tcPr>
            <w:tcW w:w="120" w:type="pct"/>
            <w:vAlign w:val="center"/>
            <w:hideMark/>
          </w:tcPr>
          <w:p w14:paraId="386EFE45"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49EDB002"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24B2879D"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700951A6"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DUARTE</w:t>
            </w:r>
          </w:p>
        </w:tc>
        <w:tc>
          <w:tcPr>
            <w:tcW w:w="1091" w:type="pct"/>
            <w:tcBorders>
              <w:top w:val="nil"/>
              <w:left w:val="nil"/>
              <w:bottom w:val="single" w:sz="4" w:space="0" w:color="auto"/>
              <w:right w:val="single" w:sz="4" w:space="0" w:color="auto"/>
            </w:tcBorders>
            <w:noWrap/>
            <w:vAlign w:val="center"/>
            <w:hideMark/>
          </w:tcPr>
          <w:p w14:paraId="308E2F50"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1,534,959,280.42</w:t>
            </w:r>
          </w:p>
        </w:tc>
        <w:tc>
          <w:tcPr>
            <w:tcW w:w="120" w:type="pct"/>
            <w:vAlign w:val="center"/>
            <w:hideMark/>
          </w:tcPr>
          <w:p w14:paraId="59B9DA04"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28DA6F10"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3E860D6D"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37BDDA20"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SANCHEZ</w:t>
            </w:r>
          </w:p>
        </w:tc>
        <w:tc>
          <w:tcPr>
            <w:tcW w:w="1091" w:type="pct"/>
            <w:tcBorders>
              <w:top w:val="nil"/>
              <w:left w:val="nil"/>
              <w:bottom w:val="single" w:sz="4" w:space="0" w:color="auto"/>
              <w:right w:val="single" w:sz="4" w:space="0" w:color="auto"/>
            </w:tcBorders>
            <w:noWrap/>
            <w:vAlign w:val="center"/>
            <w:hideMark/>
          </w:tcPr>
          <w:p w14:paraId="0965DB10"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921,040,480.42</w:t>
            </w:r>
          </w:p>
        </w:tc>
        <w:tc>
          <w:tcPr>
            <w:tcW w:w="120" w:type="pct"/>
            <w:vAlign w:val="center"/>
            <w:hideMark/>
          </w:tcPr>
          <w:p w14:paraId="2391BBB2"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6A38FF79"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5EE372A8"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56B27990"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6 DE NOVIEMBRE</w:t>
            </w:r>
          </w:p>
        </w:tc>
        <w:tc>
          <w:tcPr>
            <w:tcW w:w="1091" w:type="pct"/>
            <w:tcBorders>
              <w:top w:val="nil"/>
              <w:left w:val="nil"/>
              <w:bottom w:val="single" w:sz="4" w:space="0" w:color="auto"/>
              <w:right w:val="single" w:sz="4" w:space="0" w:color="auto"/>
            </w:tcBorders>
            <w:noWrap/>
            <w:vAlign w:val="center"/>
            <w:hideMark/>
          </w:tcPr>
          <w:p w14:paraId="17EE5DAF"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346,357,880.42</w:t>
            </w:r>
          </w:p>
        </w:tc>
        <w:tc>
          <w:tcPr>
            <w:tcW w:w="120" w:type="pct"/>
            <w:vAlign w:val="center"/>
            <w:hideMark/>
          </w:tcPr>
          <w:p w14:paraId="2E8CCA48"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4C1F0938"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27ADC490"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505A889A"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CIRCUNV. JUAN BOSCH I</w:t>
            </w:r>
          </w:p>
        </w:tc>
        <w:tc>
          <w:tcPr>
            <w:tcW w:w="1091" w:type="pct"/>
            <w:tcBorders>
              <w:top w:val="nil"/>
              <w:left w:val="nil"/>
              <w:bottom w:val="single" w:sz="4" w:space="0" w:color="auto"/>
              <w:right w:val="single" w:sz="4" w:space="0" w:color="auto"/>
            </w:tcBorders>
            <w:noWrap/>
            <w:vAlign w:val="center"/>
            <w:hideMark/>
          </w:tcPr>
          <w:p w14:paraId="3C374FF1"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728,685,580.42</w:t>
            </w:r>
          </w:p>
        </w:tc>
        <w:tc>
          <w:tcPr>
            <w:tcW w:w="120" w:type="pct"/>
            <w:vAlign w:val="center"/>
            <w:hideMark/>
          </w:tcPr>
          <w:p w14:paraId="31029BC8"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14AC8DE5"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5DB180B5"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7DA39803"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CIRCUNV. JUAN BOSCH II</w:t>
            </w:r>
          </w:p>
        </w:tc>
        <w:tc>
          <w:tcPr>
            <w:tcW w:w="1091" w:type="pct"/>
            <w:tcBorders>
              <w:top w:val="nil"/>
              <w:left w:val="nil"/>
              <w:bottom w:val="single" w:sz="4" w:space="0" w:color="auto"/>
              <w:right w:val="single" w:sz="4" w:space="0" w:color="auto"/>
            </w:tcBorders>
            <w:noWrap/>
            <w:vAlign w:val="center"/>
            <w:hideMark/>
          </w:tcPr>
          <w:p w14:paraId="080B9963"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1,033,430,580.42</w:t>
            </w:r>
          </w:p>
        </w:tc>
        <w:tc>
          <w:tcPr>
            <w:tcW w:w="120" w:type="pct"/>
            <w:vAlign w:val="center"/>
            <w:hideMark/>
          </w:tcPr>
          <w:p w14:paraId="40082CD4"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319EEEF0"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3ACC4B9B"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4A7D42BD"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CIRCUNV. JUAN BOSCH II-B</w:t>
            </w:r>
          </w:p>
        </w:tc>
        <w:tc>
          <w:tcPr>
            <w:tcW w:w="1091" w:type="pct"/>
            <w:tcBorders>
              <w:top w:val="nil"/>
              <w:left w:val="nil"/>
              <w:bottom w:val="single" w:sz="4" w:space="0" w:color="auto"/>
              <w:right w:val="single" w:sz="4" w:space="0" w:color="auto"/>
            </w:tcBorders>
            <w:noWrap/>
            <w:vAlign w:val="center"/>
            <w:hideMark/>
          </w:tcPr>
          <w:p w14:paraId="427626CD"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1,008,480,380.42</w:t>
            </w:r>
          </w:p>
        </w:tc>
        <w:tc>
          <w:tcPr>
            <w:tcW w:w="120" w:type="pct"/>
            <w:vAlign w:val="center"/>
            <w:hideMark/>
          </w:tcPr>
          <w:p w14:paraId="49BB4DA7"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2FC189AD"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39413CE9"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16CA9AAD"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ECOLOGICA</w:t>
            </w:r>
          </w:p>
        </w:tc>
        <w:tc>
          <w:tcPr>
            <w:tcW w:w="1091" w:type="pct"/>
            <w:tcBorders>
              <w:top w:val="nil"/>
              <w:left w:val="nil"/>
              <w:bottom w:val="single" w:sz="4" w:space="0" w:color="auto"/>
              <w:right w:val="single" w:sz="4" w:space="0" w:color="auto"/>
            </w:tcBorders>
            <w:noWrap/>
            <w:vAlign w:val="center"/>
            <w:hideMark/>
          </w:tcPr>
          <w:p w14:paraId="759CA521"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751,450,880.42</w:t>
            </w:r>
          </w:p>
        </w:tc>
        <w:tc>
          <w:tcPr>
            <w:tcW w:w="120" w:type="pct"/>
            <w:vAlign w:val="center"/>
            <w:hideMark/>
          </w:tcPr>
          <w:p w14:paraId="1577CB5E"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263499D2" w14:textId="77777777" w:rsidTr="006371D9">
        <w:trPr>
          <w:trHeight w:val="403"/>
        </w:trPr>
        <w:tc>
          <w:tcPr>
            <w:tcW w:w="1975" w:type="pct"/>
            <w:vMerge w:val="restart"/>
            <w:tcBorders>
              <w:top w:val="nil"/>
              <w:left w:val="single" w:sz="4" w:space="0" w:color="auto"/>
              <w:bottom w:val="single" w:sz="4" w:space="0" w:color="auto"/>
              <w:right w:val="single" w:sz="4" w:space="0" w:color="auto"/>
            </w:tcBorders>
            <w:shd w:val="clear" w:color="000000" w:fill="203764"/>
            <w:vAlign w:val="center"/>
            <w:hideMark/>
          </w:tcPr>
          <w:p w14:paraId="2ECB71FD" w14:textId="77777777" w:rsidR="006371D9" w:rsidRPr="006371D9" w:rsidRDefault="006371D9" w:rsidP="006371D9">
            <w:pPr>
              <w:spacing w:line="240" w:lineRule="auto"/>
              <w:jc w:val="center"/>
              <w:rPr>
                <w:rFonts w:eastAsia="Times New Roman" w:cs="Times New Roman"/>
                <w:color w:val="FFFFFF"/>
                <w:spacing w:val="0"/>
                <w:szCs w:val="24"/>
                <w:lang w:val="en-US"/>
              </w:rPr>
            </w:pPr>
            <w:r w:rsidRPr="006371D9">
              <w:rPr>
                <w:rFonts w:eastAsia="Times New Roman" w:cs="Times New Roman"/>
                <w:color w:val="FFFFFF"/>
                <w:spacing w:val="0"/>
                <w:szCs w:val="24"/>
                <w:lang w:val="en-US"/>
              </w:rPr>
              <w:t>YUMA</w:t>
            </w:r>
          </w:p>
        </w:tc>
        <w:tc>
          <w:tcPr>
            <w:tcW w:w="1814" w:type="pct"/>
            <w:tcBorders>
              <w:top w:val="nil"/>
              <w:left w:val="nil"/>
              <w:bottom w:val="single" w:sz="4" w:space="0" w:color="auto"/>
              <w:right w:val="single" w:sz="4" w:space="0" w:color="auto"/>
            </w:tcBorders>
            <w:noWrap/>
            <w:vAlign w:val="center"/>
            <w:hideMark/>
          </w:tcPr>
          <w:p w14:paraId="4DE0BCF8"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CORAL I</w:t>
            </w:r>
          </w:p>
        </w:tc>
        <w:tc>
          <w:tcPr>
            <w:tcW w:w="1091" w:type="pct"/>
            <w:tcBorders>
              <w:top w:val="nil"/>
              <w:left w:val="nil"/>
              <w:bottom w:val="single" w:sz="4" w:space="0" w:color="auto"/>
              <w:right w:val="single" w:sz="4" w:space="0" w:color="auto"/>
            </w:tcBorders>
            <w:noWrap/>
            <w:vAlign w:val="center"/>
            <w:hideMark/>
          </w:tcPr>
          <w:p w14:paraId="41BE4990"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786,039,680.42</w:t>
            </w:r>
          </w:p>
        </w:tc>
        <w:tc>
          <w:tcPr>
            <w:tcW w:w="120" w:type="pct"/>
            <w:vAlign w:val="center"/>
            <w:hideMark/>
          </w:tcPr>
          <w:p w14:paraId="3C19007D"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4B83128C"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4AFDE208"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08D53775"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CORAL II</w:t>
            </w:r>
          </w:p>
        </w:tc>
        <w:tc>
          <w:tcPr>
            <w:tcW w:w="1091" w:type="pct"/>
            <w:tcBorders>
              <w:top w:val="nil"/>
              <w:left w:val="nil"/>
              <w:bottom w:val="single" w:sz="4" w:space="0" w:color="auto"/>
              <w:right w:val="single" w:sz="4" w:space="0" w:color="auto"/>
            </w:tcBorders>
            <w:noWrap/>
            <w:vAlign w:val="center"/>
            <w:hideMark/>
          </w:tcPr>
          <w:p w14:paraId="76BD4237"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743,760,080.42</w:t>
            </w:r>
          </w:p>
        </w:tc>
        <w:tc>
          <w:tcPr>
            <w:tcW w:w="120" w:type="pct"/>
            <w:vAlign w:val="center"/>
            <w:hideMark/>
          </w:tcPr>
          <w:p w14:paraId="55A23975"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1565C13A"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7E6B64EA"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790B5FF6"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LA ROMANA</w:t>
            </w:r>
          </w:p>
        </w:tc>
        <w:tc>
          <w:tcPr>
            <w:tcW w:w="1091" w:type="pct"/>
            <w:tcBorders>
              <w:top w:val="nil"/>
              <w:left w:val="nil"/>
              <w:bottom w:val="single" w:sz="4" w:space="0" w:color="auto"/>
              <w:right w:val="single" w:sz="4" w:space="0" w:color="auto"/>
            </w:tcBorders>
            <w:noWrap/>
            <w:vAlign w:val="center"/>
            <w:hideMark/>
          </w:tcPr>
          <w:p w14:paraId="446D636B"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701,217,580.42</w:t>
            </w:r>
          </w:p>
        </w:tc>
        <w:tc>
          <w:tcPr>
            <w:tcW w:w="120" w:type="pct"/>
            <w:vAlign w:val="center"/>
            <w:hideMark/>
          </w:tcPr>
          <w:p w14:paraId="338BCDDF"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5EAB6665" w14:textId="77777777" w:rsidTr="006371D9">
        <w:trPr>
          <w:trHeight w:val="403"/>
        </w:trPr>
        <w:tc>
          <w:tcPr>
            <w:tcW w:w="1975" w:type="pct"/>
            <w:tcBorders>
              <w:top w:val="nil"/>
              <w:left w:val="single" w:sz="4" w:space="0" w:color="auto"/>
              <w:bottom w:val="single" w:sz="4" w:space="0" w:color="auto"/>
              <w:right w:val="single" w:sz="4" w:space="0" w:color="auto"/>
            </w:tcBorders>
            <w:shd w:val="clear" w:color="000000" w:fill="203764"/>
            <w:noWrap/>
            <w:vAlign w:val="center"/>
            <w:hideMark/>
          </w:tcPr>
          <w:p w14:paraId="7BB2800B" w14:textId="77777777" w:rsidR="006371D9" w:rsidRPr="006371D9" w:rsidRDefault="006371D9" w:rsidP="006371D9">
            <w:pPr>
              <w:spacing w:line="240" w:lineRule="auto"/>
              <w:jc w:val="center"/>
              <w:rPr>
                <w:rFonts w:eastAsia="Times New Roman" w:cs="Times New Roman"/>
                <w:color w:val="FFFFFF"/>
                <w:spacing w:val="0"/>
                <w:szCs w:val="24"/>
                <w:lang w:val="en-US"/>
              </w:rPr>
            </w:pPr>
            <w:r w:rsidRPr="006371D9">
              <w:rPr>
                <w:rFonts w:eastAsia="Times New Roman" w:cs="Times New Roman"/>
                <w:color w:val="FFFFFF"/>
                <w:spacing w:val="0"/>
                <w:szCs w:val="24"/>
                <w:lang w:val="en-US"/>
              </w:rPr>
              <w:t>CIBAO NORTE</w:t>
            </w:r>
          </w:p>
        </w:tc>
        <w:tc>
          <w:tcPr>
            <w:tcW w:w="1814" w:type="pct"/>
            <w:tcBorders>
              <w:top w:val="nil"/>
              <w:left w:val="nil"/>
              <w:bottom w:val="single" w:sz="4" w:space="0" w:color="auto"/>
              <w:right w:val="single" w:sz="4" w:space="0" w:color="auto"/>
            </w:tcBorders>
            <w:noWrap/>
            <w:vAlign w:val="center"/>
            <w:hideMark/>
          </w:tcPr>
          <w:p w14:paraId="09E72C1F"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CIRCUNV. SANTIAGO</w:t>
            </w:r>
          </w:p>
        </w:tc>
        <w:tc>
          <w:tcPr>
            <w:tcW w:w="1091" w:type="pct"/>
            <w:tcBorders>
              <w:top w:val="nil"/>
              <w:left w:val="nil"/>
              <w:bottom w:val="single" w:sz="4" w:space="0" w:color="auto"/>
              <w:right w:val="single" w:sz="4" w:space="0" w:color="auto"/>
            </w:tcBorders>
            <w:noWrap/>
            <w:vAlign w:val="center"/>
            <w:hideMark/>
          </w:tcPr>
          <w:p w14:paraId="04945A23"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642,810,280.42</w:t>
            </w:r>
          </w:p>
        </w:tc>
        <w:tc>
          <w:tcPr>
            <w:tcW w:w="120" w:type="pct"/>
            <w:vAlign w:val="center"/>
            <w:hideMark/>
          </w:tcPr>
          <w:p w14:paraId="4A529F05"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2E70806A" w14:textId="77777777" w:rsidTr="006371D9">
        <w:trPr>
          <w:trHeight w:val="403"/>
        </w:trPr>
        <w:tc>
          <w:tcPr>
            <w:tcW w:w="1975" w:type="pct"/>
            <w:vMerge w:val="restart"/>
            <w:tcBorders>
              <w:top w:val="nil"/>
              <w:left w:val="single" w:sz="4" w:space="0" w:color="auto"/>
              <w:bottom w:val="single" w:sz="4" w:space="0" w:color="auto"/>
              <w:right w:val="single" w:sz="4" w:space="0" w:color="auto"/>
            </w:tcBorders>
            <w:shd w:val="clear" w:color="000000" w:fill="203764"/>
            <w:vAlign w:val="center"/>
            <w:hideMark/>
          </w:tcPr>
          <w:p w14:paraId="708419E3" w14:textId="77777777" w:rsidR="006371D9" w:rsidRPr="006371D9" w:rsidRDefault="006371D9" w:rsidP="006371D9">
            <w:pPr>
              <w:spacing w:line="240" w:lineRule="auto"/>
              <w:jc w:val="center"/>
              <w:rPr>
                <w:rFonts w:eastAsia="Times New Roman" w:cs="Times New Roman"/>
                <w:color w:val="FFFFFF"/>
                <w:spacing w:val="0"/>
                <w:szCs w:val="24"/>
                <w:lang w:val="en-US"/>
              </w:rPr>
            </w:pPr>
            <w:r w:rsidRPr="006371D9">
              <w:rPr>
                <w:rFonts w:eastAsia="Times New Roman" w:cs="Times New Roman"/>
                <w:color w:val="FFFFFF"/>
                <w:spacing w:val="0"/>
                <w:szCs w:val="24"/>
                <w:lang w:val="en-US"/>
              </w:rPr>
              <w:t>NORDESTE</w:t>
            </w:r>
          </w:p>
        </w:tc>
        <w:tc>
          <w:tcPr>
            <w:tcW w:w="1814" w:type="pct"/>
            <w:tcBorders>
              <w:top w:val="nil"/>
              <w:left w:val="nil"/>
              <w:bottom w:val="single" w:sz="4" w:space="0" w:color="auto"/>
              <w:right w:val="single" w:sz="4" w:space="0" w:color="auto"/>
            </w:tcBorders>
            <w:noWrap/>
            <w:vAlign w:val="center"/>
            <w:hideMark/>
          </w:tcPr>
          <w:p w14:paraId="16E21A92"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MARBELLA</w:t>
            </w:r>
          </w:p>
        </w:tc>
        <w:tc>
          <w:tcPr>
            <w:tcW w:w="1091" w:type="pct"/>
            <w:tcBorders>
              <w:top w:val="nil"/>
              <w:left w:val="nil"/>
              <w:bottom w:val="single" w:sz="4" w:space="0" w:color="auto"/>
              <w:right w:val="single" w:sz="4" w:space="0" w:color="auto"/>
            </w:tcBorders>
            <w:noWrap/>
            <w:vAlign w:val="center"/>
            <w:hideMark/>
          </w:tcPr>
          <w:p w14:paraId="7B220550"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387,139,680.42</w:t>
            </w:r>
          </w:p>
        </w:tc>
        <w:tc>
          <w:tcPr>
            <w:tcW w:w="120" w:type="pct"/>
            <w:vAlign w:val="center"/>
            <w:hideMark/>
          </w:tcPr>
          <w:p w14:paraId="6332C9B1"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398F2947"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2CFB38AD"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3CBA1A57"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NARANJAL</w:t>
            </w:r>
          </w:p>
        </w:tc>
        <w:tc>
          <w:tcPr>
            <w:tcW w:w="1091" w:type="pct"/>
            <w:tcBorders>
              <w:top w:val="nil"/>
              <w:left w:val="nil"/>
              <w:bottom w:val="single" w:sz="4" w:space="0" w:color="auto"/>
              <w:right w:val="single" w:sz="4" w:space="0" w:color="auto"/>
            </w:tcBorders>
            <w:noWrap/>
            <w:vAlign w:val="center"/>
            <w:hideMark/>
          </w:tcPr>
          <w:p w14:paraId="4A915F1C"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625,641,380.42</w:t>
            </w:r>
          </w:p>
        </w:tc>
        <w:tc>
          <w:tcPr>
            <w:tcW w:w="120" w:type="pct"/>
            <w:vAlign w:val="center"/>
            <w:hideMark/>
          </w:tcPr>
          <w:p w14:paraId="45FA9767"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1F2080D7"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442F60FC"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68A8755E"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GUARAGUAO</w:t>
            </w:r>
          </w:p>
        </w:tc>
        <w:tc>
          <w:tcPr>
            <w:tcW w:w="1091" w:type="pct"/>
            <w:tcBorders>
              <w:top w:val="nil"/>
              <w:left w:val="nil"/>
              <w:bottom w:val="single" w:sz="4" w:space="0" w:color="auto"/>
              <w:right w:val="single" w:sz="4" w:space="0" w:color="auto"/>
            </w:tcBorders>
            <w:noWrap/>
            <w:vAlign w:val="center"/>
            <w:hideMark/>
          </w:tcPr>
          <w:p w14:paraId="21AB7E7A"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413,686,580.42</w:t>
            </w:r>
          </w:p>
        </w:tc>
        <w:tc>
          <w:tcPr>
            <w:tcW w:w="120" w:type="pct"/>
            <w:vAlign w:val="center"/>
            <w:hideMark/>
          </w:tcPr>
          <w:p w14:paraId="4B1FD44E"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4F641B51"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3CFB7D0A"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16F8C6AC"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CATEY</w:t>
            </w:r>
          </w:p>
        </w:tc>
        <w:tc>
          <w:tcPr>
            <w:tcW w:w="1091" w:type="pct"/>
            <w:tcBorders>
              <w:top w:val="nil"/>
              <w:left w:val="nil"/>
              <w:bottom w:val="single" w:sz="4" w:space="0" w:color="auto"/>
              <w:right w:val="single" w:sz="4" w:space="0" w:color="auto"/>
            </w:tcBorders>
            <w:noWrap/>
            <w:vAlign w:val="center"/>
            <w:hideMark/>
          </w:tcPr>
          <w:p w14:paraId="60EA6663"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334,785,480.42</w:t>
            </w:r>
          </w:p>
        </w:tc>
        <w:tc>
          <w:tcPr>
            <w:tcW w:w="120" w:type="pct"/>
            <w:vAlign w:val="center"/>
            <w:hideMark/>
          </w:tcPr>
          <w:p w14:paraId="1B66BCC2"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5BF66F33" w14:textId="77777777" w:rsidTr="006371D9">
        <w:trPr>
          <w:trHeight w:val="403"/>
        </w:trPr>
        <w:tc>
          <w:tcPr>
            <w:tcW w:w="1975" w:type="pct"/>
            <w:vMerge w:val="restart"/>
            <w:tcBorders>
              <w:top w:val="nil"/>
              <w:left w:val="single" w:sz="4" w:space="0" w:color="auto"/>
              <w:bottom w:val="single" w:sz="4" w:space="0" w:color="auto"/>
              <w:right w:val="single" w:sz="4" w:space="0" w:color="auto"/>
            </w:tcBorders>
            <w:shd w:val="clear" w:color="000000" w:fill="203764"/>
            <w:vAlign w:val="center"/>
            <w:hideMark/>
          </w:tcPr>
          <w:p w14:paraId="4E78DF25" w14:textId="77777777" w:rsidR="006371D9" w:rsidRPr="006371D9" w:rsidRDefault="006371D9" w:rsidP="006371D9">
            <w:pPr>
              <w:spacing w:line="240" w:lineRule="auto"/>
              <w:jc w:val="center"/>
              <w:rPr>
                <w:rFonts w:eastAsia="Times New Roman" w:cs="Times New Roman"/>
                <w:color w:val="FFFFFF"/>
                <w:spacing w:val="0"/>
                <w:szCs w:val="24"/>
                <w:lang w:val="en-US"/>
              </w:rPr>
            </w:pPr>
            <w:r w:rsidRPr="006371D9">
              <w:rPr>
                <w:rFonts w:eastAsia="Times New Roman" w:cs="Times New Roman"/>
                <w:color w:val="FFFFFF"/>
                <w:spacing w:val="0"/>
                <w:szCs w:val="24"/>
                <w:lang w:val="en-US"/>
              </w:rPr>
              <w:t>SUR</w:t>
            </w:r>
          </w:p>
        </w:tc>
        <w:tc>
          <w:tcPr>
            <w:tcW w:w="1814" w:type="pct"/>
            <w:tcBorders>
              <w:top w:val="nil"/>
              <w:left w:val="nil"/>
              <w:bottom w:val="single" w:sz="4" w:space="0" w:color="auto"/>
              <w:right w:val="single" w:sz="4" w:space="0" w:color="auto"/>
            </w:tcBorders>
            <w:noWrap/>
            <w:vAlign w:val="center"/>
            <w:hideMark/>
          </w:tcPr>
          <w:p w14:paraId="0E157DCA"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CIRCUNV. AZUA</w:t>
            </w:r>
          </w:p>
        </w:tc>
        <w:tc>
          <w:tcPr>
            <w:tcW w:w="1091" w:type="pct"/>
            <w:tcBorders>
              <w:top w:val="nil"/>
              <w:left w:val="nil"/>
              <w:bottom w:val="single" w:sz="4" w:space="0" w:color="auto"/>
              <w:right w:val="single" w:sz="4" w:space="0" w:color="auto"/>
            </w:tcBorders>
            <w:noWrap/>
            <w:vAlign w:val="center"/>
            <w:hideMark/>
          </w:tcPr>
          <w:p w14:paraId="69875EB6"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164,995,280.42</w:t>
            </w:r>
          </w:p>
        </w:tc>
        <w:tc>
          <w:tcPr>
            <w:tcW w:w="120" w:type="pct"/>
            <w:vAlign w:val="center"/>
            <w:hideMark/>
          </w:tcPr>
          <w:p w14:paraId="09494C07"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22ABB9C2" w14:textId="77777777" w:rsidTr="006371D9">
        <w:trPr>
          <w:trHeight w:val="403"/>
        </w:trPr>
        <w:tc>
          <w:tcPr>
            <w:tcW w:w="1975" w:type="pct"/>
            <w:vMerge/>
            <w:tcBorders>
              <w:top w:val="nil"/>
              <w:left w:val="single" w:sz="4" w:space="0" w:color="auto"/>
              <w:bottom w:val="single" w:sz="4" w:space="0" w:color="auto"/>
              <w:right w:val="single" w:sz="4" w:space="0" w:color="auto"/>
            </w:tcBorders>
            <w:vAlign w:val="center"/>
            <w:hideMark/>
          </w:tcPr>
          <w:p w14:paraId="1814DC62" w14:textId="77777777" w:rsidR="006371D9" w:rsidRPr="006371D9" w:rsidRDefault="006371D9" w:rsidP="006371D9">
            <w:pPr>
              <w:spacing w:line="240" w:lineRule="auto"/>
              <w:jc w:val="left"/>
              <w:rPr>
                <w:rFonts w:eastAsia="Times New Roman" w:cs="Times New Roman"/>
                <w:color w:val="FFFFFF"/>
                <w:spacing w:val="0"/>
                <w:szCs w:val="24"/>
                <w:lang w:val="en-US"/>
              </w:rPr>
            </w:pPr>
          </w:p>
        </w:tc>
        <w:tc>
          <w:tcPr>
            <w:tcW w:w="1814" w:type="pct"/>
            <w:tcBorders>
              <w:top w:val="nil"/>
              <w:left w:val="nil"/>
              <w:bottom w:val="single" w:sz="4" w:space="0" w:color="auto"/>
              <w:right w:val="single" w:sz="4" w:space="0" w:color="auto"/>
            </w:tcBorders>
            <w:noWrap/>
            <w:vAlign w:val="center"/>
            <w:hideMark/>
          </w:tcPr>
          <w:p w14:paraId="735761CE"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BANI</w:t>
            </w:r>
          </w:p>
        </w:tc>
        <w:tc>
          <w:tcPr>
            <w:tcW w:w="1091" w:type="pct"/>
            <w:tcBorders>
              <w:top w:val="nil"/>
              <w:left w:val="nil"/>
              <w:bottom w:val="single" w:sz="4" w:space="0" w:color="auto"/>
              <w:right w:val="single" w:sz="4" w:space="0" w:color="auto"/>
            </w:tcBorders>
            <w:noWrap/>
            <w:vAlign w:val="center"/>
            <w:hideMark/>
          </w:tcPr>
          <w:p w14:paraId="7A50239A"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308,116,380.42</w:t>
            </w:r>
          </w:p>
        </w:tc>
        <w:tc>
          <w:tcPr>
            <w:tcW w:w="120" w:type="pct"/>
            <w:vAlign w:val="center"/>
            <w:hideMark/>
          </w:tcPr>
          <w:p w14:paraId="6F72D03D"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56BCDC65" w14:textId="77777777" w:rsidTr="006371D9">
        <w:trPr>
          <w:trHeight w:val="403"/>
        </w:trPr>
        <w:tc>
          <w:tcPr>
            <w:tcW w:w="3788" w:type="pct"/>
            <w:gridSpan w:val="2"/>
            <w:tcBorders>
              <w:top w:val="single" w:sz="4" w:space="0" w:color="auto"/>
              <w:left w:val="single" w:sz="4" w:space="0" w:color="auto"/>
              <w:bottom w:val="single" w:sz="4" w:space="0" w:color="auto"/>
              <w:right w:val="single" w:sz="4" w:space="0" w:color="000000"/>
            </w:tcBorders>
            <w:noWrap/>
            <w:vAlign w:val="center"/>
            <w:hideMark/>
          </w:tcPr>
          <w:p w14:paraId="31021C39" w14:textId="77777777" w:rsidR="006371D9" w:rsidRPr="006371D9" w:rsidRDefault="006371D9" w:rsidP="006371D9">
            <w:pPr>
              <w:spacing w:line="240" w:lineRule="auto"/>
              <w:jc w:val="right"/>
              <w:rPr>
                <w:rFonts w:eastAsia="Times New Roman" w:cs="Times New Roman"/>
                <w:b/>
                <w:bCs/>
                <w:color w:val="000000"/>
                <w:spacing w:val="0"/>
                <w:szCs w:val="24"/>
                <w:lang w:val="en-US"/>
              </w:rPr>
            </w:pPr>
            <w:r w:rsidRPr="006371D9">
              <w:rPr>
                <w:rFonts w:eastAsia="Times New Roman" w:cs="Times New Roman"/>
                <w:b/>
                <w:bCs/>
                <w:color w:val="000000"/>
                <w:spacing w:val="0"/>
                <w:szCs w:val="24"/>
                <w:lang w:val="en-US"/>
              </w:rPr>
              <w:t>SUB-TOTAL ENE-DIC  RD$</w:t>
            </w:r>
          </w:p>
        </w:tc>
        <w:tc>
          <w:tcPr>
            <w:tcW w:w="1091" w:type="pct"/>
            <w:tcBorders>
              <w:top w:val="nil"/>
              <w:left w:val="nil"/>
              <w:bottom w:val="single" w:sz="4" w:space="0" w:color="auto"/>
              <w:right w:val="single" w:sz="4" w:space="0" w:color="auto"/>
            </w:tcBorders>
            <w:noWrap/>
            <w:vAlign w:val="center"/>
            <w:hideMark/>
          </w:tcPr>
          <w:p w14:paraId="39017AE4" w14:textId="77777777" w:rsidR="006371D9" w:rsidRPr="006371D9" w:rsidRDefault="006371D9" w:rsidP="006371D9">
            <w:pPr>
              <w:spacing w:line="240" w:lineRule="auto"/>
              <w:jc w:val="right"/>
              <w:rPr>
                <w:rFonts w:eastAsia="Times New Roman" w:cs="Times New Roman"/>
                <w:b/>
                <w:bCs/>
                <w:color w:val="000000"/>
                <w:spacing w:val="0"/>
                <w:szCs w:val="24"/>
                <w:lang w:val="en-US"/>
              </w:rPr>
            </w:pPr>
            <w:bookmarkStart w:id="108" w:name="_Hlk217403147"/>
            <w:r w:rsidRPr="006371D9">
              <w:rPr>
                <w:rFonts w:eastAsia="Times New Roman" w:cs="Times New Roman"/>
                <w:b/>
                <w:bCs/>
                <w:color w:val="000000"/>
                <w:spacing w:val="0"/>
                <w:szCs w:val="24"/>
                <w:lang w:val="en-US"/>
              </w:rPr>
              <w:t>12,720,426,847.56</w:t>
            </w:r>
            <w:bookmarkEnd w:id="108"/>
          </w:p>
        </w:tc>
        <w:tc>
          <w:tcPr>
            <w:tcW w:w="120" w:type="pct"/>
            <w:vAlign w:val="center"/>
            <w:hideMark/>
          </w:tcPr>
          <w:p w14:paraId="08D461E9"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77FA061C" w14:textId="77777777" w:rsidTr="006371D9">
        <w:trPr>
          <w:trHeight w:val="140"/>
        </w:trPr>
        <w:tc>
          <w:tcPr>
            <w:tcW w:w="1975" w:type="pct"/>
            <w:tcBorders>
              <w:top w:val="nil"/>
              <w:left w:val="nil"/>
              <w:bottom w:val="nil"/>
              <w:right w:val="nil"/>
            </w:tcBorders>
            <w:noWrap/>
            <w:vAlign w:val="center"/>
            <w:hideMark/>
          </w:tcPr>
          <w:p w14:paraId="265FE3BD" w14:textId="77777777" w:rsidR="006371D9" w:rsidRPr="006371D9" w:rsidRDefault="006371D9" w:rsidP="006371D9">
            <w:pPr>
              <w:spacing w:line="240" w:lineRule="auto"/>
              <w:jc w:val="right"/>
              <w:rPr>
                <w:rFonts w:eastAsia="Times New Roman" w:cs="Times New Roman"/>
                <w:b/>
                <w:bCs/>
                <w:color w:val="000000"/>
                <w:spacing w:val="0"/>
                <w:szCs w:val="24"/>
                <w:lang w:val="en-US"/>
              </w:rPr>
            </w:pPr>
          </w:p>
        </w:tc>
        <w:tc>
          <w:tcPr>
            <w:tcW w:w="1814" w:type="pct"/>
            <w:tcBorders>
              <w:top w:val="nil"/>
              <w:left w:val="nil"/>
              <w:bottom w:val="nil"/>
              <w:right w:val="nil"/>
            </w:tcBorders>
            <w:noWrap/>
            <w:vAlign w:val="center"/>
            <w:hideMark/>
          </w:tcPr>
          <w:p w14:paraId="47B0835B" w14:textId="77777777" w:rsidR="006371D9" w:rsidRPr="006371D9" w:rsidRDefault="006371D9" w:rsidP="006371D9">
            <w:pPr>
              <w:spacing w:line="240" w:lineRule="auto"/>
              <w:jc w:val="left"/>
              <w:rPr>
                <w:rFonts w:eastAsia="Times New Roman" w:cs="Times New Roman"/>
                <w:color w:val="auto"/>
                <w:spacing w:val="0"/>
                <w:szCs w:val="24"/>
                <w:lang w:val="en-US"/>
              </w:rPr>
            </w:pPr>
          </w:p>
        </w:tc>
        <w:tc>
          <w:tcPr>
            <w:tcW w:w="1091" w:type="pct"/>
            <w:tcBorders>
              <w:top w:val="nil"/>
              <w:left w:val="nil"/>
              <w:bottom w:val="nil"/>
              <w:right w:val="nil"/>
            </w:tcBorders>
            <w:noWrap/>
            <w:vAlign w:val="center"/>
            <w:hideMark/>
          </w:tcPr>
          <w:p w14:paraId="59AC0EA7" w14:textId="77777777" w:rsidR="006371D9" w:rsidRPr="006371D9" w:rsidRDefault="006371D9" w:rsidP="006371D9">
            <w:pPr>
              <w:spacing w:line="240" w:lineRule="auto"/>
              <w:jc w:val="left"/>
              <w:rPr>
                <w:rFonts w:eastAsia="Times New Roman" w:cs="Times New Roman"/>
                <w:color w:val="auto"/>
                <w:spacing w:val="0"/>
                <w:szCs w:val="24"/>
                <w:lang w:val="en-US"/>
              </w:rPr>
            </w:pPr>
          </w:p>
        </w:tc>
        <w:tc>
          <w:tcPr>
            <w:tcW w:w="120" w:type="pct"/>
            <w:vAlign w:val="center"/>
            <w:hideMark/>
          </w:tcPr>
          <w:p w14:paraId="38BAF948"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60AABD39" w14:textId="77777777" w:rsidTr="006371D9">
        <w:trPr>
          <w:trHeight w:val="403"/>
        </w:trPr>
        <w:tc>
          <w:tcPr>
            <w:tcW w:w="4880" w:type="pct"/>
            <w:gridSpan w:val="3"/>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4DC960E6" w14:textId="77777777" w:rsidR="006371D9" w:rsidRPr="006371D9" w:rsidRDefault="006371D9" w:rsidP="006371D9">
            <w:pPr>
              <w:spacing w:line="240" w:lineRule="auto"/>
              <w:jc w:val="center"/>
              <w:rPr>
                <w:rFonts w:eastAsia="Times New Roman" w:cs="Times New Roman"/>
                <w:b/>
                <w:bCs/>
                <w:color w:val="FFFFFF"/>
                <w:spacing w:val="0"/>
                <w:szCs w:val="24"/>
              </w:rPr>
            </w:pPr>
            <w:r w:rsidRPr="006371D9">
              <w:rPr>
                <w:rFonts w:eastAsia="Times New Roman" w:cs="Times New Roman"/>
                <w:b/>
                <w:bCs/>
                <w:color w:val="FFFFFF"/>
                <w:spacing w:val="0"/>
                <w:szCs w:val="24"/>
              </w:rPr>
              <w:t>INGRESOS POR COBROS DE PARQUEO (RD$)</w:t>
            </w:r>
          </w:p>
        </w:tc>
        <w:tc>
          <w:tcPr>
            <w:tcW w:w="120" w:type="pct"/>
            <w:vAlign w:val="center"/>
            <w:hideMark/>
          </w:tcPr>
          <w:p w14:paraId="419733CB" w14:textId="77777777" w:rsidR="006371D9" w:rsidRPr="006371D9" w:rsidRDefault="006371D9" w:rsidP="006371D9">
            <w:pPr>
              <w:spacing w:line="240" w:lineRule="auto"/>
              <w:jc w:val="left"/>
              <w:rPr>
                <w:rFonts w:eastAsia="Times New Roman" w:cs="Times New Roman"/>
                <w:color w:val="auto"/>
                <w:spacing w:val="0"/>
                <w:szCs w:val="24"/>
              </w:rPr>
            </w:pPr>
          </w:p>
        </w:tc>
      </w:tr>
      <w:tr w:rsidR="006371D9" w:rsidRPr="006371D9" w14:paraId="73C9F00C" w14:textId="77777777" w:rsidTr="006371D9">
        <w:trPr>
          <w:trHeight w:val="403"/>
        </w:trPr>
        <w:tc>
          <w:tcPr>
            <w:tcW w:w="1975" w:type="pct"/>
            <w:tcBorders>
              <w:top w:val="nil"/>
              <w:left w:val="single" w:sz="4" w:space="0" w:color="auto"/>
              <w:bottom w:val="single" w:sz="4" w:space="0" w:color="auto"/>
              <w:right w:val="single" w:sz="4" w:space="0" w:color="auto"/>
            </w:tcBorders>
            <w:noWrap/>
            <w:vAlign w:val="center"/>
            <w:hideMark/>
          </w:tcPr>
          <w:p w14:paraId="112A22AE"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Recaudación Parqueo La Atarazana</w:t>
            </w:r>
          </w:p>
        </w:tc>
        <w:tc>
          <w:tcPr>
            <w:tcW w:w="1814" w:type="pct"/>
            <w:tcBorders>
              <w:top w:val="nil"/>
              <w:left w:val="nil"/>
              <w:bottom w:val="single" w:sz="4" w:space="0" w:color="auto"/>
              <w:right w:val="single" w:sz="4" w:space="0" w:color="auto"/>
            </w:tcBorders>
            <w:noWrap/>
            <w:vAlign w:val="center"/>
            <w:hideMark/>
          </w:tcPr>
          <w:p w14:paraId="18812110"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 </w:t>
            </w:r>
          </w:p>
        </w:tc>
        <w:tc>
          <w:tcPr>
            <w:tcW w:w="1091" w:type="pct"/>
            <w:tcBorders>
              <w:top w:val="nil"/>
              <w:left w:val="nil"/>
              <w:bottom w:val="single" w:sz="4" w:space="0" w:color="auto"/>
              <w:right w:val="single" w:sz="4" w:space="0" w:color="auto"/>
            </w:tcBorders>
            <w:noWrap/>
            <w:vAlign w:val="center"/>
            <w:hideMark/>
          </w:tcPr>
          <w:p w14:paraId="2CDE30F7"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47,211,857.00</w:t>
            </w:r>
          </w:p>
        </w:tc>
        <w:tc>
          <w:tcPr>
            <w:tcW w:w="120" w:type="pct"/>
            <w:vAlign w:val="center"/>
            <w:hideMark/>
          </w:tcPr>
          <w:p w14:paraId="63093883"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1DD5FA35" w14:textId="77777777" w:rsidTr="006371D9">
        <w:trPr>
          <w:trHeight w:val="403"/>
        </w:trPr>
        <w:tc>
          <w:tcPr>
            <w:tcW w:w="4880" w:type="pct"/>
            <w:gridSpan w:val="3"/>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250B033B" w14:textId="77777777" w:rsidR="006371D9" w:rsidRPr="006371D9" w:rsidRDefault="006371D9" w:rsidP="006371D9">
            <w:pPr>
              <w:spacing w:line="240" w:lineRule="auto"/>
              <w:jc w:val="center"/>
              <w:rPr>
                <w:rFonts w:eastAsia="Times New Roman" w:cs="Times New Roman"/>
                <w:b/>
                <w:bCs/>
                <w:color w:val="FFFFFF"/>
                <w:spacing w:val="0"/>
                <w:szCs w:val="24"/>
                <w:lang w:val="en-US"/>
              </w:rPr>
            </w:pPr>
            <w:r w:rsidRPr="006371D9">
              <w:rPr>
                <w:rFonts w:eastAsia="Times New Roman" w:cs="Times New Roman"/>
                <w:b/>
                <w:bCs/>
                <w:color w:val="FFFFFF"/>
                <w:spacing w:val="0"/>
                <w:szCs w:val="24"/>
                <w:lang w:val="en-US"/>
              </w:rPr>
              <w:t>OTROS INGRESOS (RD)</w:t>
            </w:r>
          </w:p>
        </w:tc>
        <w:tc>
          <w:tcPr>
            <w:tcW w:w="120" w:type="pct"/>
            <w:vAlign w:val="center"/>
            <w:hideMark/>
          </w:tcPr>
          <w:p w14:paraId="3287C67A"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1F6EC8FE" w14:textId="77777777" w:rsidTr="006371D9">
        <w:trPr>
          <w:trHeight w:val="403"/>
        </w:trPr>
        <w:tc>
          <w:tcPr>
            <w:tcW w:w="4880" w:type="pct"/>
            <w:gridSpan w:val="3"/>
            <w:tcBorders>
              <w:top w:val="single" w:sz="4" w:space="0" w:color="auto"/>
              <w:left w:val="single" w:sz="4" w:space="0" w:color="auto"/>
              <w:bottom w:val="single" w:sz="4" w:space="0" w:color="auto"/>
              <w:right w:val="single" w:sz="4" w:space="0" w:color="000000"/>
            </w:tcBorders>
            <w:noWrap/>
            <w:vAlign w:val="center"/>
            <w:hideMark/>
          </w:tcPr>
          <w:p w14:paraId="34EC8C76" w14:textId="77777777" w:rsidR="006371D9" w:rsidRPr="006371D9" w:rsidRDefault="006371D9" w:rsidP="006371D9">
            <w:pPr>
              <w:spacing w:line="240" w:lineRule="auto"/>
              <w:jc w:val="center"/>
              <w:rPr>
                <w:rFonts w:eastAsia="Times New Roman" w:cs="Times New Roman"/>
                <w:color w:val="000000"/>
                <w:spacing w:val="0"/>
                <w:szCs w:val="24"/>
                <w:lang w:val="en-US"/>
              </w:rPr>
            </w:pPr>
            <w:r w:rsidRPr="006371D9">
              <w:rPr>
                <w:rFonts w:eastAsia="Times New Roman" w:cs="Times New Roman"/>
                <w:color w:val="000000"/>
                <w:spacing w:val="0"/>
                <w:szCs w:val="24"/>
                <w:lang w:val="en-US"/>
              </w:rPr>
              <w:t>Aportes Fiscales Corrientes</w:t>
            </w:r>
          </w:p>
        </w:tc>
        <w:tc>
          <w:tcPr>
            <w:tcW w:w="120" w:type="pct"/>
            <w:vAlign w:val="center"/>
            <w:hideMark/>
          </w:tcPr>
          <w:p w14:paraId="71D55019"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65692E98" w14:textId="77777777" w:rsidTr="006371D9">
        <w:trPr>
          <w:trHeight w:val="403"/>
        </w:trPr>
        <w:tc>
          <w:tcPr>
            <w:tcW w:w="1975" w:type="pct"/>
            <w:tcBorders>
              <w:top w:val="nil"/>
              <w:left w:val="single" w:sz="4" w:space="0" w:color="auto"/>
              <w:bottom w:val="single" w:sz="4" w:space="0" w:color="auto"/>
              <w:right w:val="nil"/>
            </w:tcBorders>
            <w:noWrap/>
            <w:vAlign w:val="center"/>
            <w:hideMark/>
          </w:tcPr>
          <w:p w14:paraId="78218020"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Ingresos Presupuestarios</w:t>
            </w:r>
          </w:p>
        </w:tc>
        <w:tc>
          <w:tcPr>
            <w:tcW w:w="1814" w:type="pct"/>
            <w:tcBorders>
              <w:top w:val="nil"/>
              <w:left w:val="nil"/>
              <w:bottom w:val="single" w:sz="4" w:space="0" w:color="auto"/>
              <w:right w:val="single" w:sz="4" w:space="0" w:color="auto"/>
            </w:tcBorders>
            <w:noWrap/>
            <w:vAlign w:val="center"/>
            <w:hideMark/>
          </w:tcPr>
          <w:p w14:paraId="383D533F" w14:textId="77777777" w:rsidR="006371D9" w:rsidRPr="006371D9" w:rsidRDefault="006371D9" w:rsidP="006371D9">
            <w:pPr>
              <w:spacing w:line="240" w:lineRule="auto"/>
              <w:jc w:val="left"/>
              <w:rPr>
                <w:rFonts w:eastAsia="Times New Roman" w:cs="Times New Roman"/>
                <w:color w:val="000000"/>
                <w:spacing w:val="0"/>
                <w:szCs w:val="24"/>
                <w:lang w:val="en-US"/>
              </w:rPr>
            </w:pPr>
            <w:r w:rsidRPr="006371D9">
              <w:rPr>
                <w:rFonts w:eastAsia="Times New Roman" w:cs="Times New Roman"/>
                <w:color w:val="000000"/>
                <w:spacing w:val="0"/>
                <w:szCs w:val="24"/>
                <w:lang w:val="en-US"/>
              </w:rPr>
              <w:t> </w:t>
            </w:r>
          </w:p>
        </w:tc>
        <w:tc>
          <w:tcPr>
            <w:tcW w:w="1091" w:type="pct"/>
            <w:tcBorders>
              <w:top w:val="nil"/>
              <w:left w:val="nil"/>
              <w:bottom w:val="single" w:sz="4" w:space="0" w:color="auto"/>
              <w:right w:val="single" w:sz="4" w:space="0" w:color="auto"/>
            </w:tcBorders>
            <w:noWrap/>
            <w:vAlign w:val="center"/>
            <w:hideMark/>
          </w:tcPr>
          <w:p w14:paraId="23AF6909"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56,956,660,827.81</w:t>
            </w:r>
          </w:p>
        </w:tc>
        <w:tc>
          <w:tcPr>
            <w:tcW w:w="120" w:type="pct"/>
            <w:vAlign w:val="center"/>
            <w:hideMark/>
          </w:tcPr>
          <w:p w14:paraId="1B5D4D3F"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7662850D" w14:textId="77777777" w:rsidTr="006371D9">
        <w:trPr>
          <w:trHeight w:val="403"/>
        </w:trPr>
        <w:tc>
          <w:tcPr>
            <w:tcW w:w="4880" w:type="pct"/>
            <w:gridSpan w:val="3"/>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0F2D6CB7" w14:textId="77777777" w:rsidR="006371D9" w:rsidRPr="006371D9" w:rsidRDefault="006371D9" w:rsidP="006371D9">
            <w:pPr>
              <w:spacing w:line="240" w:lineRule="auto"/>
              <w:jc w:val="center"/>
              <w:rPr>
                <w:rFonts w:eastAsia="Times New Roman" w:cs="Times New Roman"/>
                <w:b/>
                <w:bCs/>
                <w:color w:val="FFFFFF"/>
                <w:spacing w:val="0"/>
                <w:szCs w:val="24"/>
                <w:lang w:val="en-US"/>
              </w:rPr>
            </w:pPr>
            <w:r w:rsidRPr="006371D9">
              <w:rPr>
                <w:rFonts w:eastAsia="Times New Roman" w:cs="Times New Roman"/>
                <w:b/>
                <w:bCs/>
                <w:color w:val="FFFFFF"/>
                <w:spacing w:val="0"/>
                <w:szCs w:val="24"/>
                <w:lang w:val="en-US"/>
              </w:rPr>
              <w:t>Entradas propias corrientes</w:t>
            </w:r>
          </w:p>
        </w:tc>
        <w:tc>
          <w:tcPr>
            <w:tcW w:w="120" w:type="pct"/>
            <w:vAlign w:val="center"/>
            <w:hideMark/>
          </w:tcPr>
          <w:p w14:paraId="5CB066BF"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0D7B0F3E" w14:textId="77777777" w:rsidTr="006371D9">
        <w:trPr>
          <w:trHeight w:val="600"/>
        </w:trPr>
        <w:tc>
          <w:tcPr>
            <w:tcW w:w="3788" w:type="pct"/>
            <w:gridSpan w:val="2"/>
            <w:tcBorders>
              <w:top w:val="single" w:sz="4" w:space="0" w:color="auto"/>
              <w:left w:val="single" w:sz="4" w:space="0" w:color="auto"/>
              <w:bottom w:val="single" w:sz="4" w:space="0" w:color="auto"/>
              <w:right w:val="single" w:sz="4" w:space="0" w:color="000000"/>
            </w:tcBorders>
            <w:vAlign w:val="center"/>
            <w:hideMark/>
          </w:tcPr>
          <w:p w14:paraId="3C97317E" w14:textId="77777777" w:rsidR="006371D9" w:rsidRPr="006371D9" w:rsidRDefault="006371D9" w:rsidP="006371D9">
            <w:pPr>
              <w:spacing w:line="240" w:lineRule="auto"/>
              <w:jc w:val="left"/>
              <w:rPr>
                <w:rFonts w:eastAsia="Times New Roman" w:cs="Times New Roman"/>
                <w:color w:val="000000"/>
                <w:spacing w:val="0"/>
                <w:szCs w:val="24"/>
              </w:rPr>
            </w:pPr>
            <w:r w:rsidRPr="006371D9">
              <w:rPr>
                <w:rFonts w:eastAsia="Times New Roman" w:cs="Times New Roman"/>
                <w:color w:val="000000"/>
                <w:spacing w:val="0"/>
                <w:szCs w:val="24"/>
              </w:rPr>
              <w:t>Ingresos Cuenta Colectora (manuales, reglamento ,licitaciones y licencias de construcción)</w:t>
            </w:r>
          </w:p>
        </w:tc>
        <w:tc>
          <w:tcPr>
            <w:tcW w:w="1091" w:type="pct"/>
            <w:tcBorders>
              <w:top w:val="nil"/>
              <w:left w:val="nil"/>
              <w:bottom w:val="single" w:sz="4" w:space="0" w:color="auto"/>
              <w:right w:val="single" w:sz="4" w:space="0" w:color="auto"/>
            </w:tcBorders>
            <w:noWrap/>
            <w:vAlign w:val="center"/>
            <w:hideMark/>
          </w:tcPr>
          <w:p w14:paraId="0F528CA9"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28,550.00</w:t>
            </w:r>
          </w:p>
        </w:tc>
        <w:tc>
          <w:tcPr>
            <w:tcW w:w="120" w:type="pct"/>
            <w:vAlign w:val="center"/>
            <w:hideMark/>
          </w:tcPr>
          <w:p w14:paraId="6CEAF9B9"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491FC81F" w14:textId="77777777" w:rsidTr="006371D9">
        <w:trPr>
          <w:trHeight w:val="900"/>
        </w:trPr>
        <w:tc>
          <w:tcPr>
            <w:tcW w:w="3788" w:type="pct"/>
            <w:gridSpan w:val="2"/>
            <w:tcBorders>
              <w:top w:val="single" w:sz="4" w:space="0" w:color="auto"/>
              <w:left w:val="single" w:sz="4" w:space="0" w:color="auto"/>
              <w:bottom w:val="single" w:sz="4" w:space="0" w:color="auto"/>
              <w:right w:val="single" w:sz="4" w:space="0" w:color="000000"/>
            </w:tcBorders>
            <w:vAlign w:val="center"/>
            <w:hideMark/>
          </w:tcPr>
          <w:p w14:paraId="450479B1" w14:textId="77777777" w:rsidR="006371D9" w:rsidRPr="006371D9" w:rsidRDefault="006371D9" w:rsidP="006371D9">
            <w:pPr>
              <w:spacing w:line="240" w:lineRule="auto"/>
              <w:jc w:val="left"/>
              <w:rPr>
                <w:rFonts w:eastAsia="Times New Roman" w:cs="Times New Roman"/>
                <w:color w:val="000000"/>
                <w:spacing w:val="0"/>
                <w:szCs w:val="24"/>
              </w:rPr>
            </w:pPr>
            <w:r w:rsidRPr="006371D9">
              <w:rPr>
                <w:rFonts w:eastAsia="Times New Roman" w:cs="Times New Roman"/>
                <w:color w:val="000000"/>
                <w:spacing w:val="0"/>
                <w:szCs w:val="24"/>
              </w:rPr>
              <w:lastRenderedPageBreak/>
              <w:t>Capacitación Directa (gastos de inspección de obras en ejecución, supervisión, programa de infraestructura escolar, servicios d alquiler del club Deportivo y Cultural del MOPC, otros.</w:t>
            </w:r>
          </w:p>
        </w:tc>
        <w:tc>
          <w:tcPr>
            <w:tcW w:w="1091" w:type="pct"/>
            <w:tcBorders>
              <w:top w:val="nil"/>
              <w:left w:val="nil"/>
              <w:bottom w:val="single" w:sz="4" w:space="0" w:color="auto"/>
              <w:right w:val="single" w:sz="4" w:space="0" w:color="auto"/>
            </w:tcBorders>
            <w:noWrap/>
            <w:vAlign w:val="center"/>
            <w:hideMark/>
          </w:tcPr>
          <w:p w14:paraId="57BD4FAB" w14:textId="77777777" w:rsidR="006371D9" w:rsidRPr="006371D9" w:rsidRDefault="006371D9" w:rsidP="006371D9">
            <w:pPr>
              <w:spacing w:line="240" w:lineRule="auto"/>
              <w:jc w:val="right"/>
              <w:rPr>
                <w:rFonts w:eastAsia="Times New Roman" w:cs="Times New Roman"/>
                <w:color w:val="000000"/>
                <w:spacing w:val="0"/>
                <w:szCs w:val="24"/>
                <w:lang w:val="en-US"/>
              </w:rPr>
            </w:pPr>
            <w:r w:rsidRPr="006371D9">
              <w:rPr>
                <w:rFonts w:eastAsia="Times New Roman" w:cs="Times New Roman"/>
                <w:color w:val="000000"/>
                <w:spacing w:val="0"/>
                <w:szCs w:val="24"/>
                <w:lang w:val="en-US"/>
              </w:rPr>
              <w:t>1,752,694,596.70</w:t>
            </w:r>
          </w:p>
        </w:tc>
        <w:tc>
          <w:tcPr>
            <w:tcW w:w="120" w:type="pct"/>
            <w:vAlign w:val="center"/>
            <w:hideMark/>
          </w:tcPr>
          <w:p w14:paraId="14A64132"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6546CD7C" w14:textId="77777777" w:rsidTr="006371D9">
        <w:trPr>
          <w:trHeight w:val="585"/>
        </w:trPr>
        <w:tc>
          <w:tcPr>
            <w:tcW w:w="3788" w:type="pct"/>
            <w:gridSpan w:val="2"/>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634D2680" w14:textId="77777777" w:rsidR="006371D9" w:rsidRPr="006371D9" w:rsidRDefault="006371D9" w:rsidP="006371D9">
            <w:pPr>
              <w:spacing w:line="240" w:lineRule="auto"/>
              <w:jc w:val="right"/>
              <w:rPr>
                <w:rFonts w:eastAsia="Times New Roman" w:cs="Times New Roman"/>
                <w:b/>
                <w:bCs/>
                <w:color w:val="FFFFFF"/>
                <w:spacing w:val="0"/>
                <w:szCs w:val="24"/>
                <w:lang w:val="en-US"/>
              </w:rPr>
            </w:pPr>
            <w:r w:rsidRPr="006371D9">
              <w:rPr>
                <w:rFonts w:eastAsia="Times New Roman" w:cs="Times New Roman"/>
                <w:b/>
                <w:bCs/>
                <w:color w:val="FFFFFF"/>
                <w:spacing w:val="0"/>
                <w:szCs w:val="24"/>
                <w:lang w:val="en-US"/>
              </w:rPr>
              <w:t>SUB-TOTAL RD$</w:t>
            </w:r>
          </w:p>
        </w:tc>
        <w:tc>
          <w:tcPr>
            <w:tcW w:w="1091" w:type="pct"/>
            <w:tcBorders>
              <w:top w:val="nil"/>
              <w:left w:val="nil"/>
              <w:bottom w:val="single" w:sz="4" w:space="0" w:color="auto"/>
              <w:right w:val="single" w:sz="4" w:space="0" w:color="auto"/>
            </w:tcBorders>
            <w:shd w:val="clear" w:color="000000" w:fill="203764"/>
            <w:noWrap/>
            <w:vAlign w:val="center"/>
            <w:hideMark/>
          </w:tcPr>
          <w:p w14:paraId="21CAE327" w14:textId="77777777" w:rsidR="006371D9" w:rsidRPr="006371D9" w:rsidRDefault="006371D9" w:rsidP="006371D9">
            <w:pPr>
              <w:spacing w:line="240" w:lineRule="auto"/>
              <w:jc w:val="right"/>
              <w:rPr>
                <w:rFonts w:eastAsia="Times New Roman" w:cs="Times New Roman"/>
                <w:b/>
                <w:bCs/>
                <w:color w:val="FFFFFF"/>
                <w:spacing w:val="0"/>
                <w:szCs w:val="24"/>
                <w:lang w:val="en-US"/>
              </w:rPr>
            </w:pPr>
            <w:r w:rsidRPr="006371D9">
              <w:rPr>
                <w:rFonts w:eastAsia="Times New Roman" w:cs="Times New Roman"/>
                <w:b/>
                <w:bCs/>
                <w:color w:val="FFFFFF"/>
                <w:spacing w:val="0"/>
                <w:szCs w:val="24"/>
                <w:lang w:val="en-US"/>
              </w:rPr>
              <w:t>58,756,595,831.51</w:t>
            </w:r>
          </w:p>
        </w:tc>
        <w:tc>
          <w:tcPr>
            <w:tcW w:w="120" w:type="pct"/>
            <w:vAlign w:val="center"/>
            <w:hideMark/>
          </w:tcPr>
          <w:p w14:paraId="7F792329"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75B11D64" w14:textId="77777777" w:rsidTr="006371D9">
        <w:trPr>
          <w:trHeight w:val="150"/>
        </w:trPr>
        <w:tc>
          <w:tcPr>
            <w:tcW w:w="1975" w:type="pct"/>
            <w:tcBorders>
              <w:top w:val="nil"/>
              <w:left w:val="nil"/>
              <w:bottom w:val="nil"/>
              <w:right w:val="nil"/>
            </w:tcBorders>
            <w:noWrap/>
            <w:vAlign w:val="center"/>
            <w:hideMark/>
          </w:tcPr>
          <w:p w14:paraId="6845F5F8" w14:textId="77777777" w:rsidR="006371D9" w:rsidRPr="006371D9" w:rsidRDefault="006371D9" w:rsidP="006371D9">
            <w:pPr>
              <w:spacing w:line="240" w:lineRule="auto"/>
              <w:jc w:val="right"/>
              <w:rPr>
                <w:rFonts w:eastAsia="Times New Roman" w:cs="Times New Roman"/>
                <w:b/>
                <w:bCs/>
                <w:color w:val="FFFFFF"/>
                <w:spacing w:val="0"/>
                <w:szCs w:val="24"/>
                <w:lang w:val="en-US"/>
              </w:rPr>
            </w:pPr>
          </w:p>
        </w:tc>
        <w:tc>
          <w:tcPr>
            <w:tcW w:w="1814" w:type="pct"/>
            <w:tcBorders>
              <w:top w:val="nil"/>
              <w:left w:val="nil"/>
              <w:bottom w:val="nil"/>
              <w:right w:val="nil"/>
            </w:tcBorders>
            <w:noWrap/>
            <w:vAlign w:val="center"/>
            <w:hideMark/>
          </w:tcPr>
          <w:p w14:paraId="5EFA28D2" w14:textId="77777777" w:rsidR="006371D9" w:rsidRPr="006371D9" w:rsidRDefault="006371D9" w:rsidP="006371D9">
            <w:pPr>
              <w:spacing w:line="240" w:lineRule="auto"/>
              <w:jc w:val="left"/>
              <w:rPr>
                <w:rFonts w:eastAsia="Times New Roman" w:cs="Times New Roman"/>
                <w:color w:val="auto"/>
                <w:spacing w:val="0"/>
                <w:szCs w:val="24"/>
                <w:lang w:val="en-US"/>
              </w:rPr>
            </w:pPr>
          </w:p>
        </w:tc>
        <w:tc>
          <w:tcPr>
            <w:tcW w:w="1091" w:type="pct"/>
            <w:tcBorders>
              <w:top w:val="nil"/>
              <w:left w:val="nil"/>
              <w:bottom w:val="nil"/>
              <w:right w:val="nil"/>
            </w:tcBorders>
            <w:noWrap/>
            <w:vAlign w:val="center"/>
            <w:hideMark/>
          </w:tcPr>
          <w:p w14:paraId="3DFCF88D" w14:textId="77777777" w:rsidR="006371D9" w:rsidRPr="006371D9" w:rsidRDefault="006371D9" w:rsidP="006371D9">
            <w:pPr>
              <w:spacing w:line="240" w:lineRule="auto"/>
              <w:jc w:val="left"/>
              <w:rPr>
                <w:rFonts w:eastAsia="Times New Roman" w:cs="Times New Roman"/>
                <w:color w:val="auto"/>
                <w:spacing w:val="0"/>
                <w:szCs w:val="24"/>
                <w:lang w:val="en-US"/>
              </w:rPr>
            </w:pPr>
          </w:p>
        </w:tc>
        <w:tc>
          <w:tcPr>
            <w:tcW w:w="120" w:type="pct"/>
            <w:vAlign w:val="center"/>
            <w:hideMark/>
          </w:tcPr>
          <w:p w14:paraId="2CD80128" w14:textId="77777777" w:rsidR="006371D9" w:rsidRPr="006371D9" w:rsidRDefault="006371D9" w:rsidP="006371D9">
            <w:pPr>
              <w:spacing w:line="240" w:lineRule="auto"/>
              <w:jc w:val="left"/>
              <w:rPr>
                <w:rFonts w:eastAsia="Times New Roman" w:cs="Times New Roman"/>
                <w:color w:val="auto"/>
                <w:spacing w:val="0"/>
                <w:szCs w:val="24"/>
                <w:lang w:val="en-US"/>
              </w:rPr>
            </w:pPr>
          </w:p>
        </w:tc>
      </w:tr>
      <w:tr w:rsidR="006371D9" w:rsidRPr="006371D9" w14:paraId="5959B7F5" w14:textId="77777777" w:rsidTr="006371D9">
        <w:trPr>
          <w:trHeight w:val="403"/>
        </w:trPr>
        <w:tc>
          <w:tcPr>
            <w:tcW w:w="3788" w:type="pct"/>
            <w:gridSpan w:val="2"/>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26C17892" w14:textId="77777777" w:rsidR="006371D9" w:rsidRPr="006371D9" w:rsidRDefault="006371D9" w:rsidP="006371D9">
            <w:pPr>
              <w:spacing w:line="240" w:lineRule="auto"/>
              <w:jc w:val="right"/>
              <w:rPr>
                <w:rFonts w:eastAsia="Times New Roman" w:cs="Times New Roman"/>
                <w:b/>
                <w:bCs/>
                <w:color w:val="FFFFFF"/>
                <w:spacing w:val="0"/>
                <w:szCs w:val="24"/>
                <w:lang w:val="en-US"/>
              </w:rPr>
            </w:pPr>
            <w:r w:rsidRPr="006371D9">
              <w:rPr>
                <w:rFonts w:eastAsia="Times New Roman" w:cs="Times New Roman"/>
                <w:b/>
                <w:bCs/>
                <w:color w:val="FFFFFF"/>
                <w:spacing w:val="0"/>
                <w:szCs w:val="24"/>
                <w:lang w:val="en-US"/>
              </w:rPr>
              <w:t>TOTAL GENERAL DE INGRESOS</w:t>
            </w:r>
          </w:p>
        </w:tc>
        <w:tc>
          <w:tcPr>
            <w:tcW w:w="1091" w:type="pct"/>
            <w:tcBorders>
              <w:top w:val="single" w:sz="4" w:space="0" w:color="auto"/>
              <w:left w:val="nil"/>
              <w:bottom w:val="single" w:sz="4" w:space="0" w:color="auto"/>
              <w:right w:val="single" w:sz="4" w:space="0" w:color="auto"/>
            </w:tcBorders>
            <w:shd w:val="clear" w:color="000000" w:fill="203764"/>
            <w:noWrap/>
            <w:vAlign w:val="center"/>
            <w:hideMark/>
          </w:tcPr>
          <w:p w14:paraId="673B3A99" w14:textId="77777777" w:rsidR="006371D9" w:rsidRPr="006371D9" w:rsidRDefault="006371D9" w:rsidP="006371D9">
            <w:pPr>
              <w:spacing w:line="240" w:lineRule="auto"/>
              <w:jc w:val="right"/>
              <w:rPr>
                <w:rFonts w:eastAsia="Times New Roman" w:cs="Times New Roman"/>
                <w:b/>
                <w:bCs/>
                <w:color w:val="FFFFFF"/>
                <w:spacing w:val="0"/>
                <w:szCs w:val="24"/>
                <w:lang w:val="en-US"/>
              </w:rPr>
            </w:pPr>
            <w:r w:rsidRPr="006371D9">
              <w:rPr>
                <w:rFonts w:eastAsia="Times New Roman" w:cs="Times New Roman"/>
                <w:b/>
                <w:bCs/>
                <w:color w:val="FFFFFF"/>
                <w:spacing w:val="0"/>
                <w:szCs w:val="24"/>
                <w:lang w:val="en-US"/>
              </w:rPr>
              <w:t>71,477,022,679.07</w:t>
            </w:r>
          </w:p>
        </w:tc>
        <w:tc>
          <w:tcPr>
            <w:tcW w:w="120" w:type="pct"/>
            <w:vAlign w:val="center"/>
            <w:hideMark/>
          </w:tcPr>
          <w:p w14:paraId="6643FD4F" w14:textId="77777777" w:rsidR="006371D9" w:rsidRPr="006371D9" w:rsidRDefault="006371D9" w:rsidP="006371D9">
            <w:pPr>
              <w:spacing w:line="240" w:lineRule="auto"/>
              <w:jc w:val="left"/>
              <w:rPr>
                <w:rFonts w:eastAsia="Times New Roman" w:cs="Times New Roman"/>
                <w:color w:val="auto"/>
                <w:spacing w:val="0"/>
                <w:szCs w:val="24"/>
                <w:lang w:val="en-US"/>
              </w:rPr>
            </w:pPr>
          </w:p>
        </w:tc>
      </w:tr>
    </w:tbl>
    <w:p w14:paraId="05EF7850" w14:textId="77777777" w:rsidR="005D6D6C" w:rsidRDefault="005D6D6C" w:rsidP="004E3208">
      <w:pPr>
        <w:pStyle w:val="EstilodePrrafoNormal1RdeC"/>
        <w:jc w:val="left"/>
        <w:rPr>
          <w:b/>
          <w:bCs/>
        </w:rPr>
      </w:pPr>
    </w:p>
    <w:p w14:paraId="4DA07822" w14:textId="77777777" w:rsidR="00BC27E9" w:rsidRPr="00954407" w:rsidRDefault="00BC27E9" w:rsidP="00BC27E9">
      <w:pPr>
        <w:pStyle w:val="EstilodePrrafoNormal1RdeC"/>
      </w:pPr>
      <w:bookmarkStart w:id="109" w:name="_Hlk90809072"/>
    </w:p>
    <w:p w14:paraId="103D72E7" w14:textId="151D78EE" w:rsidR="00BC27E9" w:rsidRPr="00755C02" w:rsidRDefault="00BC27E9" w:rsidP="00755C02">
      <w:pPr>
        <w:pStyle w:val="Heading3"/>
        <w:rPr>
          <w:b/>
          <w:bCs/>
          <w:color w:val="808080" w:themeColor="background1" w:themeShade="80"/>
          <w:sz w:val="24"/>
          <w:szCs w:val="24"/>
        </w:rPr>
      </w:pPr>
      <w:bookmarkStart w:id="110" w:name="_Toc186924355"/>
      <w:bookmarkStart w:id="111" w:name="_Toc78583644"/>
      <w:bookmarkEnd w:id="109"/>
      <w:r w:rsidRPr="00755C02">
        <w:rPr>
          <w:b/>
          <w:bCs/>
          <w:color w:val="808080" w:themeColor="background1" w:themeShade="80"/>
          <w:sz w:val="24"/>
          <w:szCs w:val="24"/>
        </w:rPr>
        <w:t>Plan Nacional Plurianual de Inversión Pública</w:t>
      </w:r>
      <w:bookmarkEnd w:id="110"/>
      <w:r w:rsidRPr="00755C02">
        <w:rPr>
          <w:b/>
          <w:bCs/>
          <w:color w:val="808080" w:themeColor="background1" w:themeShade="80"/>
          <w:sz w:val="24"/>
          <w:szCs w:val="24"/>
        </w:rPr>
        <w:t xml:space="preserve"> </w:t>
      </w:r>
    </w:p>
    <w:p w14:paraId="300DBD16" w14:textId="77777777" w:rsidR="00BC27E9" w:rsidRPr="00954407" w:rsidRDefault="00BC27E9" w:rsidP="00BC27E9">
      <w:pPr>
        <w:pStyle w:val="EstilodePrrafoNormal1RdeC"/>
      </w:pPr>
    </w:p>
    <w:p w14:paraId="1A1BAFD0" w14:textId="77777777" w:rsidR="00BC27E9" w:rsidRPr="00954407" w:rsidRDefault="00BC27E9" w:rsidP="00BC27E9">
      <w:pPr>
        <w:pStyle w:val="EstilodePrrafoNormal1RdeC"/>
      </w:pPr>
      <w:r w:rsidRPr="00954407">
        <w:t>Durante el año 2025, el Ministerio de Obras Públicas y Comunicaciones (MOPC), realizó la actualización del Plan Nacional Plurianual de Inversión Pública  (PNPIP) para el período 2025 - 2028, herramienta de planificación con un horizonte a mediano plazo, que integra para el año fiscal 2025 un total de 544 (quinientos cuarenta y cuatro) proyectos de inversión nuevos y de arrastre prioritarios para la institución, distribuidos doscientos veinticinco  (225) productos específicos de Construcción, veintisiete (27) proyectos del programa de desarrollo físico de edificaciones para los servicios sociales, dos (2) proyectos en el programa desarrollo en la infraestructura física de muelles y puertos, los cuales han sido programados de acuerdo a las políticas públicas definidas en el Plan de Gobierno del cuatrienio vigente, a la vinculación con la Estrategia Nacional de Desarrollo (END) 2030, y a los Objetivos de Desarrollo Sostenible (ODS).</w:t>
      </w:r>
    </w:p>
    <w:p w14:paraId="33348898" w14:textId="77777777" w:rsidR="00BC27E9" w:rsidRPr="00954407" w:rsidRDefault="00BC27E9" w:rsidP="00BC27E9">
      <w:pPr>
        <w:pStyle w:val="EstilodePrrafoNormal1RdeC"/>
        <w:rPr>
          <w:highlight w:val="yellow"/>
        </w:rPr>
      </w:pPr>
    </w:p>
    <w:p w14:paraId="0168F462" w14:textId="77777777" w:rsidR="00BC27E9" w:rsidRPr="00954407" w:rsidRDefault="00BC27E9" w:rsidP="00BC27E9">
      <w:pPr>
        <w:pStyle w:val="EstilodePrrafoNormal1RdeC"/>
      </w:pPr>
      <w:r w:rsidRPr="00954407">
        <w:t xml:space="preserve">Del total de proyectos de la institución planificados en el Plan Plurianual de Inversión Pública vigente, con un presupuesto de inversión para el año 2025 ascendente a RD$46,620,189,419.00 (Cuarenta y Seis Mil Seiscientos Veinte  Millones Ciento Ochenta y  Nueve Mil Cuatrocientos Diecinueve </w:t>
      </w:r>
      <w:r w:rsidRPr="00954407">
        <w:lastRenderedPageBreak/>
        <w:t xml:space="preserve">Pesos con 00/100), presentan mayor porcentaje de avance en sus ejecutorias el Desarrollo de la Infraestructura Física de Calles y Avenidas y Mantenimiento, Seguridad  y Asistencia Vial,  de acuerdo a la línea base establecida con resultados tangibles de los logros alcanzados. </w:t>
      </w:r>
    </w:p>
    <w:p w14:paraId="3273F9D1" w14:textId="77777777" w:rsidR="00BC27E9" w:rsidRPr="00954407" w:rsidRDefault="00BC27E9" w:rsidP="00BC27E9">
      <w:pPr>
        <w:pStyle w:val="EstilodePrrafoNormal1RdeC"/>
      </w:pPr>
    </w:p>
    <w:p w14:paraId="264392D5" w14:textId="6F2034BF" w:rsidR="00BC27E9" w:rsidRPr="00954407" w:rsidRDefault="00BC27E9" w:rsidP="00BC27E9">
      <w:pPr>
        <w:pStyle w:val="EstilodePrrafoNormal1RdeC"/>
      </w:pPr>
      <w:r w:rsidRPr="00954407">
        <w:t xml:space="preserve">De tal manera, que la formulación y actualización del Plan Nacional Plurianual de Inversión Pública (PNPIP) del MOPC para el </w:t>
      </w:r>
      <w:r w:rsidR="00B84A23" w:rsidRPr="00954407">
        <w:t>cuatrienio</w:t>
      </w:r>
      <w:r w:rsidRPr="00954407">
        <w:t xml:space="preserve"> 2025-2028, garantice que los proyectos de inversión pública (PIP) estén alineados de acuerdo a las prioridades definidas por el Plan Nacional Plurianual del Sector Público (PNPSP)), con la finalidad de conciliar los indicadores específicos y monitorear los avances de las acciones ejecutadas vinculadas a las políticas públicas definidas para los ejes que desarrolla la institución para el logro de los objetivos programados a corto y mediano plazo.</w:t>
      </w:r>
    </w:p>
    <w:p w14:paraId="0964B46F" w14:textId="77777777" w:rsidR="00BC27E9" w:rsidRPr="00954407" w:rsidRDefault="00BC27E9" w:rsidP="00BC27E9">
      <w:pPr>
        <w:pStyle w:val="EstilodePrrafoNormal1RdeC"/>
      </w:pPr>
    </w:p>
    <w:p w14:paraId="776AC73F" w14:textId="26B4F677" w:rsidR="00BC27E9" w:rsidRPr="00755C02" w:rsidRDefault="00BC27E9" w:rsidP="00755C02">
      <w:pPr>
        <w:pStyle w:val="Heading3"/>
        <w:rPr>
          <w:b/>
          <w:bCs/>
          <w:color w:val="808080" w:themeColor="background1" w:themeShade="80"/>
          <w:sz w:val="24"/>
          <w:szCs w:val="24"/>
        </w:rPr>
      </w:pPr>
      <w:bookmarkStart w:id="112" w:name="_Toc186924356"/>
      <w:r w:rsidRPr="00755C02">
        <w:rPr>
          <w:b/>
          <w:bCs/>
          <w:color w:val="808080" w:themeColor="background1" w:themeShade="80"/>
          <w:sz w:val="24"/>
          <w:szCs w:val="24"/>
        </w:rPr>
        <w:t>Análisis del Cumplimiento del Plan de Inversión (Operativo) Anual</w:t>
      </w:r>
      <w:bookmarkEnd w:id="111"/>
      <w:r w:rsidRPr="00755C02">
        <w:rPr>
          <w:b/>
          <w:bCs/>
          <w:color w:val="808080" w:themeColor="background1" w:themeShade="80"/>
          <w:sz w:val="24"/>
          <w:szCs w:val="24"/>
        </w:rPr>
        <w:t xml:space="preserve"> del año 2025</w:t>
      </w:r>
      <w:bookmarkEnd w:id="112"/>
    </w:p>
    <w:p w14:paraId="566AB7EE" w14:textId="77777777" w:rsidR="00BC27E9" w:rsidRPr="00954407" w:rsidRDefault="00BC27E9" w:rsidP="00BC27E9">
      <w:pPr>
        <w:pStyle w:val="EstilodePrrafoNormal1RdeC"/>
        <w:rPr>
          <w:rFonts w:eastAsia="Calibri"/>
        </w:rPr>
      </w:pPr>
    </w:p>
    <w:p w14:paraId="5C65B0EF" w14:textId="77777777" w:rsidR="00BC27E9" w:rsidRPr="00954407" w:rsidRDefault="00BC27E9" w:rsidP="00BC27E9">
      <w:pPr>
        <w:pStyle w:val="EstilodePrrafoNormal1RdeC"/>
      </w:pPr>
      <w:r w:rsidRPr="00954407">
        <w:t xml:space="preserve">La ejecución del Plan </w:t>
      </w:r>
      <w:r w:rsidRPr="00954407">
        <w:rPr>
          <w:szCs w:val="32"/>
        </w:rPr>
        <w:t>de Inversión (Operativo)</w:t>
      </w:r>
      <w:r w:rsidRPr="00954407">
        <w:t xml:space="preserve"> Anual (POA) del MOPC correspondiente al año 2025, integró los objetivos planteados por la institución sobre la base de la política presupuestaria anual, canalizando los recursos en coordinación con la Dirección General de Inversión Pública del Ministerio de Hacienda y Economía (MHE), integrando un total de 544 (quinientos cuarenta y cuatro (544) proyectos, de los cuales se concluyeron aproximadamente doscientos veinticinco  (225) productos específicos de Construcción, Reconstrucción, Rehabilitación y Conservación de Obras Viales, lo que representa un cumplimiento de un 41% de lo programado para beneficio de la población dominicana.</w:t>
      </w:r>
    </w:p>
    <w:p w14:paraId="4441B1BE" w14:textId="77777777" w:rsidR="00BC27E9" w:rsidRPr="00954407" w:rsidRDefault="00BC27E9" w:rsidP="00BC27E9">
      <w:pPr>
        <w:pStyle w:val="EstilodePrrafoNormal1RdeC"/>
      </w:pPr>
      <w:r w:rsidRPr="00954407">
        <w:t xml:space="preserve"> </w:t>
      </w:r>
    </w:p>
    <w:p w14:paraId="274C9599" w14:textId="77777777" w:rsidR="00BC27E9" w:rsidRPr="00954407" w:rsidRDefault="00BC27E9" w:rsidP="00BC27E9">
      <w:pPr>
        <w:pStyle w:val="EstilodePrrafoNormal1RdeC"/>
      </w:pPr>
      <w:r w:rsidRPr="00954407">
        <w:t xml:space="preserve">Entre los principales proyectos contemplados en el Plan de Inversión (Operativo) Anual del MOPC (POA) que concluyeron y/o avanzaron en su </w:t>
      </w:r>
      <w:r w:rsidRPr="00954407">
        <w:lastRenderedPageBreak/>
        <w:t xml:space="preserve">ejecución durante el periodo enero-diciembre del año 2025, se destacan los siguientes: </w:t>
      </w:r>
    </w:p>
    <w:p w14:paraId="4013E4AD" w14:textId="77777777" w:rsidR="00BC27E9" w:rsidRPr="00954407" w:rsidRDefault="00BC27E9" w:rsidP="00BC27E9">
      <w:pPr>
        <w:pStyle w:val="EstilodePrrafoNormal1RdeC"/>
        <w:rPr>
          <w:rFonts w:eastAsia="Calibri"/>
        </w:rPr>
      </w:pPr>
    </w:p>
    <w:p w14:paraId="56388F5F" w14:textId="77777777" w:rsidR="00BC27E9" w:rsidRPr="00954407" w:rsidRDefault="00BC27E9" w:rsidP="00BC27E9">
      <w:pPr>
        <w:pStyle w:val="EstilodePrrafoNormal1RdeC"/>
        <w:rPr>
          <w:szCs w:val="20"/>
        </w:rPr>
      </w:pPr>
    </w:p>
    <w:p w14:paraId="20417B93" w14:textId="1E29C6F7"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 xml:space="preserve">Resumen Proyectos de Infraestructura </w:t>
      </w:r>
      <w:r w:rsidR="00D914F3" w:rsidRPr="00755C02">
        <w:rPr>
          <w:b/>
          <w:bCs/>
          <w:color w:val="808080" w:themeColor="background1" w:themeShade="80"/>
          <w:sz w:val="24"/>
          <w:szCs w:val="24"/>
        </w:rPr>
        <w:t>Vial Concluidos</w:t>
      </w:r>
      <w:r w:rsidRPr="00755C02">
        <w:rPr>
          <w:b/>
          <w:bCs/>
          <w:color w:val="808080" w:themeColor="background1" w:themeShade="80"/>
          <w:sz w:val="24"/>
          <w:szCs w:val="24"/>
        </w:rPr>
        <w:t xml:space="preserve"> Periodo enero-diciembre del 2025</w:t>
      </w:r>
    </w:p>
    <w:p w14:paraId="0FE85FAC" w14:textId="77777777" w:rsidR="00BC27E9" w:rsidRPr="00954407" w:rsidRDefault="00BC27E9" w:rsidP="00BC27E9">
      <w:pPr>
        <w:pStyle w:val="EstilodePrrafoNormal1RdeC"/>
      </w:pPr>
    </w:p>
    <w:p w14:paraId="60AAF311"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Construcción Avenida Circunvalación de Baní,</w:t>
      </w:r>
      <w:r w:rsidRPr="00954407">
        <w:t xml:space="preserve"> </w:t>
      </w:r>
      <w:r w:rsidRPr="00954407">
        <w:rPr>
          <w:rFonts w:eastAsia="Calibri"/>
          <w:noProof/>
          <w:spacing w:val="20"/>
        </w:rPr>
        <w:t>Municipio Baní, Provincia Peravia; con una longitud de 19.8 km,  incluye la construcción de diecisiete (17) puentes, un valor presupuestado aproximado de RD$7,700,000,000.00 (Siete Mil Setecientos Millones con 00/100), financiados íntegramente con recursos del Fideicomiso RD Vial; esta obra mejorará la conectividad, impulsará el turismo y dinamizará la economía de la provincia Peravia y zonas aledañas.</w:t>
      </w:r>
      <w:r w:rsidRPr="00954407">
        <w:t xml:space="preserve"> </w:t>
      </w:r>
      <w:r w:rsidRPr="00954407">
        <w:rPr>
          <w:rFonts w:eastAsia="Calibri"/>
          <w:noProof/>
          <w:spacing w:val="20"/>
        </w:rPr>
        <w:t>Condicion Actual: Terminado.</w:t>
      </w:r>
    </w:p>
    <w:p w14:paraId="26122E75"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Reconstrucción Carretera Villa Elisa - Punta Rucia - La Ensenada, Provincia Montecristi, con una longitud de 23.2 km, un valor presupuestado de RD$1,224,000,000.00 (Un Mil Doscientos Veinticuatro Millones de Pesos con 00/100), la vía conecta las provincias de Puerto Plata y Montecristi. Condicion Actual: Terminado.</w:t>
      </w:r>
    </w:p>
    <w:p w14:paraId="1684C0D4"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Construcción Paso a Desnivel en la intersección de las Avenidas Prolongación 27 de Febrero con Isabel Aguiar Municipio Santo Domingo Oeste,</w:t>
      </w:r>
      <w:r w:rsidRPr="00954407">
        <w:t xml:space="preserve"> </w:t>
      </w:r>
      <w:r w:rsidRPr="00954407">
        <w:rPr>
          <w:rFonts w:eastAsia="Calibri"/>
          <w:noProof/>
          <w:spacing w:val="20"/>
        </w:rPr>
        <w:t>Provincia Santo Domingo;</w:t>
      </w:r>
      <w:r w:rsidRPr="00954407">
        <w:t xml:space="preserve"> </w:t>
      </w:r>
      <w:r w:rsidRPr="00954407">
        <w:rPr>
          <w:rFonts w:eastAsia="Calibri"/>
          <w:noProof/>
          <w:spacing w:val="20"/>
        </w:rPr>
        <w:t xml:space="preserve">con una longitud de 480.0 metros, once (11) carriles, de los cuales cinco (5) corresponden al tramo soterrado tipo trinchera, tres (3) carriles en dirección oeste-este y dos (2) en sentido contrario, separados por muros tipo New </w:t>
      </w:r>
      <w:r w:rsidRPr="00954407">
        <w:rPr>
          <w:rFonts w:eastAsia="Calibri"/>
          <w:noProof/>
          <w:spacing w:val="20"/>
        </w:rPr>
        <w:lastRenderedPageBreak/>
        <w:t>Jersey; un valor presupuestado aproximado de RD$2,562,500,000.00 (Dos Mil Quinientos Sesenta y Dos Millones Quinientos Mil Pesos con 00/100), obra financiada con recursos obtenidos de la renegociación del contrato de concesión de Aeropuertos Dominicanos Siglo XXI (AERODOM)con el Estado). Condicion Actual: Terminado.</w:t>
      </w:r>
    </w:p>
    <w:p w14:paraId="072887E2"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Construcción Nueva Estación de Peaje, ubicada en el kilómetro 32 de la Autopista Duarte, la cual reemplaza la antigua estación ubicada en el km 25, cuenta con veintidós (22) carriles (11 de ida y 11 de vuelta), tecnología moderna, diez (10) exclusivos para "Paso Rápido", sistema de monitoreo en tiempo real y sistema de pesaje para vehículos pesados; con el objetivo de agilizar el tránsito, beneficiando a los residentes de Pedro Brand al ya no pagar por moverse dentro de su comunidad, un valor presupuestado aproximado de RD$600,000,000.00 (Seiscientos Millones de Pesos con 00/100). Condicion Actual: Terminado.</w:t>
      </w:r>
    </w:p>
    <w:p w14:paraId="2AA5CDB2"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Reconstrucción Paso a Desnivel de la Avenida Hípica, Municipio Santo Domingo Este,</w:t>
      </w:r>
      <w:r w:rsidRPr="00954407">
        <w:t xml:space="preserve"> </w:t>
      </w:r>
      <w:r w:rsidRPr="00954407">
        <w:rPr>
          <w:rFonts w:eastAsia="Calibri"/>
          <w:noProof/>
          <w:spacing w:val="20"/>
        </w:rPr>
        <w:t>Provincia Santo Domingo;</w:t>
      </w:r>
      <w:r w:rsidRPr="00954407">
        <w:t xml:space="preserve"> </w:t>
      </w:r>
      <w:r w:rsidRPr="00954407">
        <w:rPr>
          <w:rFonts w:eastAsia="Calibri"/>
          <w:noProof/>
          <w:spacing w:val="20"/>
        </w:rPr>
        <w:t>con una longitud de 0.5 km, incluyó la reconstrucción de rampas de entrada y salida, instalación de nuevos muros de contención y barandas de seguridad, optimización de los giros y un nuevo carril de incorporación hacia la Avenida Las Américas, contribuyendo al descongestionamiento del tránsito en la zona y mejorando la conectividad entre importantes sectores de Santo Domingo Este, con</w:t>
      </w:r>
      <w:r w:rsidRPr="00954407">
        <w:rPr>
          <w:color w:val="0A0A0A"/>
          <w:shd w:val="clear" w:color="auto" w:fill="FFFFFF"/>
        </w:rPr>
        <w:t>. </w:t>
      </w:r>
      <w:r w:rsidRPr="00954407">
        <w:rPr>
          <w:rFonts w:eastAsia="Calibri"/>
          <w:noProof/>
          <w:spacing w:val="20"/>
        </w:rPr>
        <w:t xml:space="preserve"> un valor presupuestado aproximado de RD$700,000,000.00 (Setecientos  Millones de  Pesos con 00/100), Condicion Actual: Terminado.</w:t>
      </w:r>
    </w:p>
    <w:p w14:paraId="29C4F921" w14:textId="55AB48EE" w:rsidR="00BC27E9" w:rsidRPr="00954407" w:rsidRDefault="00BC27E9" w:rsidP="00D914F3">
      <w:pPr>
        <w:pStyle w:val="EstilodePrrafoNormal1RdeC"/>
        <w:numPr>
          <w:ilvl w:val="0"/>
          <w:numId w:val="197"/>
        </w:numPr>
        <w:spacing w:afterLines="240" w:after="576"/>
        <w:ind w:left="0" w:firstLine="0"/>
      </w:pPr>
      <w:r w:rsidRPr="00954407">
        <w:lastRenderedPageBreak/>
        <w:t xml:space="preserve">Construcción Avenida Ecológica, Tramo II (Estación 17 + 500 hasta E-20 + 822 Las Américas); con una longitud de 3.32 km, un ancho de calzada de 7.0 metros, dos (2) carriles de 3.5 metros cada uno; </w:t>
      </w:r>
      <w:r w:rsidRPr="00954407">
        <w:rPr>
          <w:rFonts w:eastAsia="Calibri"/>
          <w:noProof/>
          <w:spacing w:val="20"/>
        </w:rPr>
        <w:t>un valor presupuestado aproximado de RD$</w:t>
      </w:r>
      <w:r w:rsidRPr="00954407">
        <w:t xml:space="preserve"> </w:t>
      </w:r>
      <w:r w:rsidRPr="00954407">
        <w:rPr>
          <w:rFonts w:eastAsia="Calibri"/>
          <w:noProof/>
          <w:spacing w:val="20"/>
        </w:rPr>
        <w:t>1,515,317,083.61 (Un Mil Quinientos Quince Millones Trescientos Diecisiete Mil Ochenta y Tres Pesos con 00/100)</w:t>
      </w:r>
      <w:r w:rsidRPr="00954407">
        <w:t>, tramo vial de clasificación urbana, que dará continuidad al tramo I de la Av. Ecológica,  mejorando la conectividad del municipio Santo Domingo Este, al enlazar varios circuitos viales.  Condición actual: Terminado</w:t>
      </w:r>
      <w:r w:rsidR="00D914F3">
        <w:t>.</w:t>
      </w:r>
      <w:r w:rsidRPr="00954407">
        <w:t xml:space="preserve"> </w:t>
      </w:r>
    </w:p>
    <w:p w14:paraId="107EB681"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Reconstrucción Carretera Carrera de Yeguas (Distrito Municipal) - Las Matas de Farfán, Provincia San Juan, con una longitud total de 12.75 km, un valor presupuestado de RD$310,000,000.00 (Trescientos Diez Millones de Pesos con 00/100). Condicion Actual: Terminado.</w:t>
      </w:r>
    </w:p>
    <w:p w14:paraId="03290DDD" w14:textId="77777777" w:rsidR="00BC27E9" w:rsidRPr="00954407" w:rsidRDefault="00BC27E9" w:rsidP="00D914F3">
      <w:pPr>
        <w:pStyle w:val="EstilodePrrafoNormal1RdeC"/>
        <w:numPr>
          <w:ilvl w:val="0"/>
          <w:numId w:val="197"/>
        </w:numPr>
        <w:spacing w:afterLines="240" w:after="576"/>
        <w:ind w:left="0" w:firstLine="0"/>
      </w:pPr>
      <w:r w:rsidRPr="00954407">
        <w:rPr>
          <w:rFonts w:eastAsia="Calibri"/>
          <w:noProof/>
          <w:spacing w:val="20"/>
        </w:rPr>
        <w:t xml:space="preserve">Reconstrucción Cruce Carreteras Los Cajuiles – Palmarito y  Cruce Río San Juan – Los Cajuiles, Provincia María Trinidad Sánchez, con una longitud total de 25.80 km, un valor presupuestado de RD$593,000,000.00 (Quinientos Noventa </w:t>
      </w:r>
      <w:r w:rsidRPr="00954407">
        <w:t>y Tres Millones de Pesos con 00/100). Condición Actual: Terminado.</w:t>
      </w:r>
    </w:p>
    <w:p w14:paraId="45E55E4A"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Reconstrucción Carretera Gautier - Guayabal, Provincia San Pedro de Macorís, 1ra. etapa con una longitud de 9.0 km, un valor presupuestado aproximado de RD$250,000,000.00 (Doscientos Cincuenta Millones de Pesos con 00/100). Condicion actual: Terminado.</w:t>
      </w:r>
    </w:p>
    <w:p w14:paraId="58A73802"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 xml:space="preserve">Reconstrucción Carretera El Cercado – Juan Santiago - Hondo </w:t>
      </w:r>
      <w:r w:rsidRPr="00954407">
        <w:rPr>
          <w:rFonts w:eastAsia="Calibri"/>
          <w:noProof/>
          <w:spacing w:val="20"/>
        </w:rPr>
        <w:lastRenderedPageBreak/>
        <w:t>Valle, Provincias San Juan y Elías Piña, con una longitud total de 31.0 km, un valor presupuestado de  RD$1,120,000,000.00 (Un Mil Ciento Veinte Millones de Pesos con 00/100). Condicion actual: Terminado.</w:t>
      </w:r>
    </w:p>
    <w:p w14:paraId="3D638D7D"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Reconstruicción Calles y Avenidas zona  universitaria de la ciudad de Baní, Provincia Peravia, incluyendo sectores como Brisa del Norte y Las Colinas, entre otros; con una longitud de  7.20 km, un valor presupuestado aproximado de  RD$148,000,000.00 (Ciento Cuarenta y Ocho Millones de Pesos con 00/100). Condicion actual: Terminado.</w:t>
      </w:r>
      <w:r w:rsidRPr="00954407">
        <w:t xml:space="preserve"> </w:t>
      </w:r>
    </w:p>
    <w:p w14:paraId="0D154639"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Asfaltado de Calles en Villa Rivas Municipio Villa Rivas, Provincia Duarte,  con una longitud de  11.0 km, un valor presupuestado aproximado de  RD$180,000,000.00 (Ciento Ochenta Millones de Pesos con 00/100). Condicion actual: Terminado.</w:t>
      </w:r>
    </w:p>
    <w:p w14:paraId="50161994"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Construcción Puente sobre Río Bajabonico Arriba, Municipio Altamira, Provincia Puerto Plata, con una longitud de  0.04 km, un valor presupuestado aproximado de  RD$60,000,000.00 (Sesenta Millones de Pesos con 00/100). Condicion actual: Terminado.</w:t>
      </w:r>
    </w:p>
    <w:p w14:paraId="0348D164"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Construcción Puente sobre el río Yuna, en la comunidad de Rincón Bebedero, Municipio Arenoso, Provincia Duarte,  con una longitud de 0.025 km, un valor presupuestado aproximado de RD$48,000,000.00 (Cuarenta y Ocho Millones de Pesos con 00/100). Condicion actual: Terminado.</w:t>
      </w:r>
    </w:p>
    <w:p w14:paraId="52DEBCD7"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lastRenderedPageBreak/>
        <w:t>Construcción Palacio de Justicia Santo Domingo Este (SDE), provincia Santo Domingo, denominado nueva ciudad judicial,  con una superficie total de construcción de aproximadamente 50,000 metros cuadrados, distribuidos en edificios para el Poder Judicial, Ministerio Público y Defensa Pública, con una inversión aproximada de RD$4,486,000,000.00 (Cuatro Mil Cuatrocientos Ochenta y Seis Millones de Pesos con 00/100). Condicion Actual: Terminado.</w:t>
      </w:r>
    </w:p>
    <w:p w14:paraId="7350613A" w14:textId="77777777" w:rsidR="00BC27E9" w:rsidRPr="00954407" w:rsidRDefault="00BC27E9" w:rsidP="00D914F3">
      <w:pPr>
        <w:pStyle w:val="EstilodePrrafoNormal1RdeC"/>
        <w:numPr>
          <w:ilvl w:val="0"/>
          <w:numId w:val="197"/>
        </w:numPr>
        <w:spacing w:afterLines="240" w:after="576"/>
        <w:ind w:left="0" w:firstLine="0"/>
        <w:rPr>
          <w:rFonts w:eastAsia="Calibri"/>
          <w:noProof/>
          <w:spacing w:val="20"/>
        </w:rPr>
      </w:pPr>
      <w:r w:rsidRPr="00954407">
        <w:rPr>
          <w:rFonts w:eastAsia="Calibri"/>
          <w:noProof/>
          <w:spacing w:val="20"/>
        </w:rPr>
        <w:t>Construcción Setenta (70) viviendas en el Complejo Habitacional Kosovo, Municipio Imbert, Provincia Puerto Plata,  con una superficie total de construcción de 4,200 metros cuadrados, beneficiando unos 250 personas, con una inversión aproximada de RD$260,000,000.00 (Doscientos Sesenta Millones de Pesos con 00/100). Condicion Actual: Terminado.</w:t>
      </w:r>
    </w:p>
    <w:p w14:paraId="6DAEDF0F" w14:textId="71A5E3DB" w:rsidR="00BC27E9"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Construcción, Reconstrucción y Rehabilitación de Carreteras, Avenidas, Calles y Caminos Vecinales en Ejecución</w:t>
      </w:r>
    </w:p>
    <w:p w14:paraId="25C6398D" w14:textId="77777777" w:rsidR="005D6D6C" w:rsidRPr="005D6D6C" w:rsidRDefault="005D6D6C" w:rsidP="005D6D6C"/>
    <w:p w14:paraId="367EA1D5" w14:textId="281F1CCC" w:rsidR="00BC27E9" w:rsidRPr="00954407" w:rsidRDefault="00BC27E9" w:rsidP="00D914F3">
      <w:pPr>
        <w:pStyle w:val="EstilodePrrafoNormal1RdeC"/>
        <w:spacing w:afterLines="240" w:after="576"/>
      </w:pPr>
      <w:r w:rsidRPr="00954407">
        <w:rPr>
          <w:rFonts w:eastAsia="Calibri"/>
          <w:noProof/>
          <w:spacing w:val="20"/>
        </w:rPr>
        <w:t>La producción planeada por el Ministerio de Obras Públicas y Comunicaciones (MOPC) para el período enero – noviembre del año 2025, avanzó y concluyó importantes proyectos en el área de vialidad en todo el territorio nacional, con el objetivo de mejorar el transporte de las personas y de las cargas, lo que impulsa el desarrollo y crecimiento de las diferentes regiones del país, identificándose significativamente las ejecutorias de la institución con el Eje 3 de la Estrategia Nacional de Desarrollo (END) 2030 y el Objetivo Específico 3.3.6</w:t>
      </w:r>
      <w:r w:rsidR="00D914F3">
        <w:rPr>
          <w:rFonts w:eastAsia="Calibri"/>
          <w:noProof/>
          <w:spacing w:val="20"/>
        </w:rPr>
        <w:t xml:space="preserve">. </w:t>
      </w:r>
      <w:r w:rsidRPr="00954407">
        <w:t xml:space="preserve">Durante el periodo enero – noviembre del año 2025, continuaron en proceso de ejecución importantes proyectos de </w:t>
      </w:r>
      <w:r w:rsidRPr="00954407">
        <w:lastRenderedPageBreak/>
        <w:t xml:space="preserve">infraestructura vial, destacándose los siguientes: </w:t>
      </w:r>
    </w:p>
    <w:p w14:paraId="33133601" w14:textId="77777777" w:rsidR="00BC27E9" w:rsidRPr="00954407" w:rsidRDefault="00BC27E9" w:rsidP="00D914F3">
      <w:pPr>
        <w:pStyle w:val="EstilodePrrafoNormal1RdeC"/>
        <w:numPr>
          <w:ilvl w:val="0"/>
          <w:numId w:val="197"/>
        </w:numPr>
        <w:spacing w:afterLines="240" w:after="576"/>
        <w:ind w:left="0" w:firstLine="0"/>
      </w:pPr>
      <w:r w:rsidRPr="00954407">
        <w:t>Terminación Construcción Tramo de Carretera Enlace Vial Estancia Nueva hasta El Cruce de Chero, denominado (Circunvalación de Moca), Municipio Moca, Provincia Espaillat, con una longitud total de 10.20 km, se extiende desde el Cruce de Chero (Provincia Espaillat), hasta Licey (Provincia Santiago). El proyecto abarca tres etapas, Cruce de Chero-Estancia Nueva, Estancia Nueva- Licey al Medio y por último, el Circuito Vial Moca (calle Duarte-Mella), con cuatro (4) carriles (2 por sentido de circulación), contempla la construcción de un puente de 120.0 m sobre el Río Moca, una inversión aproximada de RD$3,256,695,862.43 (Tres Mil Doscientos Cincuenta y Seis Millones Pesos con 00/100), con el objetivo de descongestionar el centro urbano de Moca, estableciendo una conexión directa entre las provincias Santiago, Espaillat y Duarte. Condición actual: Ejecución.</w:t>
      </w:r>
    </w:p>
    <w:p w14:paraId="030BA51A" w14:textId="77777777" w:rsidR="00BC27E9" w:rsidRPr="00954407" w:rsidRDefault="00BC27E9" w:rsidP="00D914F3">
      <w:pPr>
        <w:pStyle w:val="EstilodePrrafoNormal1RdeC"/>
        <w:numPr>
          <w:ilvl w:val="0"/>
          <w:numId w:val="197"/>
        </w:numPr>
        <w:spacing w:afterLines="240" w:after="576"/>
        <w:ind w:left="0" w:firstLine="0"/>
      </w:pPr>
      <w:r w:rsidRPr="00954407">
        <w:t>Terminación Construcción Viaducto y Distribuidor vial en la intersección de las Avenidas República de Colombia con Avenida Coronel Juan María Lora y Avenida Pérez Ricart, con una longitud aproximada de 10.0.km integrando las obras: a) Construcción de Solución Vial en la intersección de las Avenidas República de Colombia con Avenida Los Próceres, b) Diseño y Construcción de Soluciones Viales en la Avenida Jacobo Majluta,  y, c) Ampliación de la República de Colombia desde Autopista Duarte hasta Avenida Los Próceres, Distrito Nacional, con un valor presupuestado de RD$10,714,902,461.55 (Diez Mil Setecientos Catorce  Millones Novecientos Dos Mil Cuatrocientos Sesenta y Un  Pesos con 55/100), con el objetivo de mejorar la movilidad urbana y la calidad de vida de los ciudadanos, integrando soluciones modernas como pasos a desnivel y trincheras, así como la transformación de la infraestructura vial de la zona. Condición actual: Ejecución.</w:t>
      </w:r>
    </w:p>
    <w:p w14:paraId="70C976A9" w14:textId="77777777" w:rsidR="00BC27E9" w:rsidRPr="00954407" w:rsidRDefault="00BC27E9" w:rsidP="00D914F3">
      <w:pPr>
        <w:pStyle w:val="EstilodePrrafoNormal1RdeC"/>
        <w:numPr>
          <w:ilvl w:val="0"/>
          <w:numId w:val="197"/>
        </w:numPr>
        <w:spacing w:afterLines="240" w:after="576"/>
        <w:ind w:left="0" w:firstLine="0"/>
      </w:pPr>
      <w:r w:rsidRPr="00954407">
        <w:lastRenderedPageBreak/>
        <w:t xml:space="preserve">Programa de Ampliación, Reconstrucción y Modernización de la Autopista Duarte desde Santo Domingo hasta Monte Cristi, contempla en su alcance la intervención de 270 km de longitud, la construcción de diecinueve (19) retornos operacionales, la ampliación a tres (3) carriles desde Santiago hasta Loma Miranda, la reconstrucción de puentes, la eliminación de retornos ilegales, la modernización de la infraestructura con señalización y el reacondicionamiento del sistema de drenaje,  Multiprovincial, con un valor presupuestado de RD$30,000,000,000.00 (Treinta Mil Millones de Pesos con 00/100). Condición actual: Ejecución; </w:t>
      </w:r>
    </w:p>
    <w:p w14:paraId="7BDA35A4" w14:textId="77777777" w:rsidR="00BC27E9" w:rsidRPr="00954407" w:rsidRDefault="00BC27E9" w:rsidP="00D914F3">
      <w:pPr>
        <w:pStyle w:val="EstilodePrrafoNormal1RdeC"/>
        <w:numPr>
          <w:ilvl w:val="0"/>
          <w:numId w:val="197"/>
        </w:numPr>
        <w:spacing w:afterLines="240" w:after="576"/>
        <w:ind w:left="0" w:firstLine="0"/>
      </w:pPr>
      <w:r w:rsidRPr="00954407">
        <w:t>Construcción Avenida de Circunvalación Norte en el Municipio Villa Bisonó (Navarrete), Provincia Santiago, inicia desde la desde la Autopista Joaquín Balaguer hasta la Autopista Duarte con una longitud de 7.1 km, contempla en su alcance la construcción de cuatro (4) carriles desde la Autopista Joaquín Balaguer hasta la Autopista Duarte en Villa Bisonó, con un valor presupuestado de RD$4,900,000,000.00 (Cuatro Mil Novecientos Millones de Pesos con 00/100). Condición actual: Ejecución.</w:t>
      </w:r>
    </w:p>
    <w:p w14:paraId="7D48DC45" w14:textId="77777777" w:rsidR="00BC27E9" w:rsidRPr="00954407" w:rsidRDefault="00BC27E9" w:rsidP="00D914F3">
      <w:pPr>
        <w:pStyle w:val="EstilodePrrafoNormal1RdeC"/>
        <w:numPr>
          <w:ilvl w:val="0"/>
          <w:numId w:val="197"/>
        </w:numPr>
        <w:spacing w:afterLines="240" w:after="576"/>
        <w:ind w:left="0" w:firstLine="0"/>
      </w:pPr>
      <w:r w:rsidRPr="00954407">
        <w:t>Terminación Reconstrucción y Ampliación Carretera Jarabacoa – La Vega (tramo desde C/ Federico Basilis hasta Junumucú) y sus componentes (Construcción Camino Vecinal Piedra Blanca- Hatillo- La Guama y sus Calles; Construcción Estación de Peaje; Construcción Puente sobre Arroyo en el Km 15+590, entre otros; Municipio Jarabacoa, Provincia La Vega, con una longitud total de 38.22 km, dos (2) carriles de 3.50 metros en ambos sentidos, y paseos de 2.00 metros de ancho. un valor presupuestado aproximado de RD$6,555,637,997.49 (Seis Mil Quinientos Cincuenta y Cinco Millones Seiscientos Treinta y Siete mil de Pesos con 47/100). Condición actual: Ejecución.</w:t>
      </w:r>
    </w:p>
    <w:p w14:paraId="6F374178" w14:textId="77777777" w:rsidR="00BC27E9" w:rsidRPr="00954407" w:rsidRDefault="00BC27E9" w:rsidP="00D914F3">
      <w:pPr>
        <w:pStyle w:val="EstilodePrrafoNormal1RdeC"/>
        <w:numPr>
          <w:ilvl w:val="0"/>
          <w:numId w:val="197"/>
        </w:numPr>
        <w:spacing w:afterLines="240" w:after="576"/>
        <w:ind w:left="0" w:firstLine="0"/>
      </w:pPr>
      <w:r w:rsidRPr="00954407">
        <w:lastRenderedPageBreak/>
        <w:t>Terminación Proyecto Construcción Avenida Circunvalación Norte, Lote 5, (enlaces) desde la Autopista Santiago-Navarrete hasta La Avenida Hermanas Mirabal, Provincia Santiago, con una longitud de 4.03 km, un Valor Presupuestado de RD$5,606,062,051.67 (Cinco Mil Seiscientos Seis Millones Sesenta y Dos Mil Cincuenta y Un Pesos con 00/100). Condición Actual: Ejecución.</w:t>
      </w:r>
      <w:r w:rsidRPr="00954407">
        <w:tab/>
      </w:r>
    </w:p>
    <w:p w14:paraId="35D782EB" w14:textId="77777777" w:rsidR="00BC27E9" w:rsidRPr="00954407" w:rsidRDefault="00BC27E9" w:rsidP="00D914F3">
      <w:pPr>
        <w:pStyle w:val="EstilodePrrafoNormal1RdeC"/>
        <w:numPr>
          <w:ilvl w:val="0"/>
          <w:numId w:val="197"/>
        </w:numPr>
        <w:spacing w:afterLines="240" w:after="576"/>
        <w:ind w:left="0" w:firstLine="0"/>
      </w:pPr>
      <w:r w:rsidRPr="00954407">
        <w:t>Terminación Proyecto Reconstrucción y Ampliación Carretera Enriquillo- Pedernales, Provincias Barahona y Pedernales, con una longitud de 73.0 km, un valor presupuestado de RD$6,493,207,272.80 (Seis Mil Cuatrocientos Noventa y Tres Millones Doscientos Siete Mil Doscientos Setenta y Dos Pesos con 80/100). Condición actual: Ejecución.</w:t>
      </w:r>
    </w:p>
    <w:p w14:paraId="27C6419F" w14:textId="77777777" w:rsidR="00BC27E9" w:rsidRPr="00954407" w:rsidRDefault="00BC27E9" w:rsidP="00D914F3">
      <w:pPr>
        <w:pStyle w:val="EstilodePrrafoNormal1RdeC"/>
        <w:numPr>
          <w:ilvl w:val="0"/>
          <w:numId w:val="197"/>
        </w:numPr>
        <w:spacing w:afterLines="240" w:after="576"/>
        <w:ind w:left="0" w:firstLine="0"/>
      </w:pPr>
      <w:r w:rsidRPr="00954407">
        <w:t>Construcción de la Avenida de Circunvalación de San Francisco de Macorís, Provincia Duarte, con una longitud de 15.0 km, un valor presupuestado de RD$2,014,536,217.57 (Dos Mil Catorce Millones Quinientos Treinta y Seis Mil Doscientos Diecisiete Pesos con 57/100). Condición actual: Ejecución.</w:t>
      </w:r>
    </w:p>
    <w:p w14:paraId="7BD038D7" w14:textId="77777777" w:rsidR="00BC27E9" w:rsidRPr="00954407" w:rsidRDefault="00BC27E9" w:rsidP="00D914F3">
      <w:pPr>
        <w:pStyle w:val="EstilodePrrafoNormal1RdeC"/>
        <w:numPr>
          <w:ilvl w:val="0"/>
          <w:numId w:val="197"/>
        </w:numPr>
        <w:spacing w:afterLines="240" w:after="576"/>
        <w:ind w:left="0" w:firstLine="0"/>
      </w:pPr>
      <w:r w:rsidRPr="00954407">
        <w:t>Construcción Avenida Nuevo Camino / Circunvalación Los Alcarrizos, Municipio Los Alcarrizos, Provincia Santo Domingo, con una longitud de 8.0 km, un valor presupuestado de RD$2,388,116,904.14 (Dos Mil Trescientos Ochenta y Ocho Millones Ciento Dieciséis Mil Novecientos Cuatro Pesos con 14/100). Condición actual: Ejecución.</w:t>
      </w:r>
    </w:p>
    <w:p w14:paraId="7E218644" w14:textId="77777777" w:rsidR="00BC27E9" w:rsidRPr="00954407" w:rsidRDefault="00BC27E9" w:rsidP="00D914F3">
      <w:pPr>
        <w:pStyle w:val="EstilodePrrafoNormal1RdeC"/>
        <w:numPr>
          <w:ilvl w:val="0"/>
          <w:numId w:val="197"/>
        </w:numPr>
        <w:spacing w:afterLines="240" w:after="576"/>
        <w:ind w:left="0" w:firstLine="0"/>
      </w:pPr>
      <w:r w:rsidRPr="00954407">
        <w:t>Reconstrucción Construcción Circunvalación de La Otra Banda, (entre Carreteras Higüey - La Otra Banda - Verón), Municipio </w:t>
      </w:r>
      <w:hyperlink r:id="rId30" w:history="1">
        <w:r w:rsidRPr="00954407">
          <w:t>Higüey</w:t>
        </w:r>
      </w:hyperlink>
      <w:r w:rsidRPr="00954407">
        <w:t xml:space="preserve">, Provincia La Altagracia, con una longitud de 4.13 km, un valor presupuestado de RD$2,267,665,796.59 (Dos Mil Doscientos Sesenta y </w:t>
      </w:r>
      <w:r w:rsidRPr="00954407">
        <w:lastRenderedPageBreak/>
        <w:t>Siete Millones Seiscientos Sesenta y Cinco Mil Setecientos Noventa y Seis Pesos con 59/100). Condición actual: Ejecución.</w:t>
      </w:r>
    </w:p>
    <w:p w14:paraId="6728C9C6" w14:textId="77777777" w:rsidR="00BC27E9" w:rsidRPr="00954407" w:rsidRDefault="00BC27E9" w:rsidP="00D914F3">
      <w:pPr>
        <w:pStyle w:val="EstilodePrrafoNormal1RdeC"/>
        <w:numPr>
          <w:ilvl w:val="0"/>
          <w:numId w:val="197"/>
        </w:numPr>
        <w:spacing w:afterLines="240" w:after="576"/>
        <w:ind w:left="0" w:firstLine="0"/>
      </w:pPr>
      <w:r w:rsidRPr="00954407">
        <w:t>Terminación Proyecto Reconstrucción Carretera Barahona- Enriquillo, Provincia Barahona, con una longitud de 45.50 km, un valor presupuestado de RD$5,235,993,541.46 (Cinco Mil Doscientos Treinta y Cinco Millones Novecientos Noventa y Tres Mil Quinientos Cuarenta y Un Pesos con 46/100). Condición actual: Ejecución.</w:t>
      </w:r>
    </w:p>
    <w:p w14:paraId="22D1A080" w14:textId="77777777" w:rsidR="00BC27E9" w:rsidRPr="00954407" w:rsidRDefault="00BC27E9" w:rsidP="00D914F3">
      <w:pPr>
        <w:pStyle w:val="EstilodePrrafoNormal1RdeC"/>
        <w:numPr>
          <w:ilvl w:val="0"/>
          <w:numId w:val="197"/>
        </w:numPr>
        <w:spacing w:afterLines="240" w:after="576"/>
        <w:ind w:left="0" w:firstLine="0"/>
      </w:pPr>
      <w:r w:rsidRPr="00954407">
        <w:t>Construcción Barrera de Protección Marina, Tramo Vial, Obras Conexas y Complementarias en el Municipio de Nagua (Malecón de Nagua), Provincia María Trinidad Sánchez, con una longitud de 3.30 km, un valor presupuestado de RD$3,308,406,249.20 (Tres Mil Trescientos Ocho Millones Cuatrocientos Seis Mil Doscientos Cuarenta y Nueve Pesos con 20/100). Condición actual: Ejecución.</w:t>
      </w:r>
    </w:p>
    <w:p w14:paraId="5F0713BB" w14:textId="77777777" w:rsidR="00BC27E9" w:rsidRPr="00954407" w:rsidRDefault="00BC27E9" w:rsidP="00D914F3">
      <w:pPr>
        <w:pStyle w:val="EstilodePrrafoNormal1RdeC"/>
        <w:numPr>
          <w:ilvl w:val="0"/>
          <w:numId w:val="197"/>
        </w:numPr>
        <w:spacing w:afterLines="240" w:after="576"/>
        <w:ind w:left="0" w:firstLine="0"/>
      </w:pPr>
      <w:r w:rsidRPr="00954407">
        <w:t>Terminación Reconstrucción Carretera Hacienda Estrella- Cruce Pajón hasta Monte Plata, Provincia Monte Plata, con una longitud de 21.75 km, un valor presupuestado de RD$1,138,245,926.69 (Mil Ciento Treinta y Ocho Millones Doscientos Cuarenta y Cinco Mil Novecientos Veintiséis Pesos con 69/100). Condición actual: Ejecución.</w:t>
      </w:r>
    </w:p>
    <w:p w14:paraId="2D8CE6D8" w14:textId="77777777" w:rsidR="00BC27E9" w:rsidRPr="00954407" w:rsidRDefault="00BC27E9" w:rsidP="00D914F3">
      <w:pPr>
        <w:pStyle w:val="EstilodePrrafoNormal1RdeC"/>
        <w:numPr>
          <w:ilvl w:val="0"/>
          <w:numId w:val="197"/>
        </w:numPr>
        <w:spacing w:afterLines="240" w:after="576"/>
        <w:ind w:left="0" w:firstLine="0"/>
      </w:pPr>
      <w:r w:rsidRPr="00954407">
        <w:t>Diseño y Construcción Carretera Hato Mayor - El Puerto, Provincia Hato Mayor, con una longitud de 22.60 km, un valor presupuestado de RD$3,730,483,072.01 (Tres Mil Setecientos Treinta Millones Cuatrocientos Ochenta y Tres Mil Setenta y Dos Pesos con 00/100). Condición actual: Ejecución.</w:t>
      </w:r>
    </w:p>
    <w:p w14:paraId="1180B441" w14:textId="77777777" w:rsidR="00BC27E9" w:rsidRPr="00954407" w:rsidRDefault="00BC27E9" w:rsidP="00D914F3">
      <w:pPr>
        <w:pStyle w:val="EstilodePrrafoNormal1RdeC"/>
        <w:numPr>
          <w:ilvl w:val="0"/>
          <w:numId w:val="197"/>
        </w:numPr>
        <w:spacing w:afterLines="240" w:after="576"/>
        <w:ind w:left="0" w:firstLine="0"/>
      </w:pPr>
      <w:r w:rsidRPr="00954407">
        <w:lastRenderedPageBreak/>
        <w:t>A</w:t>
      </w:r>
      <w:r w:rsidRPr="00954407">
        <w:rPr>
          <w:rFonts w:eastAsia="Calibri"/>
          <w:noProof/>
        </w:rPr>
        <w:t>mpliación Vial Km 9 de la Autopista Duarte con Avenida Gregorio Luperón, Municipio Santo Domingo Norte, Provincia Santo Domingo con un valor presupuestado de RD$1,723,584,280.93 (Un Mil Setecientos Veintitrés  Millones Quinientos Ochenta y Cuatro Mil Doscientos Ochenta Pesos con 93/100),  Condición actual: Ejecución.</w:t>
      </w:r>
    </w:p>
    <w:p w14:paraId="118FD58B" w14:textId="77777777" w:rsidR="00BC27E9" w:rsidRPr="00954407" w:rsidRDefault="00BC27E9" w:rsidP="00D914F3">
      <w:pPr>
        <w:pStyle w:val="EstilodePrrafoNormal1RdeC"/>
        <w:numPr>
          <w:ilvl w:val="0"/>
          <w:numId w:val="197"/>
        </w:numPr>
        <w:spacing w:afterLines="240" w:after="576"/>
        <w:ind w:left="0" w:firstLine="0"/>
      </w:pPr>
      <w:r w:rsidRPr="00954407">
        <w:t>Mejoramiento Puerto de Manzanillo y sus vías de Conectividad, Provincia Montecristi, con un valor presupuestado de RD$6,230,000,000.00 (Seis Mil Doscientos Treinta Millones de Pesos con 00/100), incluye la ejecución de varias obras viales en el municipio de Montecristi. Condición actual: Ejecución.</w:t>
      </w:r>
    </w:p>
    <w:p w14:paraId="55FFE440" w14:textId="77777777" w:rsidR="00BC27E9" w:rsidRPr="00954407" w:rsidRDefault="00BC27E9" w:rsidP="00D914F3">
      <w:pPr>
        <w:pStyle w:val="EstilodePrrafoNormal1RdeC"/>
        <w:numPr>
          <w:ilvl w:val="0"/>
          <w:numId w:val="197"/>
        </w:numPr>
        <w:spacing w:afterLines="240" w:after="576"/>
        <w:ind w:left="0" w:firstLine="0"/>
      </w:pPr>
      <w:r w:rsidRPr="00954407">
        <w:t>Diseño y Reconstrucción Entrada Acceso a la ciudad de Samaná, Provincia Samaná, con una longitud de 3.10 km, un valor presupuestado de RD$720,760,279.80 (Setecientos Veinte Millones Setecientos Sesenta Mil Doscientos Setenta y Nueve Pesos con 80/100). Condición actual: Ejecución;</w:t>
      </w:r>
    </w:p>
    <w:p w14:paraId="54E45247" w14:textId="77777777" w:rsidR="00BC27E9" w:rsidRPr="00954407" w:rsidRDefault="00BC27E9" w:rsidP="00D914F3">
      <w:pPr>
        <w:pStyle w:val="EstilodePrrafoNormal1RdeC"/>
        <w:numPr>
          <w:ilvl w:val="0"/>
          <w:numId w:val="197"/>
        </w:numPr>
        <w:spacing w:afterLines="240" w:after="576"/>
        <w:ind w:left="0" w:firstLine="0"/>
      </w:pPr>
      <w:r w:rsidRPr="00954407">
        <w:t>Reconstrucción del Tramo III de la Carretera Rancho Arriba-Sabana Larga (Terminación Carretera Cibao-Sur), Municipios Rancho Arriba y Sabana Larga, Provincia San José de Ocoa, con una longitud de 29.70 km, un valor presupuestado de RD$ 3,574,186,151.71 (Tres Mil Quinientos Setenta y Cuatro Millones Ciento Ochenta y Seis Mil Ciento Cincuenta y Un Pesos con 71/100). Condición actual: Ejecución.</w:t>
      </w:r>
    </w:p>
    <w:p w14:paraId="56353E44" w14:textId="77777777" w:rsidR="00BC27E9" w:rsidRPr="00954407" w:rsidRDefault="00BC27E9" w:rsidP="00D914F3">
      <w:pPr>
        <w:pStyle w:val="EstilodePrrafoNormal1RdeC"/>
        <w:numPr>
          <w:ilvl w:val="0"/>
          <w:numId w:val="197"/>
        </w:numPr>
        <w:spacing w:afterLines="240" w:after="576"/>
        <w:ind w:left="0" w:firstLine="0"/>
      </w:pPr>
      <w:r w:rsidRPr="00954407">
        <w:t>Reconstrucción Carrretera Bayaguana - El Puerto, Provincia Monte Plata,</w:t>
      </w:r>
      <w:r w:rsidRPr="00954407">
        <w:rPr>
          <w:color w:val="0A0A0A"/>
          <w:shd w:val="clear" w:color="auto" w:fill="FFFFFF"/>
        </w:rPr>
        <w:t xml:space="preserve"> </w:t>
      </w:r>
      <w:r w:rsidRPr="00954407">
        <w:t xml:space="preserve">con una longitud de 19.0 km, un valor presupuestado de RD$472,511,621.88 (Cuatrocientos Setenta y Dos Millones Quinientos Once Mil Seiscientos Veintiún Pesos con 88/100). Condición actual: </w:t>
      </w:r>
      <w:r w:rsidRPr="00954407">
        <w:lastRenderedPageBreak/>
        <w:t>Ejecución.</w:t>
      </w:r>
    </w:p>
    <w:p w14:paraId="53A293B0" w14:textId="77777777" w:rsidR="00BC27E9" w:rsidRPr="00954407" w:rsidRDefault="00BC27E9" w:rsidP="00D914F3">
      <w:pPr>
        <w:pStyle w:val="EstilodePrrafoNormal1RdeC"/>
        <w:numPr>
          <w:ilvl w:val="0"/>
          <w:numId w:val="197"/>
        </w:numPr>
        <w:spacing w:afterLines="240" w:after="576"/>
        <w:ind w:left="0" w:firstLine="0"/>
      </w:pPr>
      <w:r w:rsidRPr="00954407">
        <w:t>Diseño y Construcción Carretera Hato Mayor - El Puerto, Provincia Hato Mayor, con una longitud de 22.6 km, un valor presupuestado de RD$3,730,483,072.01 (Tres Mil Setecientos Treinta Millones Cuatrocientos Ochenta y Tres Mil Setenta y Dos Pesos con 01/100). Condición actual: Ejecución</w:t>
      </w:r>
      <w:r w:rsidRPr="00954407">
        <w:rPr>
          <w:color w:val="0A0A0A"/>
          <w:shd w:val="clear" w:color="auto" w:fill="FFFFFF"/>
        </w:rPr>
        <w:t>.</w:t>
      </w:r>
    </w:p>
    <w:p w14:paraId="1F08B0BD" w14:textId="77777777" w:rsidR="00BC27E9" w:rsidRPr="00954407" w:rsidRDefault="00BC27E9" w:rsidP="00D914F3">
      <w:pPr>
        <w:pStyle w:val="EstilodePrrafoNormal1RdeC"/>
        <w:numPr>
          <w:ilvl w:val="0"/>
          <w:numId w:val="197"/>
        </w:numPr>
        <w:spacing w:afterLines="240" w:after="576"/>
        <w:ind w:left="0" w:firstLine="0"/>
      </w:pPr>
      <w:r w:rsidRPr="00954407">
        <w:t>Reconstrucción Carretera La Yaguiza-Los Zacones-Los Cacaos-San Francisco de Macorís, Provincia Duarte, Etapa II,</w:t>
      </w:r>
      <w:r w:rsidRPr="00954407">
        <w:rPr>
          <w:color w:val="0A0A0A"/>
          <w:shd w:val="clear" w:color="auto" w:fill="FFFFFF"/>
        </w:rPr>
        <w:t xml:space="preserve"> </w:t>
      </w:r>
      <w:r w:rsidRPr="00954407">
        <w:t>con una longitud de 14.0 km, un valor presupuestado de RD$908,445,897.89 (Novecientos Ocho Millones Cuatrocientos Cuarenta y Cinco Mil Ochocientos Noventa y Siete Pesos con 89/100). Condición actual: Ejecución.</w:t>
      </w:r>
    </w:p>
    <w:p w14:paraId="2B71086C" w14:textId="77777777" w:rsidR="00BC27E9" w:rsidRPr="00954407" w:rsidRDefault="00BC27E9" w:rsidP="00D914F3">
      <w:pPr>
        <w:pStyle w:val="EstilodePrrafoNormal1RdeC"/>
        <w:numPr>
          <w:ilvl w:val="0"/>
          <w:numId w:val="197"/>
        </w:numPr>
        <w:spacing w:afterLines="240" w:after="576"/>
        <w:ind w:left="0" w:firstLine="0"/>
      </w:pPr>
      <w:r w:rsidRPr="00954407">
        <w:t>Construcción Camino Vecinal La Siembra (D.M.)-Padre Las Casas, Provincia Azua, con una longitud de 5.20 km, un valor presupuestado de RD$761,126,871.53 (Setecientos Sesenta y Un Millones Ciento Veintiséis Mil Ochocientos Setenta y Un Pesos con 53/100). Condición actual: Ejecución.</w:t>
      </w:r>
    </w:p>
    <w:p w14:paraId="2A5CCED5" w14:textId="77777777" w:rsidR="00BC27E9" w:rsidRPr="00954407" w:rsidRDefault="00BC27E9" w:rsidP="00D914F3">
      <w:pPr>
        <w:pStyle w:val="EstilodePrrafoNormal1RdeC"/>
        <w:numPr>
          <w:ilvl w:val="0"/>
          <w:numId w:val="197"/>
        </w:numPr>
        <w:spacing w:afterLines="240" w:after="576"/>
        <w:ind w:left="0" w:firstLine="0"/>
      </w:pPr>
      <w:r w:rsidRPr="00954407">
        <w:t>Construcción Camino Vecinal La Llanada del Cerro, Provincia Azua, con una longitud de 8.30 km, un valor presupuestado de RD$104,733,650.93 (Ciento Cuatro Millones Setecientos Treinta y Tres Mil Seiscientos Cincuenta Pesos con 93/100). Condición actual: Ejecución.</w:t>
      </w:r>
    </w:p>
    <w:p w14:paraId="457792AD" w14:textId="77777777" w:rsidR="00BC27E9" w:rsidRPr="00954407" w:rsidRDefault="00BC27E9" w:rsidP="00D914F3">
      <w:pPr>
        <w:pStyle w:val="EstilodePrrafoNormal1RdeC"/>
        <w:numPr>
          <w:ilvl w:val="0"/>
          <w:numId w:val="197"/>
        </w:numPr>
        <w:spacing w:afterLines="240" w:after="576"/>
        <w:ind w:left="0" w:firstLine="0"/>
      </w:pPr>
      <w:r w:rsidRPr="00954407">
        <w:t xml:space="preserve">Reconstrucción Camino Vecinal Cruce La Piña - Naranjo Dulce - La Explanación - Río Boba, Municipio San Francisco de Macorís, Provincia Duarte, con una longitud de 5.0 km, un valor presupuestado de </w:t>
      </w:r>
      <w:r w:rsidRPr="00954407">
        <w:lastRenderedPageBreak/>
        <w:t>RD$413,696,047.57 (Cuatrocientos Trece Millones Seiscientos Noventa y Seis Mil Cuarenta y Siete Pesos con 57/100). Condición actual: Ejecución.</w:t>
      </w:r>
    </w:p>
    <w:p w14:paraId="1742D3C3" w14:textId="77777777" w:rsidR="00BC27E9" w:rsidRPr="00954407" w:rsidRDefault="00BC27E9" w:rsidP="00D914F3">
      <w:pPr>
        <w:pStyle w:val="EstilodePrrafoNormal1RdeC"/>
        <w:numPr>
          <w:ilvl w:val="0"/>
          <w:numId w:val="197"/>
        </w:numPr>
        <w:spacing w:afterLines="240" w:after="576"/>
        <w:ind w:left="0" w:firstLine="0"/>
      </w:pPr>
      <w:r w:rsidRPr="00954407">
        <w:t>Reconstrucción Camino Carretero El Mango - El Cercado, Municipio San Francisco de Macorís, Provincia Duarte, con una longitud de 8.4 km, un valor presupuestado de RD$465,133,735.84 (Cuatrocientos Sesenta y Cinco Millones Ciento Treinta y Tres Mil Setecientos Treinta y Cinco Pesos con 84100). Condición actual: Ejecución;</w:t>
      </w:r>
    </w:p>
    <w:p w14:paraId="79C29C4E" w14:textId="2EFF2249" w:rsidR="00BC27E9" w:rsidRPr="00954407" w:rsidRDefault="00BC27E9" w:rsidP="00D914F3">
      <w:pPr>
        <w:pStyle w:val="EstilodePrrafoNormal1RdeC"/>
        <w:numPr>
          <w:ilvl w:val="0"/>
          <w:numId w:val="197"/>
        </w:numPr>
        <w:spacing w:afterLines="240" w:after="576"/>
        <w:ind w:left="0" w:firstLine="0"/>
      </w:pPr>
      <w:r w:rsidRPr="00954407">
        <w:t>Reconstrucción Camino Vecinal Los Fríos - Los Guayayos - Las Lajas, Provincia Azua, con una longitud de 12.80 km, un valor presupuestado de RD$109,861,685.68 (Ciento Nueve Millones Ochocientos Sesenta y Un Mil Seiscientos Ochenta y Cinco Pesos con 68/100). Condición actual: Ejecución.</w:t>
      </w:r>
    </w:p>
    <w:p w14:paraId="39F34C94" w14:textId="77777777" w:rsidR="00BC27E9" w:rsidRPr="00954407" w:rsidRDefault="00BC27E9" w:rsidP="00D914F3">
      <w:pPr>
        <w:pStyle w:val="EstilodePrrafoNormal1RdeC"/>
        <w:numPr>
          <w:ilvl w:val="0"/>
          <w:numId w:val="197"/>
        </w:numPr>
        <w:spacing w:afterLines="240" w:after="576"/>
        <w:ind w:left="0" w:firstLine="0"/>
      </w:pPr>
      <w:r w:rsidRPr="00954407">
        <w:t>Reconstrucción Camino Vecinal Ranchito – Los Tres Pasos - Los Hidalgos, Provincia Puerto Plata, con una longitud de 6.50 km, un valor presupuestado de RD$161,472,065.44 (Ciento Sesenta y Un Millones Cuatrocientos Setenta y Dos Mil Sesenta y Cinco Pesos con 44/100). Condición actual: Ejecución;</w:t>
      </w:r>
    </w:p>
    <w:p w14:paraId="45CDA780" w14:textId="766CCD7F" w:rsidR="00BC27E9" w:rsidRPr="00954407" w:rsidRDefault="00BC27E9" w:rsidP="00D914F3">
      <w:pPr>
        <w:pStyle w:val="EstilodePrrafoNormal1RdeC"/>
        <w:numPr>
          <w:ilvl w:val="0"/>
          <w:numId w:val="197"/>
        </w:numPr>
        <w:spacing w:afterLines="240" w:after="576"/>
        <w:ind w:left="0" w:firstLine="0"/>
      </w:pPr>
      <w:r w:rsidRPr="00954407">
        <w:t xml:space="preserve">Reconstrucción de calles en el sector Los Solares en Bella Vista, Provincia Santiago, con una longitud de 11.25 km de vías, un valor presupuestado de RD$125,000,000.00 (Ciento Veinticinco Millones de Pesos con 00/100), en beneficio de más de 25,000 personas, los </w:t>
      </w:r>
      <w:r w:rsidR="00B84A23" w:rsidRPr="00954407">
        <w:t>trabajos incluyen</w:t>
      </w:r>
      <w:r w:rsidRPr="00954407">
        <w:t xml:space="preserve"> la rehabilitación de tramos con base estabilizada, la construcción de nuevas aceras y contenes, la señalización vial y la habilitación de drenajes para prevenir inundaciones. Condición actual: Ejecución.</w:t>
      </w:r>
    </w:p>
    <w:p w14:paraId="7D9FBC41" w14:textId="77777777" w:rsidR="00BC27E9" w:rsidRPr="00954407" w:rsidRDefault="00BC27E9" w:rsidP="00D914F3">
      <w:pPr>
        <w:pStyle w:val="EstilodePrrafoNormal1RdeC"/>
        <w:numPr>
          <w:ilvl w:val="0"/>
          <w:numId w:val="197"/>
        </w:numPr>
        <w:spacing w:afterLines="240" w:after="576"/>
        <w:ind w:left="0" w:firstLine="0"/>
      </w:pPr>
      <w:r w:rsidRPr="00954407">
        <w:lastRenderedPageBreak/>
        <w:t>Terminación Reconstrucción Carretera Turística Gregorio Luperón, Provincias Santiago y Puerto Plata, con una longitud de 41.0 km, un valor presupuestado aproximado de RD$1,061,250,000.00 (Un Mil Sesenta Un Millones Doscientos Cincuenta Mil Pesos con 00/100). Condición actual: Ejecución.</w:t>
      </w:r>
    </w:p>
    <w:p w14:paraId="7405F2E2" w14:textId="7950D150" w:rsidR="00BC27E9" w:rsidRPr="00954407" w:rsidRDefault="00BC27E9" w:rsidP="00D914F3">
      <w:pPr>
        <w:pStyle w:val="EstilodePrrafoNormal1RdeC"/>
        <w:numPr>
          <w:ilvl w:val="0"/>
          <w:numId w:val="197"/>
        </w:numPr>
        <w:spacing w:afterLines="240" w:after="576"/>
        <w:ind w:left="0" w:firstLine="0"/>
      </w:pPr>
      <w:r w:rsidRPr="00954407">
        <w:t xml:space="preserve">Terminación Reconstrucción Carretera Comendador – Cruce de Guaroa – Sabana Cruz y Camino Vecinal Cruce de Guaroa- Macasías, Provincias Elías Piña, con una longitud de 31.0 km, un valor presupuestado aproximado de RD$1,120,000,000.00 (Un Mil Ciento Veinte Millones de Pesos </w:t>
      </w:r>
      <w:r w:rsidR="00B84A23" w:rsidRPr="00954407">
        <w:t>con 00</w:t>
      </w:r>
      <w:r w:rsidRPr="00954407">
        <w:t>/100). Condición actual: Ejecución.</w:t>
      </w:r>
    </w:p>
    <w:p w14:paraId="2343D040" w14:textId="77777777" w:rsidR="00BC27E9" w:rsidRPr="00954407" w:rsidRDefault="00BC27E9" w:rsidP="00D914F3">
      <w:pPr>
        <w:pStyle w:val="EstilodePrrafoNormal1RdeC"/>
        <w:numPr>
          <w:ilvl w:val="0"/>
          <w:numId w:val="197"/>
        </w:numPr>
        <w:spacing w:afterLines="240" w:after="576"/>
        <w:ind w:left="0" w:firstLine="0"/>
      </w:pPr>
      <w:r w:rsidRPr="00954407">
        <w:t>Construcción de Paso a Desnivel Soterrado en la Intersección de la Av. Luperón con Av. 27 de Febrero, Provincia Santo Domingo, con un valor presupuestado de RD$2,575,804,290.09 (Dos Mil Quinientos Setenta y Cinco Millones Ochocientos Cuatro Mil Doscientos Noventa Pesos con 09/100). Condición actual: Ejecución.</w:t>
      </w:r>
    </w:p>
    <w:p w14:paraId="7B98DC5F" w14:textId="77777777" w:rsidR="00BC27E9" w:rsidRPr="00954407" w:rsidRDefault="00BC27E9" w:rsidP="00D914F3">
      <w:pPr>
        <w:pStyle w:val="EstilodePrrafoNormal1RdeC"/>
        <w:numPr>
          <w:ilvl w:val="0"/>
          <w:numId w:val="197"/>
        </w:numPr>
        <w:spacing w:afterLines="240" w:after="576"/>
        <w:ind w:left="0" w:firstLine="0"/>
      </w:pPr>
      <w:r w:rsidRPr="00954407">
        <w:t>Construcción de Infraestructura Vial para el Desarrollo Turístico de Cabo Rojo, Municipio Pedernales, Provincia Pedernales, con un valor presupuestado de RD$ 2,732,257,453.77 (Dos Mil Setecientos Treinta y Dos Millones Doscientos Cincuenta y Tres Mil Cuatrocientos Cincuenta y Tres Pesos con 77/100). Condición actual: Ejecución.</w:t>
      </w:r>
    </w:p>
    <w:p w14:paraId="0726B483" w14:textId="77777777" w:rsidR="00BC27E9" w:rsidRDefault="00BC27E9" w:rsidP="00BC27E9">
      <w:pPr>
        <w:pStyle w:val="EstilodePrrafoNormal1RdeC"/>
      </w:pPr>
      <w:r w:rsidRPr="00954407">
        <w:t>Además, es importante resaltar las ejecutorias del Programa de Mejoramiento de la Infraestructura Vial Municipal Urbana del MOPC, con una intervención durante el periodo enero – noviembre del año 2025, en 166 municipios del territorio nacional, con una inversión aproximada de RD$21,170,249,772.27 en 1,800 kilómetros, destacándose los siguientes:</w:t>
      </w:r>
    </w:p>
    <w:p w14:paraId="449ACC89" w14:textId="77777777" w:rsidR="00D914F3" w:rsidRPr="00954407" w:rsidRDefault="00D914F3" w:rsidP="00BC27E9">
      <w:pPr>
        <w:pStyle w:val="EstilodePrrafoNormal1RdeC"/>
      </w:pPr>
    </w:p>
    <w:p w14:paraId="72E7B5B1" w14:textId="3578C8C6" w:rsidR="00BC27E9" w:rsidRPr="00954407" w:rsidRDefault="00BC27E9" w:rsidP="00755C02">
      <w:pPr>
        <w:pStyle w:val="EstilodePrrafoNormal1RdeC"/>
        <w:numPr>
          <w:ilvl w:val="0"/>
          <w:numId w:val="197"/>
        </w:numPr>
        <w:spacing w:after="240"/>
        <w:ind w:left="0" w:firstLine="0"/>
      </w:pPr>
      <w:r w:rsidRPr="00954407">
        <w:t xml:space="preserve">Reconstrucción de las Calles de los Barrios Los Macos, Juan López, Provincia Espaillat, en el Barrio Emma </w:t>
      </w:r>
      <w:r w:rsidR="00B84A23" w:rsidRPr="00954407">
        <w:t>Balaguer, Provincia</w:t>
      </w:r>
      <w:r w:rsidRPr="00954407">
        <w:t xml:space="preserve"> </w:t>
      </w:r>
      <w:r w:rsidR="00B84A23" w:rsidRPr="00954407">
        <w:t>Azua,</w:t>
      </w:r>
      <w:r w:rsidRPr="00954407">
        <w:t xml:space="preserve"> con una longitud </w:t>
      </w:r>
      <w:r w:rsidR="00B84A23" w:rsidRPr="00954407">
        <w:t>de 5.80</w:t>
      </w:r>
      <w:r w:rsidRPr="00954407">
        <w:t xml:space="preserve"> km, un </w:t>
      </w:r>
      <w:r w:rsidR="00B84A23" w:rsidRPr="00954407">
        <w:t>valor presupuestado</w:t>
      </w:r>
      <w:r w:rsidRPr="00954407">
        <w:t xml:space="preserve"> aproximado de RD$ 8,126,097.91 (Ocho Millones, Ciento Veintiséis Mil Noventa y Siete con 91/100). Condición Actual: En Ejecución.</w:t>
      </w:r>
    </w:p>
    <w:p w14:paraId="3E3238AB" w14:textId="4FD553CD" w:rsidR="00BC27E9" w:rsidRPr="00954407" w:rsidRDefault="00BC27E9" w:rsidP="00755C02">
      <w:pPr>
        <w:pStyle w:val="EstilodePrrafoNormal1RdeC"/>
        <w:numPr>
          <w:ilvl w:val="0"/>
          <w:numId w:val="197"/>
        </w:numPr>
        <w:spacing w:after="240"/>
        <w:ind w:left="0" w:firstLine="0"/>
      </w:pPr>
      <w:r w:rsidRPr="00954407">
        <w:t>Reconstrucción de calles adyacentes a la Escuela Cándido Eligio Guerrero del sector San Pedro, Provincia La Altagracia, con una longitud aproximada de 2.20 km y un monto de RD$117,451,080.79 (Ciento Diecisiete Mil, Cuatrocientos Cincuenta y Un mil Ochenta con 79/100).</w:t>
      </w:r>
    </w:p>
    <w:p w14:paraId="27B4CB38" w14:textId="45FCCF6A" w:rsidR="00BC27E9" w:rsidRPr="00954407" w:rsidRDefault="00BC27E9" w:rsidP="00755C02">
      <w:pPr>
        <w:pStyle w:val="EstilodePrrafoNormal1RdeC"/>
        <w:numPr>
          <w:ilvl w:val="0"/>
          <w:numId w:val="197"/>
        </w:numPr>
        <w:spacing w:after="240"/>
        <w:ind w:left="0" w:firstLine="0"/>
      </w:pPr>
      <w:r w:rsidRPr="00954407">
        <w:t>Reconstrucción de las calles del Batey Enriquillo (Batey Verde), Provincia Monte Plata, con una longitud aproximada de 2.00 km y un monto de RD$113,454,544.06 (Ciento Trece Millones, Cuatrocientos Cincuenta y Cuatro Mil Quinientos Cuarenta y Cuatro con 06/100).</w:t>
      </w:r>
    </w:p>
    <w:p w14:paraId="5DE4E7AD" w14:textId="0EADFD96" w:rsidR="00BC27E9" w:rsidRPr="00954407" w:rsidRDefault="00BC27E9" w:rsidP="00755C02">
      <w:pPr>
        <w:pStyle w:val="EstilodePrrafoNormal1RdeC"/>
        <w:numPr>
          <w:ilvl w:val="0"/>
          <w:numId w:val="197"/>
        </w:numPr>
        <w:spacing w:after="240"/>
        <w:ind w:left="0" w:firstLine="0"/>
      </w:pPr>
      <w:r w:rsidRPr="00954407">
        <w:t>Construcción de la calle principal La Ceiba – Los Mambruses, Provincia Monte Plata, con una longitud aproximada de 3.00 km y un monto de RD$132,121,902.29 (Ciento Treinta y Dos Millones, Ciento Veintiún Mil Novecientos Dos con 29/100).</w:t>
      </w:r>
    </w:p>
    <w:p w14:paraId="3198CADD" w14:textId="43E6226F" w:rsidR="00BC27E9" w:rsidRPr="00954407" w:rsidRDefault="00BC27E9" w:rsidP="00755C02">
      <w:pPr>
        <w:pStyle w:val="EstilodePrrafoNormal1RdeC"/>
        <w:numPr>
          <w:ilvl w:val="0"/>
          <w:numId w:val="197"/>
        </w:numPr>
        <w:spacing w:after="240"/>
        <w:ind w:left="0" w:firstLine="0"/>
      </w:pPr>
      <w:r w:rsidRPr="00954407">
        <w:t>Reconstrucción de las calles de Arroyo Hondo, Etapa II, Provincia Peravia, con una longitud aproximada de 10.00 km y un monto de RD$241,320,267.14 (Doscientos Cuarenta y Un Millones, Trescientos Veinte Mil Doscientos Sesenta y Siete con 14/100).</w:t>
      </w:r>
    </w:p>
    <w:p w14:paraId="4DAB5328" w14:textId="6EC3C5FA" w:rsidR="00BC27E9" w:rsidRPr="00954407" w:rsidRDefault="00BC27E9" w:rsidP="00755C02">
      <w:pPr>
        <w:pStyle w:val="EstilodePrrafoNormal1RdeC"/>
        <w:numPr>
          <w:ilvl w:val="0"/>
          <w:numId w:val="197"/>
        </w:numPr>
        <w:spacing w:after="240"/>
        <w:ind w:left="0" w:firstLine="0"/>
      </w:pPr>
      <w:r w:rsidRPr="00954407">
        <w:t>Reconstrucción y asfaltado de los barrios San Marco y carretera San Marco – Copey, Provincia Puerto Plata, con una longitud aproximada de 13.00 km y un monto de RD$501,938,051.27 (Quinientos Un Millones, Novecientos Treinta y Ocho Mil Cincuenta y Uno con 27/100).</w:t>
      </w:r>
    </w:p>
    <w:p w14:paraId="40A1FB53" w14:textId="678EF6DD" w:rsidR="00BC27E9" w:rsidRPr="00954407" w:rsidRDefault="00BC27E9" w:rsidP="00755C02">
      <w:pPr>
        <w:pStyle w:val="EstilodePrrafoNormal1RdeC"/>
        <w:numPr>
          <w:ilvl w:val="0"/>
          <w:numId w:val="197"/>
        </w:numPr>
        <w:spacing w:after="240"/>
        <w:ind w:left="0" w:firstLine="0"/>
      </w:pPr>
      <w:r w:rsidRPr="00954407">
        <w:t xml:space="preserve">Construcción de las calles del Batey Alemán, Ingenio Santa Fe, </w:t>
      </w:r>
      <w:r w:rsidRPr="00954407">
        <w:lastRenderedPageBreak/>
        <w:t>Provincia San Pedro de Macorís, con una longitud aproximada de 5.00 km y un monto de RD$47,250,793.42 (Cuarenta y Siete Millones, Doscientos Cincuenta Mil Setecientos Noventa y Tres con 42/100).</w:t>
      </w:r>
    </w:p>
    <w:p w14:paraId="4E95DB5E" w14:textId="72A15D9D" w:rsidR="00BC27E9" w:rsidRPr="00954407" w:rsidRDefault="00BC27E9" w:rsidP="00755C02">
      <w:pPr>
        <w:pStyle w:val="EstilodePrrafoNormal1RdeC"/>
        <w:numPr>
          <w:ilvl w:val="0"/>
          <w:numId w:val="197"/>
        </w:numPr>
        <w:spacing w:after="240"/>
        <w:ind w:left="0" w:firstLine="0"/>
      </w:pPr>
      <w:r w:rsidRPr="00954407">
        <w:t>Avenida Eléctrica (desde la Av. Tamboril hasta La Berma), Provincia Santiago, con una longitud aproximada de 5.00 km y un monto de RD$3,093,331,573.79 (Tres Mil Noventa y Tres Millones, Trescientos Treinta y Un Mil Quinientos Setenta y Tres con 79/100).</w:t>
      </w:r>
    </w:p>
    <w:p w14:paraId="660D8581" w14:textId="33914E5E" w:rsidR="00BC27E9" w:rsidRPr="00954407" w:rsidRDefault="00BC27E9" w:rsidP="00755C02">
      <w:pPr>
        <w:pStyle w:val="EstilodePrrafoNormal1RdeC"/>
        <w:numPr>
          <w:ilvl w:val="0"/>
          <w:numId w:val="197"/>
        </w:numPr>
        <w:spacing w:after="240"/>
        <w:ind w:left="0" w:firstLine="0"/>
      </w:pPr>
      <w:r w:rsidRPr="00954407">
        <w:t>Entrada Pedro García / La Turística, Provincia Santiago, con una longitud aproximada de 9.00 km y un monto de RD$618,390,936.85 (Seiscientos Dieciocho Millones, Trescientos Noventa Mil Novecientos Treinta y Seis con 5/100).</w:t>
      </w:r>
    </w:p>
    <w:p w14:paraId="2FC79655" w14:textId="68782936" w:rsidR="00BC27E9" w:rsidRPr="00954407" w:rsidRDefault="00BC27E9" w:rsidP="00755C02">
      <w:pPr>
        <w:pStyle w:val="EstilodePrrafoNormal1RdeC"/>
        <w:numPr>
          <w:ilvl w:val="0"/>
          <w:numId w:val="197"/>
        </w:numPr>
        <w:spacing w:after="240"/>
        <w:ind w:left="0" w:firstLine="0"/>
      </w:pPr>
      <w:r w:rsidRPr="00954407">
        <w:t>Asfaltado Ruta Monorriel de Santiago Oeste, Provincia Santiago, con una longitud aproximada de 15.46 km y un monto de RD$821,590,366.20 (Ochocientos Veintiún Millones, Quinientos Noventa Mil Trescientos Sesenta y Seis con 20/100).</w:t>
      </w:r>
    </w:p>
    <w:p w14:paraId="16DF0702" w14:textId="64D1FE3E" w:rsidR="00BC27E9" w:rsidRPr="00954407" w:rsidRDefault="00BC27E9" w:rsidP="00755C02">
      <w:pPr>
        <w:pStyle w:val="EstilodePrrafoNormal1RdeC"/>
        <w:numPr>
          <w:ilvl w:val="0"/>
          <w:numId w:val="197"/>
        </w:numPr>
        <w:spacing w:after="240"/>
        <w:ind w:left="0" w:firstLine="0"/>
      </w:pPr>
      <w:r w:rsidRPr="00954407">
        <w:t>Reconstrucción de las calles de la Urbanización Altos Arroyo Hondo III, Distrito Nacional, Provincia Santo Domingo, con una longitud aproximada de 4.00 km y un monto de RD$71,075,402.97 (Setenta y Un Millones, Setenta y Cinco Mil Cuatrocientos Dos con 97/100).</w:t>
      </w:r>
    </w:p>
    <w:p w14:paraId="051CA030" w14:textId="67137380" w:rsidR="00BC27E9" w:rsidRDefault="00BC27E9" w:rsidP="00755C02">
      <w:pPr>
        <w:pStyle w:val="EstilodePrrafoNormal1RdeC"/>
        <w:numPr>
          <w:ilvl w:val="0"/>
          <w:numId w:val="197"/>
        </w:numPr>
        <w:spacing w:after="240"/>
        <w:ind w:left="0" w:firstLine="0"/>
      </w:pPr>
      <w:r w:rsidRPr="00954407">
        <w:t>Reconstrucción de las calles de Jardines de Genoveva, Provincia Santo Domingo Norte, con una longitud aproximada de 6.00 km y un monto de RD$93,845,733.09 (Noventa y Tres Millones, Ochocientos Cuarenta y Cinco Mil Setecientos Treinta y Tres con 09/100).</w:t>
      </w:r>
    </w:p>
    <w:p w14:paraId="059F9F9F" w14:textId="77777777" w:rsidR="00D914F3" w:rsidRDefault="00D914F3" w:rsidP="00D914F3">
      <w:pPr>
        <w:pStyle w:val="EstilodePrrafoNormal1RdeC"/>
      </w:pPr>
    </w:p>
    <w:p w14:paraId="44C5F2BB" w14:textId="77777777" w:rsidR="00D914F3" w:rsidRDefault="00D914F3" w:rsidP="00D914F3">
      <w:pPr>
        <w:pStyle w:val="EstilodePrrafoNormal1RdeC"/>
      </w:pPr>
    </w:p>
    <w:p w14:paraId="4DAB5FFF" w14:textId="77777777" w:rsidR="00755C02" w:rsidRPr="00954407" w:rsidRDefault="00755C02" w:rsidP="00D914F3">
      <w:pPr>
        <w:pStyle w:val="EstilodePrrafoNormal1RdeC"/>
      </w:pPr>
    </w:p>
    <w:p w14:paraId="3639F75A" w14:textId="78FDD682"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lastRenderedPageBreak/>
        <w:t>Construcción, Rehabilitación y Reparación de Edificaciones Públicas</w:t>
      </w:r>
    </w:p>
    <w:p w14:paraId="68D30E16" w14:textId="77777777" w:rsidR="00BC27E9" w:rsidRPr="00954407" w:rsidRDefault="00BC27E9" w:rsidP="00BC27E9">
      <w:pPr>
        <w:pStyle w:val="EstilodePrrafoNormal1RdeC"/>
      </w:pPr>
    </w:p>
    <w:p w14:paraId="690F6F78" w14:textId="228E39A6" w:rsidR="00BC27E9" w:rsidRPr="00954407" w:rsidRDefault="00BC27E9" w:rsidP="00BC27E9">
      <w:pPr>
        <w:pStyle w:val="EstilodePrrafoNormal1RdeC"/>
      </w:pPr>
      <w:r w:rsidRPr="00954407">
        <w:t xml:space="preserve">El Ministerio de Obras Públicas y Comunicaciones (MOPC), continuó la ejecución de importantes proyectos de edificaciones públicas, específicamente aquellos que registraban un alto porcentaje de ejecución para que permanecieran en la institución hasta su terminación, con el propósito de concentrar esfuerzos y logística para que los mismos culminen y proporcionen sus beneficios a los usuarios correspondientes, ya que por decisión de las autoridades superiores se autorizó la transferencia de funciones relacionadas con vivienda, hábitat y edificaciones del MOPC al Ministerio de Vivienda, Hábitat y Edificaciones (MIVEH). Los proyectos de infraestructura de edificaciones en ejecución, totalizan setenta y ocho con un monto de inversión aproximado de RD$2,027,047,897.08 (Dos Mil Veintisiete Millones </w:t>
      </w:r>
      <w:r w:rsidR="005D6D6C" w:rsidRPr="00954407">
        <w:t>Cuarenta y</w:t>
      </w:r>
      <w:r w:rsidRPr="00954407">
        <w:t xml:space="preserve"> Siete Mil Ochocientos </w:t>
      </w:r>
      <w:r w:rsidR="005D6D6C" w:rsidRPr="00954407">
        <w:t>Noventa y</w:t>
      </w:r>
      <w:r w:rsidRPr="00954407">
        <w:t xml:space="preserve"> Siete Pesos con 08/100), y un monto ejecutado en el periodo enero – noviembre del 2025 de RD$1,831,239,118.90 (Un Mil Ochocientos Treinta y Un Millones Doscientos Treinta y Nueve Mil Ciento Dieciocho Pesos con 90/100), destacándose las siguientes: </w:t>
      </w:r>
    </w:p>
    <w:p w14:paraId="103431F4" w14:textId="77777777" w:rsidR="00BC27E9" w:rsidRPr="00954407" w:rsidRDefault="00BC27E9" w:rsidP="00BC27E9">
      <w:pPr>
        <w:pStyle w:val="EstilodePrrafoNormal1RdeC"/>
        <w:rPr>
          <w:highlight w:val="green"/>
        </w:rPr>
      </w:pPr>
    </w:p>
    <w:p w14:paraId="3D6D0B92" w14:textId="77777777" w:rsidR="00BC27E9" w:rsidRPr="00954407" w:rsidRDefault="00BC27E9" w:rsidP="00D914F3">
      <w:pPr>
        <w:pStyle w:val="EstilodePrrafoNormal1RdeC"/>
        <w:numPr>
          <w:ilvl w:val="0"/>
          <w:numId w:val="197"/>
        </w:numPr>
        <w:spacing w:after="240"/>
        <w:ind w:left="0" w:firstLine="0"/>
      </w:pPr>
      <w:r w:rsidRPr="00954407">
        <w:t>Construcción del Mercado Municipal de Higüey, Provincia La Altagracia, con un área de construcción de 285.0 m², un valor presupuestado de RD$259,869,415.57 (Doscientos Cincuenta y Nueve Millones Ochocientos Sesenta y Nueve Mil Cuatrocientos Quince Pesos con 57/100). Condición actual: Ejecución.</w:t>
      </w:r>
    </w:p>
    <w:p w14:paraId="1B61C725" w14:textId="77777777" w:rsidR="00BC27E9" w:rsidRPr="00954407" w:rsidRDefault="00BC27E9" w:rsidP="00D914F3">
      <w:pPr>
        <w:pStyle w:val="EstilodePrrafoNormal1RdeC"/>
        <w:numPr>
          <w:ilvl w:val="0"/>
          <w:numId w:val="197"/>
        </w:numPr>
        <w:spacing w:after="240"/>
        <w:ind w:left="0" w:firstLine="0"/>
      </w:pPr>
      <w:r w:rsidRPr="00954407">
        <w:t>Construcción del Mercado Municipal de Barahona, Provincia Barahona, con un área de construcción de 3,198 m², un valor presupuestado de RD$187,583,422.40 (Ciento Ochenta y Siete Millones Quinientos Ochenta y Tres Mil Cuatrocientos Veintidós Pesos con 40/100). Condición actual: Ejecución.</w:t>
      </w:r>
    </w:p>
    <w:p w14:paraId="11218786" w14:textId="77777777" w:rsidR="00BC27E9" w:rsidRPr="00954407" w:rsidRDefault="00BC27E9" w:rsidP="00D914F3">
      <w:pPr>
        <w:pStyle w:val="EstilodePrrafoNormal1RdeC"/>
        <w:numPr>
          <w:ilvl w:val="0"/>
          <w:numId w:val="197"/>
        </w:numPr>
        <w:spacing w:after="240"/>
        <w:ind w:left="0" w:firstLine="0"/>
      </w:pPr>
      <w:r w:rsidRPr="00954407">
        <w:lastRenderedPageBreak/>
        <w:t xml:space="preserve">Construcción Palacio de Justicia, Municipio Santo Domingo Este, con un área de construcción de 28,400 m², un valor presupuestado de RD$2,338,263,330.44 (Dos Mil Trescientos Treinta y Ocho Millones Doscientos Sesenta y Tres Mil Trescientos Treinta Pesos con 44/100). Condición actual: Ejecución. </w:t>
      </w:r>
    </w:p>
    <w:p w14:paraId="4E58D22E" w14:textId="77777777" w:rsidR="00BC27E9" w:rsidRPr="00954407" w:rsidRDefault="00BC27E9" w:rsidP="00D914F3">
      <w:pPr>
        <w:pStyle w:val="EstilodePrrafoNormal1RdeC"/>
        <w:numPr>
          <w:ilvl w:val="0"/>
          <w:numId w:val="197"/>
        </w:numPr>
        <w:spacing w:after="240"/>
        <w:ind w:left="0" w:firstLine="0"/>
      </w:pPr>
      <w:r w:rsidRPr="00954407">
        <w:t>Terminación, Construcción y Reparación de las Oficinas del Tribunal Constitucional en el Distrito Nacional, con un área de construcción de 19,542 m², un valor presupuestado de RD$1,510,510,642.37 (Un Mil Quinientos Diez Millones Quinientos Diez Mil Seiscientos Cuarenta y Dos con 37/100). Condición actual: Ejecución.</w:t>
      </w:r>
    </w:p>
    <w:p w14:paraId="408418E2" w14:textId="77777777" w:rsidR="00BC27E9" w:rsidRPr="00954407" w:rsidRDefault="00BC27E9" w:rsidP="00D914F3">
      <w:pPr>
        <w:pStyle w:val="EstilodePrrafoNormal1RdeC"/>
        <w:numPr>
          <w:ilvl w:val="0"/>
          <w:numId w:val="197"/>
        </w:numPr>
        <w:spacing w:after="240"/>
        <w:ind w:left="0" w:firstLine="0"/>
      </w:pPr>
      <w:bookmarkStart w:id="113" w:name="_Toc78583646"/>
      <w:r w:rsidRPr="00954407">
        <w:t>Remodelación de Edificio Sede Central del Ministerio de Obras Públicas y Comunicaciones (MOPC), Distrito Nacional, con un valor presupuestado de RD$576,095,123.48 (Quinientos Setenta y Seis Millones Noventa y Cinco Mil Ciento Veintitrés Pesos con 48/100). Condición actual: Ejecución.</w:t>
      </w:r>
    </w:p>
    <w:p w14:paraId="26BB7EB4" w14:textId="77777777" w:rsidR="00BC27E9" w:rsidRPr="00954407" w:rsidRDefault="00BC27E9" w:rsidP="00BC27E9">
      <w:pPr>
        <w:pStyle w:val="EstilodePrrafoNormal1RdeC"/>
      </w:pPr>
      <w:bookmarkStart w:id="114" w:name="_Toc59361451"/>
      <w:bookmarkEnd w:id="113"/>
    </w:p>
    <w:p w14:paraId="01F888C0" w14:textId="0A6A5CE5" w:rsidR="00BC27E9" w:rsidRPr="00755C02" w:rsidRDefault="00BC27E9" w:rsidP="00755C02">
      <w:pPr>
        <w:pStyle w:val="Heading3"/>
        <w:rPr>
          <w:b/>
          <w:bCs/>
          <w:color w:val="808080" w:themeColor="background1" w:themeShade="80"/>
          <w:sz w:val="24"/>
          <w:szCs w:val="24"/>
        </w:rPr>
      </w:pPr>
      <w:bookmarkStart w:id="115" w:name="_Toc186924357"/>
      <w:r w:rsidRPr="00755C02">
        <w:rPr>
          <w:b/>
          <w:bCs/>
          <w:color w:val="808080" w:themeColor="background1" w:themeShade="80"/>
          <w:sz w:val="24"/>
          <w:szCs w:val="24"/>
        </w:rPr>
        <w:t>Avances en el PNPSP y en la END</w:t>
      </w:r>
      <w:bookmarkEnd w:id="114"/>
      <w:bookmarkEnd w:id="115"/>
    </w:p>
    <w:p w14:paraId="36A2DA8F" w14:textId="77777777" w:rsidR="00BC27E9" w:rsidRPr="00954407" w:rsidRDefault="00BC27E9" w:rsidP="00BC27E9">
      <w:pPr>
        <w:pStyle w:val="EstilodePrrafoNormal1RdeC"/>
      </w:pPr>
    </w:p>
    <w:p w14:paraId="20A76B42" w14:textId="21985FB5" w:rsidR="00BC27E9" w:rsidRPr="00954407" w:rsidRDefault="00BC27E9" w:rsidP="00BC27E9">
      <w:pPr>
        <w:pStyle w:val="EstilodePrrafoNormal1RdeC"/>
      </w:pPr>
      <w:r w:rsidRPr="00954407">
        <w:t xml:space="preserve">El Plan Nacional Plurianual del Sector Público para el </w:t>
      </w:r>
      <w:r w:rsidR="005D6D6C" w:rsidRPr="00954407">
        <w:t>cuatrienio</w:t>
      </w:r>
      <w:r w:rsidRPr="00954407">
        <w:t xml:space="preserve"> 2025-2028, como instrumento que integra los planes institucionales, sectoriales y territoriales, formulados con una visión de desarrollo compartida del sector público de la República Dominicana, alinea las metas del Ministerio de Obras Públicas y Comunicaciones (MOPC) con el Programa de Gobierno para el logro de los objetivos de la Estrategia Nacional de Desarrollo (END), a corto y mediano plazo.</w:t>
      </w:r>
    </w:p>
    <w:p w14:paraId="51CA7C25" w14:textId="77777777" w:rsidR="00BC27E9" w:rsidRPr="00954407" w:rsidRDefault="00BC27E9" w:rsidP="00BC27E9">
      <w:pPr>
        <w:pStyle w:val="EstilodePrrafoNormal1RdeC"/>
      </w:pPr>
    </w:p>
    <w:p w14:paraId="600987FB" w14:textId="54FF569C" w:rsidR="00BC27E9" w:rsidRDefault="00BC27E9" w:rsidP="00BC27E9">
      <w:pPr>
        <w:pStyle w:val="EstilodePrrafoNormal1RdeC"/>
      </w:pPr>
      <w:r w:rsidRPr="00954407">
        <w:t xml:space="preserve">Los principales avances del MOPC en el Plan Nacional Plurianual del Sector Público 2025-2028, registran durante el año 2025, las acciones </w:t>
      </w:r>
      <w:r w:rsidRPr="00954407">
        <w:lastRenderedPageBreak/>
        <w:t xml:space="preserve">desarrolladas en la transformación del sector transporte a nivel nacional,  las cuales se vinculan con el logro de los objetivos de los cuatro (4) Ejes estratégicos de la Estrategia Nacional de Desarrollo (END) 2030, destacándose el mayor porcentaje de los programas y proyectos en ejecución del ministerio en el Eje Estratégico No. 3, entre los que citamos: a) Programa Nacional de Asfaltado y Construcción de Carreteras (PROPACC) IV y V; b) Programa de Mejoramiento de Obras Públicas para reducir riesgos de desastres en el contexto del cambio climático a nivel nacional; c) Programa de Seguridad Vial en Corredores urbanos y rurales; d) Programa de Ampliación, Reconstrucción y Modernización de la Autopista Duarte desde Santo Domingo hasta Monte Cristi; e) Programa Comunitario Acción Vial (Peón Caminero); f) Construcción de Avenidas de Circunvalación en varias provincias del país; entre otros; los cuales están incluidos en los 502 proyectos priorizados en el Plan Nacional Plurianual de Inversión Pública del MOPC para el cuatrienio 2025-2028, vinculando los proyectos nuevos y de arrastre con los resultados de desarrollo de las políticas prioritarias del Plan Nacional Plurianual del Sector Público (PNPSP) para el citado </w:t>
      </w:r>
      <w:r w:rsidR="00755C02" w:rsidRPr="00954407">
        <w:t>cuatrienio</w:t>
      </w:r>
      <w:r w:rsidRPr="00954407">
        <w:t>.</w:t>
      </w:r>
    </w:p>
    <w:p w14:paraId="6FAD9459" w14:textId="77777777" w:rsidR="00755C02" w:rsidRPr="00954407" w:rsidRDefault="00755C02" w:rsidP="00BC27E9">
      <w:pPr>
        <w:pStyle w:val="EstilodePrrafoNormal1RdeC"/>
      </w:pPr>
    </w:p>
    <w:p w14:paraId="3B8BBF73" w14:textId="4BFF3047" w:rsidR="00BC27E9" w:rsidRPr="00755C02" w:rsidRDefault="00BC27E9" w:rsidP="00755C02">
      <w:pPr>
        <w:pStyle w:val="Heading3"/>
        <w:rPr>
          <w:b/>
          <w:bCs/>
          <w:color w:val="808080" w:themeColor="background1" w:themeShade="80"/>
          <w:sz w:val="24"/>
          <w:szCs w:val="24"/>
        </w:rPr>
      </w:pPr>
      <w:bookmarkStart w:id="116" w:name="_Toc78583647"/>
      <w:r w:rsidRPr="00755C02">
        <w:rPr>
          <w:b/>
          <w:bCs/>
          <w:color w:val="808080" w:themeColor="background1" w:themeShade="80"/>
          <w:sz w:val="24"/>
          <w:szCs w:val="24"/>
        </w:rPr>
        <w:t xml:space="preserve">Ejecutorias No Contempladas en el Plan de Inversión MOPC </w:t>
      </w:r>
      <w:bookmarkEnd w:id="116"/>
      <w:r w:rsidRPr="00755C02">
        <w:rPr>
          <w:b/>
          <w:bCs/>
          <w:color w:val="808080" w:themeColor="background1" w:themeShade="80"/>
          <w:sz w:val="24"/>
          <w:szCs w:val="24"/>
        </w:rPr>
        <w:t>para el año 2025</w:t>
      </w:r>
    </w:p>
    <w:p w14:paraId="7B3C68E1" w14:textId="77777777" w:rsidR="00BC27E9" w:rsidRPr="00954407" w:rsidRDefault="00BC27E9" w:rsidP="00BC27E9">
      <w:pPr>
        <w:pStyle w:val="EstilodePrrafoNormal1RdeC"/>
      </w:pPr>
    </w:p>
    <w:p w14:paraId="5790723A" w14:textId="77777777" w:rsidR="00BC27E9" w:rsidRPr="00954407" w:rsidRDefault="00BC27E9" w:rsidP="00BC27E9">
      <w:pPr>
        <w:pStyle w:val="EstilodePrrafoNormal1RdeC"/>
        <w:rPr>
          <w:rFonts w:eastAsia="Calibri"/>
          <w:spacing w:val="20"/>
        </w:rPr>
      </w:pPr>
      <w:r w:rsidRPr="00954407">
        <w:t xml:space="preserve">Las ejecutorias de Planes y Programas no contemplados en el Plan de Inversión Anual del presente año, que requieren una producción continua y sostenible para proporcionar a la ciudadanía los beneficios de </w:t>
      </w:r>
      <w:r w:rsidRPr="00954407">
        <w:rPr>
          <w:rFonts w:eastAsia="Calibri"/>
          <w:spacing w:val="20"/>
        </w:rPr>
        <w:t xml:space="preserve">importantes acciones </w:t>
      </w:r>
      <w:r w:rsidRPr="00954407">
        <w:t xml:space="preserve">desarrolladas </w:t>
      </w:r>
      <w:r w:rsidRPr="00954407">
        <w:rPr>
          <w:rFonts w:eastAsia="Calibri"/>
          <w:spacing w:val="20"/>
        </w:rPr>
        <w:t xml:space="preserve">con recursos de captación propia, </w:t>
      </w:r>
      <w:r w:rsidRPr="00954407">
        <w:t xml:space="preserve">durante el periodo enero-diciembre del año 2025, </w:t>
      </w:r>
      <w:r w:rsidRPr="00954407">
        <w:rPr>
          <w:rFonts w:eastAsia="Calibri"/>
          <w:spacing w:val="20"/>
        </w:rPr>
        <w:t xml:space="preserve">para el logro de las metas institucionales y su Plan Estratégico Institucional (PEI) 2025-2028), con el objetivo de continuar mejorando la calidad y condiciones del sistema vial, proporcionar servicios de Protección y Asistencia Vial </w:t>
      </w:r>
      <w:r w:rsidRPr="00954407">
        <w:rPr>
          <w:rFonts w:eastAsia="Calibri"/>
          <w:spacing w:val="20"/>
        </w:rPr>
        <w:lastRenderedPageBreak/>
        <w:t xml:space="preserve">y de Asistencias Sociales, incrementando la cobertura de los programas iniciados y por ende la cantidad de beneficiarios en toda la geografía nacional. </w:t>
      </w:r>
    </w:p>
    <w:p w14:paraId="5B7B09E3" w14:textId="77777777" w:rsidR="00BC27E9" w:rsidRPr="00954407" w:rsidRDefault="00BC27E9" w:rsidP="00BC27E9">
      <w:pPr>
        <w:pStyle w:val="EstilodePrrafoNormal1RdeC"/>
        <w:rPr>
          <w:rFonts w:eastAsia="Calibri"/>
          <w:spacing w:val="20"/>
        </w:rPr>
      </w:pPr>
    </w:p>
    <w:p w14:paraId="1A373C1C" w14:textId="77777777" w:rsidR="00BC27E9" w:rsidRPr="00954407" w:rsidRDefault="00BC27E9" w:rsidP="00BC27E9">
      <w:pPr>
        <w:pStyle w:val="EstilodePrrafoNormal1RdeC"/>
        <w:rPr>
          <w:rFonts w:eastAsia="Calibri"/>
          <w:spacing w:val="20"/>
        </w:rPr>
      </w:pPr>
      <w:r w:rsidRPr="00954407">
        <w:rPr>
          <w:rFonts w:eastAsia="Calibri"/>
          <w:spacing w:val="20"/>
        </w:rPr>
        <w:t xml:space="preserve">A continuación, se detallan los Planes y Programas </w:t>
      </w:r>
      <w:r w:rsidRPr="00954407">
        <w:t>vigentes en la institución</w:t>
      </w:r>
      <w:r w:rsidRPr="00954407">
        <w:rPr>
          <w:rFonts w:eastAsia="Calibri"/>
          <w:spacing w:val="20"/>
        </w:rPr>
        <w:t xml:space="preserve"> que integran las ejecutorias adicionales a las programadas en el Plan Operativo Anual (POA) para el año 2025:</w:t>
      </w:r>
    </w:p>
    <w:p w14:paraId="5409AE33" w14:textId="77777777" w:rsidR="00BC27E9" w:rsidRPr="00954407" w:rsidRDefault="00BC27E9" w:rsidP="00BC27E9">
      <w:pPr>
        <w:pStyle w:val="EstilodePrrafoNormal1RdeC"/>
      </w:pPr>
      <w:bookmarkStart w:id="117" w:name="_Toc78583648"/>
    </w:p>
    <w:p w14:paraId="126CC4EE" w14:textId="17EBEE62" w:rsidR="00BC27E9" w:rsidRPr="00755C02" w:rsidRDefault="00BC27E9" w:rsidP="00755C02">
      <w:pPr>
        <w:pStyle w:val="Heading3"/>
        <w:rPr>
          <w:b/>
          <w:bCs/>
          <w:color w:val="767171"/>
          <w:sz w:val="24"/>
          <w:szCs w:val="24"/>
        </w:rPr>
      </w:pPr>
      <w:r w:rsidRPr="00755C02">
        <w:rPr>
          <w:b/>
          <w:bCs/>
          <w:color w:val="767171"/>
          <w:sz w:val="24"/>
          <w:szCs w:val="24"/>
        </w:rPr>
        <w:t xml:space="preserve">Mantenimiento </w:t>
      </w:r>
      <w:r w:rsidRPr="00755C02">
        <w:rPr>
          <w:b/>
          <w:bCs/>
          <w:color w:val="808080" w:themeColor="background1" w:themeShade="80"/>
          <w:sz w:val="24"/>
          <w:szCs w:val="24"/>
        </w:rPr>
        <w:t>Vial</w:t>
      </w:r>
      <w:r w:rsidRPr="00755C02">
        <w:rPr>
          <w:b/>
          <w:bCs/>
          <w:color w:val="767171"/>
          <w:sz w:val="24"/>
          <w:szCs w:val="24"/>
        </w:rPr>
        <w:t xml:space="preserve"> a nivel nacional</w:t>
      </w:r>
      <w:bookmarkEnd w:id="117"/>
    </w:p>
    <w:p w14:paraId="71CB8F3D" w14:textId="77777777" w:rsidR="00BC27E9" w:rsidRPr="00954407" w:rsidRDefault="00BC27E9" w:rsidP="00BC27E9">
      <w:pPr>
        <w:pStyle w:val="EstilodePrrafoNormal1RdeC"/>
      </w:pPr>
    </w:p>
    <w:p w14:paraId="2942FA84" w14:textId="77777777" w:rsidR="00BC27E9" w:rsidRPr="00954407" w:rsidRDefault="00BC27E9" w:rsidP="00BC27E9">
      <w:pPr>
        <w:pStyle w:val="EstilodePrrafoNormal1RdeC"/>
      </w:pPr>
      <w:r w:rsidRPr="00954407">
        <w:t>El MOPC continuó ejecutando las acciones recurrentes del componente mantenimiento vial (rutinario) a nivel nacional durante el periodo enero – noviembre del 2025, se desarrollaron operativos de actividades de mantenimiento rutinario en la red vial rural, entre los cuales se destacan:</w:t>
      </w:r>
    </w:p>
    <w:p w14:paraId="09916E67" w14:textId="77777777" w:rsidR="00BC27E9" w:rsidRPr="00954407" w:rsidRDefault="00BC27E9" w:rsidP="00BC27E9">
      <w:pPr>
        <w:pStyle w:val="EstilodePrrafoNormal1RdeC"/>
      </w:pPr>
      <w:r w:rsidRPr="00954407">
        <w:t xml:space="preserve"> </w:t>
      </w:r>
    </w:p>
    <w:p w14:paraId="2B450DBB" w14:textId="7BFF3D72" w:rsidR="00BC27E9" w:rsidRDefault="00BC27E9" w:rsidP="002D6CD5">
      <w:pPr>
        <w:pStyle w:val="EstilodePrrafoNormal1RdeC"/>
        <w:numPr>
          <w:ilvl w:val="0"/>
          <w:numId w:val="198"/>
        </w:numPr>
      </w:pPr>
      <w:r w:rsidRPr="00954407">
        <w:t>Intervenciones de bacheo técnico a través de la aplicación de 15,785 (</w:t>
      </w:r>
      <w:r w:rsidR="005D6D6C">
        <w:t>m</w:t>
      </w:r>
      <w:r w:rsidRPr="00954407">
        <w:t xml:space="preserve">²) en Distrito </w:t>
      </w:r>
      <w:r w:rsidR="00D914F3" w:rsidRPr="00954407">
        <w:t>Nacional, Santo</w:t>
      </w:r>
      <w:r w:rsidRPr="00954407">
        <w:t xml:space="preserve"> Domingo Este, Santo Domingo Oeste, Santo Domingo Norte, Los Alcarrizos, Pedro Brand y Boca Chica, además en las Provincias Duarte, Santiago, La Vega, San Cristóbal, Peravia, Azua, entre otras. además, en algunos puntos en el Municipio Bajos de Haina de la Provincia San Cristóbal, con la aplicación </w:t>
      </w:r>
      <w:r w:rsidR="00D914F3" w:rsidRPr="00954407">
        <w:t>de 343.50</w:t>
      </w:r>
      <w:r w:rsidRPr="00954407">
        <w:t xml:space="preserve"> (</w:t>
      </w:r>
      <w:r w:rsidR="005D6D6C">
        <w:t>m</w:t>
      </w:r>
      <w:r w:rsidRPr="00954407">
        <w:t xml:space="preserve">³) de Volumen de Asfalto colocado, se realizaron 11,700 baches. </w:t>
      </w:r>
    </w:p>
    <w:p w14:paraId="39249638" w14:textId="77777777" w:rsidR="005D6D6C" w:rsidRPr="00954407" w:rsidRDefault="005D6D6C" w:rsidP="005D6D6C">
      <w:pPr>
        <w:pStyle w:val="EstilodePrrafoNormal1RdeC"/>
        <w:ind w:left="720"/>
      </w:pPr>
    </w:p>
    <w:p w14:paraId="2F5587F8" w14:textId="77777777" w:rsidR="00BC27E9" w:rsidRPr="00954407" w:rsidRDefault="00BC27E9" w:rsidP="002D6CD5">
      <w:pPr>
        <w:pStyle w:val="EstilodePrrafoNormal1RdeC"/>
        <w:numPr>
          <w:ilvl w:val="0"/>
          <w:numId w:val="198"/>
        </w:numPr>
      </w:pPr>
      <w:r w:rsidRPr="00954407">
        <w:rPr>
          <w:rFonts w:eastAsia="Calibri"/>
        </w:rPr>
        <w:t xml:space="preserve">Trabajos de Mantenimiento de Obras de Drenaje Pluvial, ejecutados durante el periodo enero-diciembre del año 2025, abarcando varios sectores del Gran Santo Domingo y el Distrito Nacional, con la finalidad de contribuir con la optimización del sistema de drenaje existente para evitar que la acumulación del agua provoque daños materiales o humanos, realizando un recorrido de 2,124.52 </w:t>
      </w:r>
      <w:r w:rsidRPr="00954407">
        <w:rPr>
          <w:rFonts w:eastAsia="Calibri"/>
        </w:rPr>
        <w:lastRenderedPageBreak/>
        <w:t>kilómetros con la ejecución de las siguientes actividades: a)</w:t>
      </w:r>
      <w:r w:rsidRPr="00954407">
        <w:t xml:space="preserve"> </w:t>
      </w:r>
      <w:r w:rsidRPr="00954407">
        <w:rPr>
          <w:rFonts w:eastAsia="Calibri"/>
        </w:rPr>
        <w:t>Construcción y  reconstrucción de 45.98 M² de aceras y contenes, b)  Retiro de 1,090 unidades de  desechos sólidos (botes), c) Mantenimiento de</w:t>
      </w:r>
      <w:r w:rsidRPr="00954407">
        <w:t xml:space="preserve"> </w:t>
      </w:r>
      <w:r w:rsidRPr="00954407">
        <w:rPr>
          <w:rFonts w:eastAsia="Calibri"/>
        </w:rPr>
        <w:t>915 unidades de imbornales, d) Mantenimiento de</w:t>
      </w:r>
      <w:r w:rsidRPr="00954407">
        <w:t xml:space="preserve"> </w:t>
      </w:r>
      <w:r w:rsidRPr="00954407">
        <w:rPr>
          <w:rFonts w:eastAsia="Calibri"/>
        </w:rPr>
        <w:t>11,973  rejillas, e) 71 unidades de Tapas y parrillas colocadas, f) 4,932 metros lineales, de Limpieza de contenes, g) 2, 177 unidades en Trabajos de Limpieza, h)</w:t>
      </w:r>
      <w:r w:rsidRPr="00954407">
        <w:t xml:space="preserve"> </w:t>
      </w:r>
      <w:r w:rsidRPr="00954407">
        <w:rPr>
          <w:rFonts w:eastAsia="Calibri"/>
        </w:rPr>
        <w:t>Limpieza de alcantarillado 379.1 ,metros lineales, entre otras.</w:t>
      </w:r>
    </w:p>
    <w:p w14:paraId="7F4DF1DB" w14:textId="77777777" w:rsidR="00BC27E9" w:rsidRPr="00954407" w:rsidRDefault="00BC27E9" w:rsidP="00BC27E9">
      <w:pPr>
        <w:pStyle w:val="EstilodePrrafoNormal1RdeC"/>
      </w:pPr>
    </w:p>
    <w:p w14:paraId="6C446AAC" w14:textId="71BB9A44"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Mantenimiento de Pasos a Desnivel</w:t>
      </w:r>
    </w:p>
    <w:p w14:paraId="17BD3C1A" w14:textId="77777777" w:rsidR="00BC27E9" w:rsidRPr="00954407" w:rsidRDefault="00BC27E9" w:rsidP="00BC27E9">
      <w:pPr>
        <w:pStyle w:val="EstilodePrrafoNormal1RdeC"/>
      </w:pPr>
    </w:p>
    <w:p w14:paraId="51B76F69" w14:textId="77777777" w:rsidR="00BC27E9" w:rsidRPr="00954407" w:rsidRDefault="00BC27E9" w:rsidP="00BC27E9">
      <w:pPr>
        <w:pStyle w:val="EstilodePrrafoNormal1RdeC"/>
      </w:pPr>
      <w:r w:rsidRPr="00954407">
        <w:t xml:space="preserve">Durante el periodo enero-diciembre del 2025, se desarrollaron actividades recurrentes de Mantenimiento Preventivo a los Pasos a desnivel de las estructuras ubicadas en el Gran Santo Domingo y en el interior del país, en túneles, elevados, pasos a desnivel y puentes peatonales, interviniendo la Dirección de Mantenimiento de Pasos a peatonales, interviniendo la Dirección de Mantenimiento de Pasos a Desnivel del MOPC, un total de 28 Pasos a Desnivel, 2 Túneles, 3 Elevados, 4 Puentes Vehiculares, 5 Puentes Peatonales y 6 Tramos viales; llevadas a cabo en el Gran Santo Domingo y el Distrito Nacional, así como en las provincias de Puerto Plata y Sánchez Ramírez. Dichas intervenciones consistieron en:   Limpieza de estructura, Sellos en Grietas de concreto Reforzado y Fisuras, Limpieza de Calzada, Limpieza del Sistema de drenaje, Limpieza de Juntas, Limpieza de Muros de Contención, Limpieza Integral de Muros Tipo New Jersey, Limpieza de Placas Reflectivas, Control de Maleza en el Entorno, Mantenimiento preventivo del sistema eléctrico, Pintura de Componentes, entre otras. </w:t>
      </w:r>
    </w:p>
    <w:p w14:paraId="0539F14E" w14:textId="77777777" w:rsidR="00BC27E9" w:rsidRPr="00954407" w:rsidRDefault="00BC27E9" w:rsidP="00BC27E9">
      <w:pPr>
        <w:pStyle w:val="EstilodePrrafoNormal1RdeC"/>
      </w:pPr>
    </w:p>
    <w:p w14:paraId="1AEAEEDE" w14:textId="77777777" w:rsidR="00BC27E9" w:rsidRPr="00954407" w:rsidRDefault="00BC27E9" w:rsidP="00BC27E9">
      <w:pPr>
        <w:pStyle w:val="EstilodePrrafoNormal1RdeC"/>
      </w:pPr>
    </w:p>
    <w:p w14:paraId="41DA7099" w14:textId="451A2142" w:rsidR="00BC27E9" w:rsidRPr="00755C02" w:rsidRDefault="00BC27E9" w:rsidP="00755C02">
      <w:pPr>
        <w:pStyle w:val="Heading3"/>
        <w:rPr>
          <w:b/>
          <w:bCs/>
          <w:color w:val="808080" w:themeColor="background1" w:themeShade="80"/>
          <w:sz w:val="24"/>
          <w:szCs w:val="24"/>
        </w:rPr>
      </w:pPr>
      <w:bookmarkStart w:id="118" w:name="_Toc78583649"/>
      <w:r w:rsidRPr="00755C02">
        <w:rPr>
          <w:b/>
          <w:bCs/>
          <w:color w:val="808080" w:themeColor="background1" w:themeShade="80"/>
          <w:sz w:val="24"/>
          <w:szCs w:val="24"/>
        </w:rPr>
        <w:lastRenderedPageBreak/>
        <w:t>Programa Comunitario de Mantenimiento de Acción Vial (Peón Caminero)</w:t>
      </w:r>
      <w:bookmarkEnd w:id="118"/>
    </w:p>
    <w:p w14:paraId="741E6F07" w14:textId="77777777" w:rsidR="00BC27E9" w:rsidRPr="00954407" w:rsidRDefault="00BC27E9" w:rsidP="00BC27E9">
      <w:pPr>
        <w:pStyle w:val="EstilodePrrafoNormal1RdeC"/>
        <w:rPr>
          <w:color w:val="767171"/>
        </w:rPr>
      </w:pPr>
    </w:p>
    <w:p w14:paraId="4E964A64" w14:textId="77777777" w:rsidR="00BC27E9" w:rsidRPr="00954407" w:rsidRDefault="00BC27E9" w:rsidP="00BC27E9">
      <w:pPr>
        <w:pStyle w:val="EstilodePrrafoNormal1RdeC"/>
      </w:pPr>
      <w:r w:rsidRPr="00954407">
        <w:t xml:space="preserve">Mediante el Programa Comunitario Vial denominado “Peón Caminero”, la institución continuó durante el período enero – noviembre del año 2025, realizando acciones de mantenimiento rutinario en la red de caminos vecinales, lo que genera empleos en las zonas intervenidas, contribuyendo al desarrollo de la economía, al mejorar las condiciones de vida de los productores agrícolas del área de influencia de las provincias integradas al referido programa. </w:t>
      </w:r>
    </w:p>
    <w:p w14:paraId="76B0B910" w14:textId="77777777" w:rsidR="00BC27E9" w:rsidRPr="00954407" w:rsidRDefault="00BC27E9" w:rsidP="00BC27E9">
      <w:pPr>
        <w:pStyle w:val="EstilodePrrafoNormal1RdeC"/>
        <w:rPr>
          <w:highlight w:val="yellow"/>
        </w:rPr>
      </w:pPr>
    </w:p>
    <w:p w14:paraId="74B899BD" w14:textId="57BE46C6" w:rsidR="00BC27E9" w:rsidRPr="00954407" w:rsidRDefault="00BC27E9" w:rsidP="00BC27E9">
      <w:pPr>
        <w:pStyle w:val="EstilodePrrafoNormal1RdeC"/>
      </w:pPr>
      <w:r w:rsidRPr="00954407">
        <w:t>Destacándose durante el citado período, las labores de mantenimiento rutinario en la infraestructura vial del país, ejecutadas en diez (10) provincias, interviniendo sesenta y un (61) Caminos Vecinales, con una longitud total de 423.23 km y una inversión aproximada de RD$74,910,000.00 (Se</w:t>
      </w:r>
      <w:r w:rsidR="00571D3D">
        <w:t>te</w:t>
      </w:r>
      <w:r w:rsidRPr="00954407">
        <w:t>nta y Cuatro Millones Novecientos  Diez Mil Pesos con 00/100), beneficiando a 504,492 residentes en las áreas de influencia donde se efectúan los operativos y dando empleos informales a los jornaleros residentes en las zonas de influencia donde se efectúan los trabajos, entre los que se destacan: a) 6,255,736 m² de corte de maleza; b) 2,316,284 ml de limpieza de cunetas; c) 245 unidades de limpieza de alcantarillas, entre otras; siendo las provincias con mayores intervenciones las siguientes: Santiago Rodríguez (73.01 km), María Trinidad Sánchez (62.0 km), Dajabón (48.22 km), y El Seibo (46.0 km).</w:t>
      </w:r>
    </w:p>
    <w:p w14:paraId="68EEDC79" w14:textId="77777777" w:rsidR="00BC27E9" w:rsidRPr="00954407" w:rsidRDefault="00BC27E9" w:rsidP="00BC27E9">
      <w:pPr>
        <w:pStyle w:val="EstilodePrrafoNormal1RdeC"/>
      </w:pPr>
    </w:p>
    <w:p w14:paraId="2E8CEEB1" w14:textId="77777777" w:rsidR="00BC27E9" w:rsidRPr="00954407" w:rsidRDefault="00BC27E9" w:rsidP="00BC27E9">
      <w:pPr>
        <w:pStyle w:val="EstilodePrrafoNormal1RdeC"/>
      </w:pPr>
      <w:r w:rsidRPr="00954407">
        <w:t>El resumen de los kilómetros intervenidos por región con equipos pesados y el monto de la inversión realizada, se presentan en la tabla siguiente:</w:t>
      </w:r>
    </w:p>
    <w:p w14:paraId="6FADC2E1" w14:textId="77777777" w:rsidR="00BC27E9" w:rsidRPr="00954407" w:rsidRDefault="00BC27E9" w:rsidP="00BC27E9">
      <w:pPr>
        <w:pStyle w:val="EstilodePrrafoNormal1RdeC"/>
      </w:pPr>
    </w:p>
    <w:p w14:paraId="2095F551" w14:textId="286A81FC" w:rsidR="00BC27E9" w:rsidRDefault="00BC27E9" w:rsidP="00BC27E9">
      <w:pPr>
        <w:pStyle w:val="EstilodePrrafoNormal1RdeC"/>
        <w:rPr>
          <w:highlight w:val="yellow"/>
        </w:rPr>
      </w:pPr>
      <w:r w:rsidRPr="00954407">
        <w:rPr>
          <w:noProof/>
          <w:lang w:eastAsia="es-DO"/>
        </w:rPr>
        <w:lastRenderedPageBreak/>
        <w:drawing>
          <wp:inline distT="0" distB="0" distL="0" distR="0" wp14:anchorId="5442BDBE" wp14:editId="1787293B">
            <wp:extent cx="4942840" cy="4102100"/>
            <wp:effectExtent l="0" t="0" r="0" b="0"/>
            <wp:docPr id="1877695305" name="Imagen 1877695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63857" cy="4119542"/>
                    </a:xfrm>
                    <a:prstGeom prst="rect">
                      <a:avLst/>
                    </a:prstGeom>
                  </pic:spPr>
                </pic:pic>
              </a:graphicData>
            </a:graphic>
          </wp:inline>
        </w:drawing>
      </w:r>
    </w:p>
    <w:p w14:paraId="4D291A4D" w14:textId="7723006E" w:rsidR="002D6CD5" w:rsidRDefault="002D6CD5" w:rsidP="00BC27E9">
      <w:pPr>
        <w:pStyle w:val="EstilodePrrafoNormal1RdeC"/>
        <w:rPr>
          <w:highlight w:val="yellow"/>
        </w:rPr>
      </w:pPr>
    </w:p>
    <w:p w14:paraId="33F0E624" w14:textId="76F1469B" w:rsidR="00BC27E9" w:rsidRPr="00954407" w:rsidRDefault="00BC27E9" w:rsidP="00BC27E9">
      <w:pPr>
        <w:pStyle w:val="EstilodePrrafoNormal1RdeC"/>
      </w:pPr>
      <w:r w:rsidRPr="00954407">
        <w:t>El grafico siguiente presenta la distribución por región de las intervenciones realizadas con equipos pesados a nivel nacional:</w:t>
      </w:r>
    </w:p>
    <w:p w14:paraId="3BB9B205" w14:textId="212E9854" w:rsidR="00BC27E9" w:rsidRPr="00954407" w:rsidRDefault="005D6D6C" w:rsidP="00BC27E9">
      <w:pPr>
        <w:pStyle w:val="EstilodePrrafoNormal1RdeC"/>
        <w:rPr>
          <w:highlight w:val="yellow"/>
        </w:rPr>
      </w:pPr>
      <w:r w:rsidRPr="00954407">
        <w:rPr>
          <w:noProof/>
        </w:rPr>
        <w:drawing>
          <wp:anchor distT="0" distB="0" distL="114300" distR="114300" simplePos="0" relativeHeight="251709440" behindDoc="0" locked="0" layoutInCell="1" allowOverlap="1" wp14:anchorId="0E06CB0B" wp14:editId="22E99D25">
            <wp:simplePos x="0" y="0"/>
            <wp:positionH relativeFrom="column">
              <wp:posOffset>0</wp:posOffset>
            </wp:positionH>
            <wp:positionV relativeFrom="paragraph">
              <wp:posOffset>63500</wp:posOffset>
            </wp:positionV>
            <wp:extent cx="4991100" cy="2921000"/>
            <wp:effectExtent l="0" t="0" r="0" b="12700"/>
            <wp:wrapNone/>
            <wp:docPr id="1877695304" name="Gráfico 1877695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6AAB5535" w14:textId="77777777" w:rsidR="005D6D6C" w:rsidRDefault="005D6D6C" w:rsidP="00BC27E9">
      <w:pPr>
        <w:pStyle w:val="EstilodePrrafoNormal1RdeC"/>
      </w:pPr>
    </w:p>
    <w:p w14:paraId="3484DE2C" w14:textId="77777777" w:rsidR="005D6D6C" w:rsidRDefault="005D6D6C" w:rsidP="00BC27E9">
      <w:pPr>
        <w:pStyle w:val="EstilodePrrafoNormal1RdeC"/>
      </w:pPr>
    </w:p>
    <w:p w14:paraId="47D0C721" w14:textId="77777777" w:rsidR="005D6D6C" w:rsidRDefault="005D6D6C" w:rsidP="00BC27E9">
      <w:pPr>
        <w:pStyle w:val="EstilodePrrafoNormal1RdeC"/>
      </w:pPr>
    </w:p>
    <w:p w14:paraId="14182F21" w14:textId="77777777" w:rsidR="005D6D6C" w:rsidRDefault="005D6D6C" w:rsidP="00BC27E9">
      <w:pPr>
        <w:pStyle w:val="EstilodePrrafoNormal1RdeC"/>
      </w:pPr>
    </w:p>
    <w:p w14:paraId="43D4C676" w14:textId="77777777" w:rsidR="005D6D6C" w:rsidRDefault="005D6D6C" w:rsidP="00BC27E9">
      <w:pPr>
        <w:pStyle w:val="EstilodePrrafoNormal1RdeC"/>
      </w:pPr>
    </w:p>
    <w:p w14:paraId="0DE0E41F" w14:textId="77777777" w:rsidR="005D6D6C" w:rsidRDefault="005D6D6C" w:rsidP="00BC27E9">
      <w:pPr>
        <w:pStyle w:val="EstilodePrrafoNormal1RdeC"/>
      </w:pPr>
    </w:p>
    <w:p w14:paraId="0E6FD4B2" w14:textId="77777777" w:rsidR="005D6D6C" w:rsidRDefault="005D6D6C" w:rsidP="00BC27E9">
      <w:pPr>
        <w:pStyle w:val="EstilodePrrafoNormal1RdeC"/>
      </w:pPr>
    </w:p>
    <w:p w14:paraId="5DEF3378" w14:textId="2AB4F225" w:rsidR="00BC27E9" w:rsidRPr="00954407" w:rsidRDefault="00BC27E9" w:rsidP="00BC27E9">
      <w:pPr>
        <w:pStyle w:val="EstilodePrrafoNormal1RdeC"/>
      </w:pPr>
    </w:p>
    <w:p w14:paraId="3C9671A3" w14:textId="77777777" w:rsidR="00BC27E9" w:rsidRPr="00954407" w:rsidRDefault="00BC27E9" w:rsidP="00BC27E9">
      <w:pPr>
        <w:pStyle w:val="EstilodePrrafoNormal1RdeC"/>
      </w:pPr>
    </w:p>
    <w:p w14:paraId="72925B65" w14:textId="3607D8C9" w:rsidR="00BC27E9" w:rsidRPr="00755C02" w:rsidRDefault="00BC27E9" w:rsidP="00755C02">
      <w:pPr>
        <w:pStyle w:val="Heading3"/>
        <w:rPr>
          <w:b/>
          <w:bCs/>
          <w:color w:val="808080" w:themeColor="background1" w:themeShade="80"/>
          <w:sz w:val="24"/>
          <w:szCs w:val="24"/>
        </w:rPr>
      </w:pPr>
      <w:bookmarkStart w:id="119" w:name="_Toc78583650"/>
      <w:r w:rsidRPr="00755C02">
        <w:rPr>
          <w:b/>
          <w:bCs/>
          <w:color w:val="808080" w:themeColor="background1" w:themeShade="80"/>
          <w:sz w:val="24"/>
          <w:szCs w:val="24"/>
        </w:rPr>
        <w:lastRenderedPageBreak/>
        <w:t xml:space="preserve">Programas Sociales y Comunitarios </w:t>
      </w:r>
    </w:p>
    <w:p w14:paraId="73C92215" w14:textId="77777777" w:rsidR="00BC27E9" w:rsidRPr="00954407" w:rsidRDefault="00BC27E9" w:rsidP="00BC27E9">
      <w:pPr>
        <w:pStyle w:val="EstilodePrrafoNormal1RdeC"/>
      </w:pPr>
    </w:p>
    <w:p w14:paraId="062D6B28" w14:textId="77777777" w:rsidR="00BC27E9" w:rsidRPr="00954407" w:rsidRDefault="00BC27E9" w:rsidP="00BC27E9">
      <w:pPr>
        <w:pStyle w:val="EstilodePrrafoNormal1RdeC"/>
      </w:pPr>
      <w:r w:rsidRPr="00954407">
        <w:t>Durante el periodo enero-diciembre del 2025, el Ministerio de Obras Públicas y Comunicaciones (MOPC), proporcionó importantes servicios a la población dominicana, a través de los Programas Sociales y Comunitarios, efectuando operativos a nivel nacional. Entre los que se destacan: a) Construcción, reparación y remozamiento de viviendas; En el período consolidado se contabilizan aproximadamente 23 viviendas construidas y 117 remozamientos, para un total estimado de 140 intervenciones directas en viviendas y estructuras afines. b) Limpieza, mantenimiento vial, eliminación de maleza y fumigación; se llevaron a cabo más de 3 mil acciones relacionadas con limpieza de carreteras, avenidas, calles, puentes peatonales, áreas verdes y centros de asistencia, limpieza de imbornales y remoción de escombros. c) Intervenciones especiales y operativos destacados, Además de las labores ordinarias de construcción, remozamiento y limpieza, se ejecutaron acciones en sectores siguientes: Mendoza, Monte Plata y Los Alcarrizos, Los Girasoles, Distrito Nacional, enfatizando los trabajos en remozamiento de espacios públicos, embellecimiento urbano e intervenciones de infraestructura social ligera, estas acciones buscan fortalecer los espacios de servicio público y de integración comunitaria. d) Intervención de emergencia durante la tormenta Melissa en República Dominicana, Durante la permanencia de la tormenta, se desplegaron operativos e intervenciones críticas, destinadas a reducir riesgos inmediatos para la población y a mantener la operatividad de las vías principales.</w:t>
      </w:r>
    </w:p>
    <w:p w14:paraId="177483D3" w14:textId="77777777" w:rsidR="00BC27E9" w:rsidRPr="00954407" w:rsidRDefault="00BC27E9" w:rsidP="00BC27E9">
      <w:pPr>
        <w:pStyle w:val="EstilodePrrafoNormal1RdeC"/>
      </w:pPr>
    </w:p>
    <w:p w14:paraId="6BF1E228" w14:textId="77777777" w:rsidR="00BC27E9" w:rsidRPr="00954407" w:rsidRDefault="00BC27E9" w:rsidP="00BC27E9">
      <w:pPr>
        <w:pStyle w:val="EstilodePrrafoNormal1RdeC"/>
      </w:pPr>
      <w:r w:rsidRPr="00954407">
        <w:t xml:space="preserve"> Entre las acciones realizadas destacan, desobstrucción de imbornales, viabilizarían de canaletas, Poda y eliminación de árboles en riesgo, esto ayudo a reducir los riesgos  a inundaciones, mejora a la seguridad comunitaria y mantener la movilidad urbana y, e) limpieza general (caminos </w:t>
      </w:r>
      <w:r w:rsidRPr="00954407">
        <w:lastRenderedPageBreak/>
        <w:t xml:space="preserve">vecinales, carreteras, imbornales, cañadas, puentes peatonales, centro de asistencias, clubes deportivos, etc.), durante el período se registran 3460 acciones de limpieza, eliminación de maleza, mantenimiento de carreteras. </w:t>
      </w:r>
    </w:p>
    <w:p w14:paraId="397E14B0" w14:textId="77777777" w:rsidR="00BC27E9" w:rsidRPr="00954407" w:rsidRDefault="00BC27E9" w:rsidP="00BC27E9">
      <w:pPr>
        <w:pStyle w:val="EstilodePrrafoNormal1RdeC"/>
      </w:pPr>
    </w:p>
    <w:p w14:paraId="34EC7D07" w14:textId="77777777" w:rsidR="00BC27E9" w:rsidRPr="00954407" w:rsidRDefault="00BC27E9" w:rsidP="00BC27E9">
      <w:pPr>
        <w:pStyle w:val="EstilodePrrafoNormal1RdeC"/>
      </w:pPr>
      <w:r w:rsidRPr="00954407">
        <w:t>El Gran Santo Domingo concentró la mayor parte de estas intervenciones, superando en varios meses el 70 % del total de acciones realizadas. Prestando servicios que permitirán solucionar de forma inmediata varias necesidades de la población que vive en condiciones de pobreza extrema.</w:t>
      </w:r>
    </w:p>
    <w:p w14:paraId="6F854E41" w14:textId="77777777" w:rsidR="00BC27E9" w:rsidRDefault="00BC27E9" w:rsidP="00BC27E9">
      <w:pPr>
        <w:pStyle w:val="EstilodePrrafoNormal1RdeC"/>
        <w:rPr>
          <w:rFonts w:eastAsia="Calibri"/>
        </w:rPr>
      </w:pPr>
    </w:p>
    <w:p w14:paraId="7F190688" w14:textId="66147594"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Programa de Patrullaje y Protección de Asistencia Vial</w:t>
      </w:r>
      <w:bookmarkEnd w:id="119"/>
    </w:p>
    <w:p w14:paraId="7E1C8557" w14:textId="77777777" w:rsidR="00BC27E9" w:rsidRPr="00954407" w:rsidRDefault="00BC27E9" w:rsidP="00BC27E9">
      <w:pPr>
        <w:pStyle w:val="EstilodePrrafoNormal1RdeC"/>
      </w:pPr>
    </w:p>
    <w:p w14:paraId="1E028F28" w14:textId="77777777" w:rsidR="00BC27E9" w:rsidRPr="00954407" w:rsidRDefault="00BC27E9" w:rsidP="00BC27E9">
      <w:pPr>
        <w:pStyle w:val="EstilodePrrafoNormal1RdeC"/>
      </w:pPr>
      <w:r w:rsidRPr="00954407">
        <w:rPr>
          <w:rFonts w:eastAsia="Calibri"/>
        </w:rPr>
        <w:t xml:space="preserve">Durante el período enero-diciembre del año 2025, el Ministerio de Obras Públicas y Comunicaciones (MOPC), continuó desarrollando el Programa de Patrullaje y Protección de Asistencia Vial que integran los miembros de la Comisión Militar y Policial del MOPC (COMIPOL) proporcionando a los usuarios de los </w:t>
      </w:r>
      <w:r w:rsidRPr="00954407">
        <w:t>corredores urbanos e interurbanos del país</w:t>
      </w:r>
      <w:r w:rsidRPr="00954407">
        <w:rPr>
          <w:rFonts w:eastAsia="Calibri"/>
        </w:rPr>
        <w:t xml:space="preserve"> donde se ha implementado el programa, </w:t>
      </w:r>
      <w:r w:rsidRPr="00954407">
        <w:t>un total de 220,573</w:t>
      </w:r>
      <w:r w:rsidRPr="00954407">
        <w:rPr>
          <w:rFonts w:eastAsia="Calibri"/>
        </w:rPr>
        <w:t xml:space="preserve"> </w:t>
      </w:r>
      <w:r w:rsidRPr="00954407">
        <w:t>servicios de asistencias viales, mediante  las actividades desarrolladas en los operativos 24/7 de patrullaje, vigilancia, protección y asistencia vial a los usuarios que transitan, siendo las más demandadas por tipo las siguientes: 73,986 asistencias por neumáticos;</w:t>
      </w:r>
      <w:r w:rsidRPr="00954407">
        <w:rPr>
          <w:rFonts w:eastAsia="Calibri"/>
        </w:rPr>
        <w:t xml:space="preserve"> 67,970 por fallas mecánicas; 36,326 por seguridad; 16,899 por combustible; 6,876 por calentamientos; </w:t>
      </w:r>
      <w:r w:rsidRPr="00954407">
        <w:t>4</w:t>
      </w:r>
      <w:r w:rsidRPr="00954407">
        <w:rPr>
          <w:rFonts w:eastAsia="Calibri"/>
        </w:rPr>
        <w:t xml:space="preserve">,909 asistencias por accidentes; 4,757 por talleres móviles; 4,037 por requerimiento de grúas; 3,752 por fallas eléctricas; 1,046 por ambulancia, 16 por camiones de rescate, entre otras; siendo el 64.35% de las asistencias ofrecidas las correspondientes a neumáticos y fallas mecánicas, beneficiando un total de 882,292 usuarios que reciben  seguridad personal y vial al transitar </w:t>
      </w:r>
      <w:r w:rsidRPr="00954407">
        <w:t xml:space="preserve">por las vías urbanas e interurbanas del país.  </w:t>
      </w:r>
    </w:p>
    <w:p w14:paraId="633AB185" w14:textId="77777777" w:rsidR="00BC27E9" w:rsidRPr="00954407" w:rsidRDefault="00BC27E9" w:rsidP="00BC27E9">
      <w:pPr>
        <w:pStyle w:val="EstilodePrrafoNormal1RdeC"/>
      </w:pPr>
    </w:p>
    <w:p w14:paraId="5DB919CD" w14:textId="77777777" w:rsidR="00BC27E9" w:rsidRPr="00954407" w:rsidRDefault="00BC27E9" w:rsidP="00BC27E9">
      <w:pPr>
        <w:pStyle w:val="EstilodePrrafoNormal1RdeC"/>
      </w:pPr>
      <w:r w:rsidRPr="00954407">
        <w:t xml:space="preserve">El resumen de asistencias ofrecidas por servicios de mecánica, neumáticos, </w:t>
      </w:r>
      <w:r w:rsidRPr="00954407">
        <w:lastRenderedPageBreak/>
        <w:t xml:space="preserve">seguridad, ambulancia, combustible, accidentes, ambulancias, etc., durante el periodo enero - diciembre del año 2025, se registra en el cuadro siguiente:   </w:t>
      </w:r>
    </w:p>
    <w:p w14:paraId="211FA930" w14:textId="77777777" w:rsidR="00BC27E9" w:rsidRPr="00954407" w:rsidRDefault="00BC27E9" w:rsidP="00BC27E9">
      <w:pPr>
        <w:pStyle w:val="EstilodePrrafoNormal1RdeC"/>
      </w:pPr>
    </w:p>
    <w:p w14:paraId="2FE5D53C" w14:textId="77777777" w:rsidR="00BC27E9" w:rsidRPr="00954407" w:rsidRDefault="00BC27E9" w:rsidP="00BC27E9">
      <w:pPr>
        <w:pStyle w:val="EstilodePrrafoNormal1RdeC"/>
      </w:pPr>
    </w:p>
    <w:tbl>
      <w:tblPr>
        <w:tblStyle w:val="Tablaconcuadrcula3"/>
        <w:tblW w:w="0" w:type="auto"/>
        <w:tblInd w:w="1660" w:type="dxa"/>
        <w:tblLook w:val="04A0" w:firstRow="1" w:lastRow="0" w:firstColumn="1" w:lastColumn="0" w:noHBand="0" w:noVBand="1"/>
      </w:tblPr>
      <w:tblGrid>
        <w:gridCol w:w="2335"/>
        <w:gridCol w:w="2250"/>
      </w:tblGrid>
      <w:tr w:rsidR="00BC27E9" w:rsidRPr="00954407" w14:paraId="517222EB" w14:textId="77777777" w:rsidTr="005D6D6C">
        <w:trPr>
          <w:trHeight w:val="463"/>
        </w:trPr>
        <w:tc>
          <w:tcPr>
            <w:tcW w:w="2335" w:type="dxa"/>
            <w:shd w:val="clear" w:color="auto" w:fill="002060"/>
          </w:tcPr>
          <w:p w14:paraId="1F321F3D" w14:textId="77777777" w:rsidR="00BC27E9" w:rsidRPr="00954407" w:rsidRDefault="00BC27E9" w:rsidP="005D6D6C">
            <w:pPr>
              <w:pStyle w:val="EstilodePrrafoNormal1RdeC"/>
              <w:jc w:val="center"/>
              <w:rPr>
                <w:color w:val="FFFFFF" w:themeColor="background1"/>
              </w:rPr>
            </w:pPr>
            <w:r w:rsidRPr="00954407">
              <w:rPr>
                <w:color w:val="FFFFFF" w:themeColor="background1"/>
              </w:rPr>
              <w:t>Asistencias</w:t>
            </w:r>
          </w:p>
        </w:tc>
        <w:tc>
          <w:tcPr>
            <w:tcW w:w="2250" w:type="dxa"/>
            <w:shd w:val="clear" w:color="auto" w:fill="002060"/>
          </w:tcPr>
          <w:p w14:paraId="60E522BA" w14:textId="77777777" w:rsidR="00BC27E9" w:rsidRPr="00954407" w:rsidRDefault="00BC27E9" w:rsidP="005D6D6C">
            <w:pPr>
              <w:pStyle w:val="EstilodePrrafoNormal1RdeC"/>
              <w:jc w:val="center"/>
              <w:rPr>
                <w:color w:val="FFFFFF" w:themeColor="background1"/>
              </w:rPr>
            </w:pPr>
            <w:r w:rsidRPr="00954407">
              <w:rPr>
                <w:color w:val="FFFFFF" w:themeColor="background1"/>
              </w:rPr>
              <w:t>Cantidad</w:t>
            </w:r>
          </w:p>
        </w:tc>
      </w:tr>
      <w:tr w:rsidR="00BC27E9" w:rsidRPr="00954407" w14:paraId="22D17EA0" w14:textId="77777777" w:rsidTr="005D6D6C">
        <w:trPr>
          <w:trHeight w:val="504"/>
        </w:trPr>
        <w:tc>
          <w:tcPr>
            <w:tcW w:w="2335" w:type="dxa"/>
            <w:vAlign w:val="center"/>
          </w:tcPr>
          <w:p w14:paraId="22B27A0C" w14:textId="77777777" w:rsidR="00BC27E9" w:rsidRPr="00954407" w:rsidRDefault="00BC27E9" w:rsidP="005D6D6C">
            <w:pPr>
              <w:pStyle w:val="EstilodePrrafoNormal1RdeC"/>
              <w:jc w:val="center"/>
              <w:rPr>
                <w:color w:val="auto"/>
                <w:spacing w:val="0"/>
              </w:rPr>
            </w:pPr>
            <w:r w:rsidRPr="00954407">
              <w:rPr>
                <w:color w:val="auto"/>
                <w:spacing w:val="0"/>
              </w:rPr>
              <w:t>Mecánica</w:t>
            </w:r>
          </w:p>
        </w:tc>
        <w:tc>
          <w:tcPr>
            <w:tcW w:w="2250" w:type="dxa"/>
            <w:vAlign w:val="center"/>
          </w:tcPr>
          <w:p w14:paraId="3400EEAF" w14:textId="77777777" w:rsidR="00BC27E9" w:rsidRPr="00954407" w:rsidRDefault="00BC27E9" w:rsidP="005D6D6C">
            <w:pPr>
              <w:pStyle w:val="EstilodePrrafoNormal1RdeC"/>
              <w:jc w:val="center"/>
              <w:rPr>
                <w:color w:val="auto"/>
                <w:spacing w:val="0"/>
              </w:rPr>
            </w:pPr>
            <w:r w:rsidRPr="00954407">
              <w:rPr>
                <w:color w:val="auto"/>
                <w:spacing w:val="0"/>
              </w:rPr>
              <w:t>67,970</w:t>
            </w:r>
          </w:p>
        </w:tc>
      </w:tr>
      <w:tr w:rsidR="00BC27E9" w:rsidRPr="00954407" w14:paraId="17109D7A" w14:textId="77777777" w:rsidTr="005D6D6C">
        <w:trPr>
          <w:trHeight w:val="504"/>
        </w:trPr>
        <w:tc>
          <w:tcPr>
            <w:tcW w:w="2335" w:type="dxa"/>
            <w:vAlign w:val="center"/>
          </w:tcPr>
          <w:p w14:paraId="59F38BCD" w14:textId="77777777" w:rsidR="00BC27E9" w:rsidRPr="00954407" w:rsidRDefault="00BC27E9" w:rsidP="005D6D6C">
            <w:pPr>
              <w:pStyle w:val="EstilodePrrafoNormal1RdeC"/>
              <w:jc w:val="center"/>
              <w:rPr>
                <w:color w:val="auto"/>
                <w:spacing w:val="0"/>
              </w:rPr>
            </w:pPr>
            <w:r w:rsidRPr="00954407">
              <w:rPr>
                <w:color w:val="auto"/>
                <w:spacing w:val="0"/>
              </w:rPr>
              <w:t>Neumáticos</w:t>
            </w:r>
          </w:p>
        </w:tc>
        <w:tc>
          <w:tcPr>
            <w:tcW w:w="2250" w:type="dxa"/>
            <w:vAlign w:val="center"/>
          </w:tcPr>
          <w:p w14:paraId="6F4722D8" w14:textId="77777777" w:rsidR="00BC27E9" w:rsidRPr="00954407" w:rsidRDefault="00BC27E9" w:rsidP="005D6D6C">
            <w:pPr>
              <w:pStyle w:val="EstilodePrrafoNormal1RdeC"/>
              <w:jc w:val="center"/>
              <w:rPr>
                <w:color w:val="auto"/>
                <w:spacing w:val="0"/>
              </w:rPr>
            </w:pPr>
            <w:r w:rsidRPr="00954407">
              <w:rPr>
                <w:color w:val="auto"/>
                <w:spacing w:val="0"/>
              </w:rPr>
              <w:t>73,986</w:t>
            </w:r>
          </w:p>
        </w:tc>
      </w:tr>
      <w:tr w:rsidR="00BC27E9" w:rsidRPr="00954407" w14:paraId="72557D81" w14:textId="77777777" w:rsidTr="005D6D6C">
        <w:trPr>
          <w:trHeight w:val="504"/>
        </w:trPr>
        <w:tc>
          <w:tcPr>
            <w:tcW w:w="2335" w:type="dxa"/>
            <w:vAlign w:val="center"/>
          </w:tcPr>
          <w:p w14:paraId="7375FF19" w14:textId="77777777" w:rsidR="00BC27E9" w:rsidRPr="00954407" w:rsidRDefault="00BC27E9" w:rsidP="005D6D6C">
            <w:pPr>
              <w:pStyle w:val="EstilodePrrafoNormal1RdeC"/>
              <w:jc w:val="center"/>
              <w:rPr>
                <w:color w:val="auto"/>
                <w:spacing w:val="0"/>
              </w:rPr>
            </w:pPr>
            <w:r w:rsidRPr="00954407">
              <w:rPr>
                <w:color w:val="auto"/>
                <w:spacing w:val="0"/>
              </w:rPr>
              <w:t>Seguridad</w:t>
            </w:r>
          </w:p>
        </w:tc>
        <w:tc>
          <w:tcPr>
            <w:tcW w:w="2250" w:type="dxa"/>
            <w:vAlign w:val="center"/>
          </w:tcPr>
          <w:p w14:paraId="10C8619D" w14:textId="77777777" w:rsidR="00BC27E9" w:rsidRPr="00954407" w:rsidRDefault="00BC27E9" w:rsidP="005D6D6C">
            <w:pPr>
              <w:pStyle w:val="EstilodePrrafoNormal1RdeC"/>
              <w:jc w:val="center"/>
              <w:rPr>
                <w:color w:val="auto"/>
                <w:spacing w:val="0"/>
              </w:rPr>
            </w:pPr>
            <w:r w:rsidRPr="00954407">
              <w:rPr>
                <w:color w:val="auto"/>
                <w:spacing w:val="0"/>
              </w:rPr>
              <w:t>36,326</w:t>
            </w:r>
          </w:p>
        </w:tc>
      </w:tr>
      <w:tr w:rsidR="00BC27E9" w:rsidRPr="00954407" w14:paraId="040EB920" w14:textId="77777777" w:rsidTr="005D6D6C">
        <w:trPr>
          <w:trHeight w:val="504"/>
        </w:trPr>
        <w:tc>
          <w:tcPr>
            <w:tcW w:w="2335" w:type="dxa"/>
            <w:vAlign w:val="center"/>
          </w:tcPr>
          <w:p w14:paraId="54BCA3EA" w14:textId="77777777" w:rsidR="00BC27E9" w:rsidRPr="00954407" w:rsidRDefault="00BC27E9" w:rsidP="005D6D6C">
            <w:pPr>
              <w:pStyle w:val="EstilodePrrafoNormal1RdeC"/>
              <w:jc w:val="center"/>
              <w:rPr>
                <w:color w:val="auto"/>
                <w:spacing w:val="0"/>
              </w:rPr>
            </w:pPr>
            <w:r w:rsidRPr="00954407">
              <w:rPr>
                <w:color w:val="auto"/>
                <w:spacing w:val="0"/>
              </w:rPr>
              <w:t>Calentamiento</w:t>
            </w:r>
          </w:p>
        </w:tc>
        <w:tc>
          <w:tcPr>
            <w:tcW w:w="2250" w:type="dxa"/>
            <w:vAlign w:val="center"/>
          </w:tcPr>
          <w:p w14:paraId="63E93121" w14:textId="77777777" w:rsidR="00BC27E9" w:rsidRPr="00954407" w:rsidRDefault="00BC27E9" w:rsidP="005D6D6C">
            <w:pPr>
              <w:pStyle w:val="EstilodePrrafoNormal1RdeC"/>
              <w:jc w:val="center"/>
              <w:rPr>
                <w:color w:val="auto"/>
                <w:spacing w:val="0"/>
              </w:rPr>
            </w:pPr>
            <w:r w:rsidRPr="00954407">
              <w:rPr>
                <w:color w:val="auto"/>
                <w:spacing w:val="0"/>
              </w:rPr>
              <w:t>6,876</w:t>
            </w:r>
          </w:p>
        </w:tc>
      </w:tr>
      <w:tr w:rsidR="00BC27E9" w:rsidRPr="00954407" w14:paraId="4612DF22" w14:textId="77777777" w:rsidTr="005D6D6C">
        <w:trPr>
          <w:trHeight w:val="504"/>
        </w:trPr>
        <w:tc>
          <w:tcPr>
            <w:tcW w:w="2335" w:type="dxa"/>
            <w:vAlign w:val="center"/>
          </w:tcPr>
          <w:p w14:paraId="43E0B6F3" w14:textId="77777777" w:rsidR="00BC27E9" w:rsidRPr="00954407" w:rsidRDefault="00BC27E9" w:rsidP="005D6D6C">
            <w:pPr>
              <w:pStyle w:val="EstilodePrrafoNormal1RdeC"/>
              <w:jc w:val="center"/>
              <w:rPr>
                <w:color w:val="auto"/>
                <w:spacing w:val="0"/>
              </w:rPr>
            </w:pPr>
            <w:r w:rsidRPr="00954407">
              <w:rPr>
                <w:color w:val="auto"/>
                <w:spacing w:val="0"/>
              </w:rPr>
              <w:t>Combustible</w:t>
            </w:r>
          </w:p>
        </w:tc>
        <w:tc>
          <w:tcPr>
            <w:tcW w:w="2250" w:type="dxa"/>
            <w:vAlign w:val="center"/>
          </w:tcPr>
          <w:p w14:paraId="1ED75635" w14:textId="77777777" w:rsidR="00BC27E9" w:rsidRPr="00954407" w:rsidRDefault="00BC27E9" w:rsidP="005D6D6C">
            <w:pPr>
              <w:pStyle w:val="EstilodePrrafoNormal1RdeC"/>
              <w:jc w:val="center"/>
              <w:rPr>
                <w:color w:val="auto"/>
                <w:spacing w:val="0"/>
              </w:rPr>
            </w:pPr>
            <w:r w:rsidRPr="00954407">
              <w:rPr>
                <w:color w:val="auto"/>
                <w:spacing w:val="0"/>
              </w:rPr>
              <w:t>16,899</w:t>
            </w:r>
          </w:p>
        </w:tc>
      </w:tr>
      <w:tr w:rsidR="00BC27E9" w:rsidRPr="00954407" w14:paraId="7B7FB784" w14:textId="77777777" w:rsidTr="005D6D6C">
        <w:trPr>
          <w:trHeight w:val="504"/>
        </w:trPr>
        <w:tc>
          <w:tcPr>
            <w:tcW w:w="2335" w:type="dxa"/>
            <w:vAlign w:val="center"/>
          </w:tcPr>
          <w:p w14:paraId="5D06F7D0" w14:textId="77777777" w:rsidR="00BC27E9" w:rsidRPr="00954407" w:rsidRDefault="00BC27E9" w:rsidP="005D6D6C">
            <w:pPr>
              <w:pStyle w:val="EstilodePrrafoNormal1RdeC"/>
              <w:jc w:val="center"/>
              <w:rPr>
                <w:color w:val="auto"/>
                <w:spacing w:val="0"/>
              </w:rPr>
            </w:pPr>
            <w:r w:rsidRPr="00954407">
              <w:rPr>
                <w:color w:val="auto"/>
                <w:spacing w:val="0"/>
              </w:rPr>
              <w:t>Accidentes</w:t>
            </w:r>
          </w:p>
        </w:tc>
        <w:tc>
          <w:tcPr>
            <w:tcW w:w="2250" w:type="dxa"/>
            <w:vAlign w:val="center"/>
          </w:tcPr>
          <w:p w14:paraId="6F5DC5F2" w14:textId="77777777" w:rsidR="00BC27E9" w:rsidRPr="00954407" w:rsidRDefault="00BC27E9" w:rsidP="005D6D6C">
            <w:pPr>
              <w:pStyle w:val="EstilodePrrafoNormal1RdeC"/>
              <w:jc w:val="center"/>
              <w:rPr>
                <w:color w:val="auto"/>
                <w:spacing w:val="0"/>
              </w:rPr>
            </w:pPr>
            <w:r w:rsidRPr="00954407">
              <w:rPr>
                <w:color w:val="auto"/>
                <w:spacing w:val="0"/>
              </w:rPr>
              <w:t>4,909</w:t>
            </w:r>
          </w:p>
        </w:tc>
      </w:tr>
      <w:tr w:rsidR="00BC27E9" w:rsidRPr="00954407" w14:paraId="1728F50B" w14:textId="77777777" w:rsidTr="005D6D6C">
        <w:trPr>
          <w:trHeight w:val="504"/>
        </w:trPr>
        <w:tc>
          <w:tcPr>
            <w:tcW w:w="2335" w:type="dxa"/>
            <w:vAlign w:val="center"/>
          </w:tcPr>
          <w:p w14:paraId="6DB044A7" w14:textId="77777777" w:rsidR="00BC27E9" w:rsidRPr="00954407" w:rsidRDefault="00BC27E9" w:rsidP="005D6D6C">
            <w:pPr>
              <w:pStyle w:val="EstilodePrrafoNormal1RdeC"/>
              <w:jc w:val="center"/>
              <w:rPr>
                <w:color w:val="auto"/>
                <w:spacing w:val="0"/>
              </w:rPr>
            </w:pPr>
            <w:r w:rsidRPr="00954407">
              <w:rPr>
                <w:color w:val="auto"/>
                <w:spacing w:val="0"/>
              </w:rPr>
              <w:t>Grúas</w:t>
            </w:r>
          </w:p>
        </w:tc>
        <w:tc>
          <w:tcPr>
            <w:tcW w:w="2250" w:type="dxa"/>
            <w:vAlign w:val="center"/>
          </w:tcPr>
          <w:p w14:paraId="1E46A4B2" w14:textId="77777777" w:rsidR="00BC27E9" w:rsidRPr="00954407" w:rsidRDefault="00BC27E9" w:rsidP="005D6D6C">
            <w:pPr>
              <w:pStyle w:val="EstilodePrrafoNormal1RdeC"/>
              <w:jc w:val="center"/>
              <w:rPr>
                <w:color w:val="auto"/>
                <w:spacing w:val="0"/>
              </w:rPr>
            </w:pPr>
            <w:r w:rsidRPr="00954407">
              <w:rPr>
                <w:color w:val="auto"/>
                <w:spacing w:val="0"/>
              </w:rPr>
              <w:t>4,037</w:t>
            </w:r>
          </w:p>
        </w:tc>
      </w:tr>
      <w:tr w:rsidR="00BC27E9" w:rsidRPr="00954407" w14:paraId="59F5E2BC" w14:textId="77777777" w:rsidTr="005D6D6C">
        <w:trPr>
          <w:trHeight w:val="504"/>
        </w:trPr>
        <w:tc>
          <w:tcPr>
            <w:tcW w:w="2335" w:type="dxa"/>
            <w:vAlign w:val="center"/>
          </w:tcPr>
          <w:p w14:paraId="194D5933" w14:textId="77777777" w:rsidR="00BC27E9" w:rsidRPr="00954407" w:rsidRDefault="00BC27E9" w:rsidP="005D6D6C">
            <w:pPr>
              <w:pStyle w:val="EstilodePrrafoNormal1RdeC"/>
              <w:jc w:val="center"/>
              <w:rPr>
                <w:color w:val="auto"/>
                <w:spacing w:val="0"/>
              </w:rPr>
            </w:pPr>
            <w:r w:rsidRPr="00954407">
              <w:rPr>
                <w:color w:val="auto"/>
                <w:spacing w:val="0"/>
              </w:rPr>
              <w:t>Talleres</w:t>
            </w:r>
          </w:p>
        </w:tc>
        <w:tc>
          <w:tcPr>
            <w:tcW w:w="2250" w:type="dxa"/>
            <w:vAlign w:val="center"/>
          </w:tcPr>
          <w:p w14:paraId="4763C7D4" w14:textId="77777777" w:rsidR="00BC27E9" w:rsidRPr="00954407" w:rsidRDefault="00BC27E9" w:rsidP="005D6D6C">
            <w:pPr>
              <w:pStyle w:val="EstilodePrrafoNormal1RdeC"/>
              <w:jc w:val="center"/>
              <w:rPr>
                <w:color w:val="auto"/>
                <w:spacing w:val="0"/>
              </w:rPr>
            </w:pPr>
            <w:r w:rsidRPr="00954407">
              <w:rPr>
                <w:color w:val="auto"/>
                <w:spacing w:val="0"/>
              </w:rPr>
              <w:t>4,757</w:t>
            </w:r>
          </w:p>
        </w:tc>
      </w:tr>
      <w:tr w:rsidR="00BC27E9" w:rsidRPr="00954407" w14:paraId="00DD219E" w14:textId="77777777" w:rsidTr="005D6D6C">
        <w:trPr>
          <w:trHeight w:val="504"/>
        </w:trPr>
        <w:tc>
          <w:tcPr>
            <w:tcW w:w="2335" w:type="dxa"/>
            <w:vAlign w:val="center"/>
          </w:tcPr>
          <w:p w14:paraId="49083484" w14:textId="77777777" w:rsidR="00BC27E9" w:rsidRPr="00954407" w:rsidRDefault="00BC27E9" w:rsidP="005D6D6C">
            <w:pPr>
              <w:pStyle w:val="EstilodePrrafoNormal1RdeC"/>
              <w:jc w:val="center"/>
              <w:rPr>
                <w:color w:val="auto"/>
                <w:spacing w:val="0"/>
              </w:rPr>
            </w:pPr>
            <w:r w:rsidRPr="00954407">
              <w:rPr>
                <w:color w:val="auto"/>
                <w:spacing w:val="0"/>
              </w:rPr>
              <w:t>Ambulancia</w:t>
            </w:r>
          </w:p>
        </w:tc>
        <w:tc>
          <w:tcPr>
            <w:tcW w:w="2250" w:type="dxa"/>
            <w:vAlign w:val="center"/>
          </w:tcPr>
          <w:p w14:paraId="5AD38D35" w14:textId="77777777" w:rsidR="00BC27E9" w:rsidRPr="00954407" w:rsidRDefault="00BC27E9" w:rsidP="005D6D6C">
            <w:pPr>
              <w:pStyle w:val="EstilodePrrafoNormal1RdeC"/>
              <w:jc w:val="center"/>
              <w:rPr>
                <w:color w:val="auto"/>
                <w:spacing w:val="0"/>
              </w:rPr>
            </w:pPr>
            <w:r w:rsidRPr="00954407">
              <w:rPr>
                <w:color w:val="auto"/>
                <w:spacing w:val="0"/>
              </w:rPr>
              <w:t>1,046</w:t>
            </w:r>
          </w:p>
        </w:tc>
      </w:tr>
      <w:tr w:rsidR="00BC27E9" w:rsidRPr="00954407" w14:paraId="18EC8B6D" w14:textId="77777777" w:rsidTr="005D6D6C">
        <w:trPr>
          <w:trHeight w:val="504"/>
        </w:trPr>
        <w:tc>
          <w:tcPr>
            <w:tcW w:w="2335" w:type="dxa"/>
            <w:vAlign w:val="center"/>
          </w:tcPr>
          <w:p w14:paraId="3E5F6B70" w14:textId="77777777" w:rsidR="00BC27E9" w:rsidRPr="00954407" w:rsidRDefault="00BC27E9" w:rsidP="005D6D6C">
            <w:pPr>
              <w:pStyle w:val="EstilodePrrafoNormal1RdeC"/>
              <w:jc w:val="center"/>
              <w:rPr>
                <w:color w:val="auto"/>
                <w:spacing w:val="0"/>
              </w:rPr>
            </w:pPr>
            <w:r w:rsidRPr="00954407">
              <w:rPr>
                <w:color w:val="auto"/>
                <w:spacing w:val="0"/>
              </w:rPr>
              <w:t>Eléctrico</w:t>
            </w:r>
          </w:p>
        </w:tc>
        <w:tc>
          <w:tcPr>
            <w:tcW w:w="2250" w:type="dxa"/>
            <w:vAlign w:val="center"/>
          </w:tcPr>
          <w:p w14:paraId="6DA974A3" w14:textId="77777777" w:rsidR="00BC27E9" w:rsidRPr="00954407" w:rsidRDefault="00BC27E9" w:rsidP="005D6D6C">
            <w:pPr>
              <w:pStyle w:val="EstilodePrrafoNormal1RdeC"/>
              <w:jc w:val="center"/>
              <w:rPr>
                <w:color w:val="auto"/>
                <w:spacing w:val="0"/>
              </w:rPr>
            </w:pPr>
            <w:r w:rsidRPr="00954407">
              <w:rPr>
                <w:color w:val="auto"/>
                <w:spacing w:val="0"/>
              </w:rPr>
              <w:t>3,752</w:t>
            </w:r>
          </w:p>
        </w:tc>
      </w:tr>
      <w:tr w:rsidR="00BC27E9" w:rsidRPr="00954407" w14:paraId="6A06045B" w14:textId="77777777" w:rsidTr="005D6D6C">
        <w:trPr>
          <w:trHeight w:val="504"/>
        </w:trPr>
        <w:tc>
          <w:tcPr>
            <w:tcW w:w="2335" w:type="dxa"/>
            <w:vAlign w:val="center"/>
          </w:tcPr>
          <w:p w14:paraId="45AD91F7" w14:textId="77777777" w:rsidR="00BC27E9" w:rsidRPr="00954407" w:rsidRDefault="00BC27E9" w:rsidP="005D6D6C">
            <w:pPr>
              <w:pStyle w:val="EstilodePrrafoNormal1RdeC"/>
              <w:jc w:val="center"/>
              <w:rPr>
                <w:color w:val="auto"/>
                <w:spacing w:val="0"/>
              </w:rPr>
            </w:pPr>
            <w:r w:rsidRPr="00954407">
              <w:rPr>
                <w:color w:val="auto"/>
                <w:spacing w:val="0"/>
              </w:rPr>
              <w:t>Camión Rescate</w:t>
            </w:r>
          </w:p>
        </w:tc>
        <w:tc>
          <w:tcPr>
            <w:tcW w:w="2250" w:type="dxa"/>
            <w:vAlign w:val="center"/>
          </w:tcPr>
          <w:p w14:paraId="2EC58181" w14:textId="77777777" w:rsidR="00BC27E9" w:rsidRPr="00954407" w:rsidRDefault="00BC27E9" w:rsidP="005D6D6C">
            <w:pPr>
              <w:pStyle w:val="EstilodePrrafoNormal1RdeC"/>
              <w:jc w:val="center"/>
              <w:rPr>
                <w:color w:val="auto"/>
                <w:spacing w:val="0"/>
              </w:rPr>
            </w:pPr>
            <w:r w:rsidRPr="00954407">
              <w:rPr>
                <w:color w:val="auto"/>
                <w:spacing w:val="0"/>
              </w:rPr>
              <w:t>16</w:t>
            </w:r>
          </w:p>
        </w:tc>
      </w:tr>
      <w:tr w:rsidR="00BC27E9" w:rsidRPr="00954407" w14:paraId="7395623E" w14:textId="77777777" w:rsidTr="005D6D6C">
        <w:trPr>
          <w:trHeight w:val="504"/>
        </w:trPr>
        <w:tc>
          <w:tcPr>
            <w:tcW w:w="2335" w:type="dxa"/>
            <w:vAlign w:val="center"/>
          </w:tcPr>
          <w:p w14:paraId="03E216BE" w14:textId="77777777" w:rsidR="00BC27E9" w:rsidRPr="00954407" w:rsidRDefault="00BC27E9" w:rsidP="005D6D6C">
            <w:pPr>
              <w:pStyle w:val="EstilodePrrafoNormal1RdeC"/>
              <w:jc w:val="center"/>
              <w:rPr>
                <w:color w:val="auto"/>
                <w:spacing w:val="0"/>
              </w:rPr>
            </w:pPr>
            <w:r w:rsidRPr="00954407">
              <w:rPr>
                <w:color w:val="auto"/>
                <w:spacing w:val="0"/>
              </w:rPr>
              <w:t>TOTAL</w:t>
            </w:r>
          </w:p>
        </w:tc>
        <w:tc>
          <w:tcPr>
            <w:tcW w:w="2250" w:type="dxa"/>
            <w:vAlign w:val="center"/>
          </w:tcPr>
          <w:p w14:paraId="138F17EC" w14:textId="77777777" w:rsidR="00BC27E9" w:rsidRPr="00954407" w:rsidRDefault="00BC27E9" w:rsidP="005D6D6C">
            <w:pPr>
              <w:pStyle w:val="EstilodePrrafoNormal1RdeC"/>
              <w:jc w:val="center"/>
              <w:rPr>
                <w:color w:val="auto"/>
                <w:spacing w:val="0"/>
              </w:rPr>
            </w:pPr>
            <w:r w:rsidRPr="00954407">
              <w:rPr>
                <w:color w:val="auto"/>
                <w:spacing w:val="0"/>
              </w:rPr>
              <w:t>220,573</w:t>
            </w:r>
          </w:p>
        </w:tc>
      </w:tr>
    </w:tbl>
    <w:p w14:paraId="44E6D67D" w14:textId="77777777" w:rsidR="00BC27E9" w:rsidRPr="00954407" w:rsidRDefault="00BC27E9" w:rsidP="00BC27E9">
      <w:pPr>
        <w:pStyle w:val="EstilodePrrafoNormal1RdeC"/>
        <w:rPr>
          <w:noProof/>
          <w:lang w:val="en-US"/>
        </w:rPr>
      </w:pPr>
    </w:p>
    <w:p w14:paraId="66BF5DE3" w14:textId="77777777" w:rsidR="00BC27E9" w:rsidRPr="00954407" w:rsidRDefault="00BC27E9" w:rsidP="00BC27E9">
      <w:pPr>
        <w:pStyle w:val="EstilodePrrafoNormal1RdeC"/>
        <w:rPr>
          <w:noProof/>
          <w:lang w:val="en-US"/>
        </w:rPr>
      </w:pPr>
    </w:p>
    <w:p w14:paraId="5681BD8E" w14:textId="77777777" w:rsidR="00BC27E9" w:rsidRPr="00954407" w:rsidRDefault="00BC27E9" w:rsidP="00BC27E9">
      <w:pPr>
        <w:pStyle w:val="EstilodePrrafoNormal1RdeC"/>
        <w:rPr>
          <w:rFonts w:eastAsia="Calibri"/>
          <w:spacing w:val="20"/>
        </w:rPr>
      </w:pPr>
      <w:r w:rsidRPr="00954407">
        <w:rPr>
          <w:rFonts w:eastAsia="Calibri"/>
          <w:spacing w:val="20"/>
        </w:rPr>
        <w:t xml:space="preserve">La asistencia que ofrece el MOPC en forma gratuita, contribuye a la economía y seguridad de los usuarios, la cantidad de asistencias brindadas en el periodo enero-diciembre del 2025 representa un ahorro en la población beneficiada por los servicios recibidos, superior a los 358 millones de pesos. </w:t>
      </w:r>
    </w:p>
    <w:p w14:paraId="4A51E699" w14:textId="77777777" w:rsidR="00BC27E9" w:rsidRPr="00954407" w:rsidRDefault="00BC27E9" w:rsidP="00BC27E9">
      <w:pPr>
        <w:pStyle w:val="EstilodePrrafoNormal1RdeC"/>
        <w:rPr>
          <w:noProof/>
        </w:rPr>
      </w:pPr>
    </w:p>
    <w:p w14:paraId="430858A5" w14:textId="77777777" w:rsidR="00BC27E9" w:rsidRPr="00954407" w:rsidRDefault="00BC27E9" w:rsidP="00BC27E9">
      <w:pPr>
        <w:pStyle w:val="EstilodePrrafoNormal1RdeC"/>
        <w:rPr>
          <w:noProof/>
        </w:rPr>
      </w:pPr>
    </w:p>
    <w:p w14:paraId="323D7C59" w14:textId="77777777" w:rsidR="00BC27E9" w:rsidRPr="00954407" w:rsidRDefault="00BC27E9" w:rsidP="00BC27E9">
      <w:pPr>
        <w:pStyle w:val="EstilodePrrafoNormal1RdeC"/>
        <w:rPr>
          <w:noProof/>
        </w:rPr>
      </w:pPr>
    </w:p>
    <w:p w14:paraId="0CE9DF2A" w14:textId="77777777" w:rsidR="00BC27E9" w:rsidRPr="00954407" w:rsidRDefault="00BC27E9" w:rsidP="00BC27E9">
      <w:pPr>
        <w:pStyle w:val="EstilodePrrafoNormal1RdeC"/>
        <w:rPr>
          <w:noProof/>
          <w:lang w:val="en-US"/>
        </w:rPr>
      </w:pPr>
      <w:r w:rsidRPr="00954407">
        <w:rPr>
          <w:noProof/>
        </w:rPr>
        <w:lastRenderedPageBreak/>
        <w:drawing>
          <wp:inline distT="0" distB="0" distL="0" distR="0" wp14:anchorId="0F4F0E25" wp14:editId="427BD7A6">
            <wp:extent cx="5086350" cy="2867025"/>
            <wp:effectExtent l="0" t="0" r="0" b="9525"/>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3230E07" w14:textId="77777777" w:rsidR="00BC27E9" w:rsidRPr="00954407" w:rsidRDefault="00BC27E9" w:rsidP="00BC27E9">
      <w:pPr>
        <w:pStyle w:val="EstilodePrrafoNormal1RdeC"/>
        <w:rPr>
          <w:color w:val="767171"/>
        </w:rPr>
      </w:pPr>
      <w:bookmarkStart w:id="120" w:name="_Toc78583651"/>
    </w:p>
    <w:p w14:paraId="40F88B8E" w14:textId="240CD5BF"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Plan Nacional de Señalización Vial</w:t>
      </w:r>
      <w:bookmarkEnd w:id="120"/>
    </w:p>
    <w:p w14:paraId="1A0E9C88" w14:textId="77777777" w:rsidR="00BC27E9" w:rsidRPr="00954407" w:rsidRDefault="00BC27E9" w:rsidP="00BC27E9">
      <w:pPr>
        <w:pStyle w:val="EstilodePrrafoNormal1RdeC"/>
        <w:rPr>
          <w:color w:val="767171"/>
        </w:rPr>
      </w:pPr>
    </w:p>
    <w:p w14:paraId="03C67925" w14:textId="75BB315D" w:rsidR="00BC27E9" w:rsidRPr="00954407" w:rsidRDefault="00BC27E9" w:rsidP="00BC27E9">
      <w:pPr>
        <w:pStyle w:val="EstilodePrrafoNormal1RdeC"/>
        <w:rPr>
          <w:rFonts w:eastAsia="Calibri"/>
          <w:spacing w:val="20"/>
        </w:rPr>
      </w:pPr>
      <w:r w:rsidRPr="00954407">
        <w:t>Mediante el Programa de Señalización Vial del Ministerio de Obras Públicas y Comunicaciones (MOPC), se realizaron acciones de señalización vial durante el período enero-diciembre del año 2025, estimándose una longitud intervenida de la red vial aproximada de 3,070 km-carril de señalización horizontal colocada en Carreteras, Calles, Avenidas, Caminos Vecinales, Puentes y Distribuidores de Tráfico, etc.; además, un total de 664 unidades de señales verticales de NO ESTACIONE, NO PASAJEROS, NO DOBLE EN “U”, NO CAMIONES, etc., las cuales se complementan con la colocación de vialetas reflectivas (ojos de gato) y colocación de señales informativas en los orígenes de los tramos,</w:t>
      </w:r>
      <w:r w:rsidRPr="00954407">
        <w:rPr>
          <w:rFonts w:eastAsia="Calibri"/>
        </w:rPr>
        <w:t xml:space="preserve"> con una inversión aproximada de RD$470,872,660.</w:t>
      </w:r>
      <w:r w:rsidRPr="00571D3D">
        <w:rPr>
          <w:rFonts w:eastAsia="Calibri"/>
        </w:rPr>
        <w:t>76 (</w:t>
      </w:r>
      <w:r w:rsidR="00571D3D" w:rsidRPr="00571D3D">
        <w:rPr>
          <w:rFonts w:eastAsia="Calibri"/>
        </w:rPr>
        <w:t>Cuatrocientos</w:t>
      </w:r>
      <w:r w:rsidR="00571D3D" w:rsidRPr="00665F0C">
        <w:rPr>
          <w:rFonts w:eastAsia="Calibri"/>
        </w:rPr>
        <w:t xml:space="preserve"> Setenta Millones Ochocientos Setenta y Dos Mil Seiscientos Sesenta Pesos con 76/100</w:t>
      </w:r>
      <w:r w:rsidRPr="00954407">
        <w:rPr>
          <w:rFonts w:eastAsia="Calibri"/>
        </w:rPr>
        <w:t>), no incluye la inversión de la señalización vial de proyectos específicos, que la consideran como un componente del presupuesto total</w:t>
      </w:r>
      <w:r w:rsidRPr="00954407">
        <w:rPr>
          <w:rFonts w:eastAsia="Calibri"/>
          <w:spacing w:val="20"/>
        </w:rPr>
        <w:t xml:space="preserve"> del proyecto.  Entre las obras señalizadas durante el citado periodo, se destacan las siguientes: </w:t>
      </w:r>
    </w:p>
    <w:p w14:paraId="70223B2F" w14:textId="77777777" w:rsidR="00BC27E9" w:rsidRPr="00954407" w:rsidRDefault="00BC27E9" w:rsidP="00BC27E9">
      <w:pPr>
        <w:pStyle w:val="EstilodePrrafoNormal1RdeC"/>
      </w:pPr>
    </w:p>
    <w:p w14:paraId="6C45637F" w14:textId="4DFF0ADE" w:rsidR="00BC27E9" w:rsidRDefault="00BC27E9" w:rsidP="00E43B25">
      <w:pPr>
        <w:pStyle w:val="EstilodePrrafoNormal1RdeC"/>
        <w:numPr>
          <w:ilvl w:val="0"/>
          <w:numId w:val="199"/>
        </w:numPr>
      </w:pPr>
      <w:r w:rsidRPr="00954407">
        <w:t>Trabajos de Señalización horizontal en pintura termoplástica blanca en Av. Núñez de Cáceres; Distrito Nacional</w:t>
      </w:r>
      <w:r w:rsidR="00E43B25">
        <w:t>.</w:t>
      </w:r>
    </w:p>
    <w:p w14:paraId="54596606" w14:textId="77777777" w:rsidR="00E43B25" w:rsidRPr="00954407" w:rsidRDefault="00E43B25" w:rsidP="00E43B25">
      <w:pPr>
        <w:pStyle w:val="EstilodePrrafoNormal1RdeC"/>
        <w:ind w:left="720"/>
      </w:pPr>
    </w:p>
    <w:p w14:paraId="3D06EEDB" w14:textId="3FBF3D20" w:rsidR="00BC27E9" w:rsidRPr="00954407" w:rsidRDefault="00BC27E9" w:rsidP="00E43B25">
      <w:pPr>
        <w:pStyle w:val="EstilodePrrafoNormal1RdeC"/>
        <w:numPr>
          <w:ilvl w:val="0"/>
          <w:numId w:val="199"/>
        </w:numPr>
      </w:pPr>
      <w:r w:rsidRPr="00954407">
        <w:t>Trabajos de Señalización horizontal en pintura termoplástica blanca en Autopista Duarte</w:t>
      </w:r>
      <w:r w:rsidR="00E43B25">
        <w:t>.</w:t>
      </w:r>
    </w:p>
    <w:p w14:paraId="4E061ACE" w14:textId="77777777" w:rsidR="00BC27E9" w:rsidRPr="00954407" w:rsidRDefault="00BC27E9" w:rsidP="00BC27E9">
      <w:pPr>
        <w:pStyle w:val="EstilodePrrafoNormal1RdeC"/>
      </w:pPr>
    </w:p>
    <w:p w14:paraId="5B3F231B" w14:textId="0B2F46F6" w:rsidR="00BC27E9" w:rsidRPr="00954407" w:rsidRDefault="00BC27E9" w:rsidP="00E43B25">
      <w:pPr>
        <w:pStyle w:val="EstilodePrrafoNormal1RdeC"/>
        <w:numPr>
          <w:ilvl w:val="0"/>
          <w:numId w:val="199"/>
        </w:numPr>
      </w:pPr>
      <w:r w:rsidRPr="00954407">
        <w:t>Señalización Horizontal área de parqueos Palacio de la Policía Nacional, Distrito Nacional</w:t>
      </w:r>
      <w:r w:rsidR="00E43B25">
        <w:t>.</w:t>
      </w:r>
      <w:r w:rsidRPr="00954407">
        <w:t xml:space="preserve"> </w:t>
      </w:r>
    </w:p>
    <w:p w14:paraId="2032AD95" w14:textId="77777777" w:rsidR="00BC27E9" w:rsidRPr="00954407" w:rsidRDefault="00BC27E9" w:rsidP="00BC27E9">
      <w:pPr>
        <w:pStyle w:val="EstilodePrrafoNormal1RdeC"/>
      </w:pPr>
    </w:p>
    <w:p w14:paraId="533A00BF" w14:textId="77777777" w:rsidR="00BC27E9" w:rsidRPr="00954407" w:rsidRDefault="00BC27E9" w:rsidP="00E43B25">
      <w:pPr>
        <w:pStyle w:val="EstilodePrrafoNormal1RdeC"/>
        <w:numPr>
          <w:ilvl w:val="0"/>
          <w:numId w:val="199"/>
        </w:numPr>
      </w:pPr>
      <w:r w:rsidRPr="00954407">
        <w:t xml:space="preserve">Señalización Horizontal en la Av. Simón Bolívar, Distrito Nacional; </w:t>
      </w:r>
    </w:p>
    <w:p w14:paraId="733B947F" w14:textId="77777777" w:rsidR="00BC27E9" w:rsidRPr="00954407" w:rsidRDefault="00BC27E9" w:rsidP="00BC27E9">
      <w:pPr>
        <w:pStyle w:val="EstilodePrrafoNormal1RdeC"/>
      </w:pPr>
    </w:p>
    <w:p w14:paraId="4FBCC8AB" w14:textId="33D61F93" w:rsidR="00BC27E9" w:rsidRPr="00954407" w:rsidRDefault="00BC27E9" w:rsidP="00E43B25">
      <w:pPr>
        <w:pStyle w:val="EstilodePrrafoNormal1RdeC"/>
        <w:numPr>
          <w:ilvl w:val="0"/>
          <w:numId w:val="199"/>
        </w:numPr>
      </w:pPr>
      <w:r w:rsidRPr="00954407">
        <w:t>Señalización Horizontal Autopista 30 de Mayo, Distrito Nacional</w:t>
      </w:r>
      <w:r w:rsidR="00E43B25">
        <w:t>.</w:t>
      </w:r>
      <w:r w:rsidRPr="00954407">
        <w:t xml:space="preserve"> </w:t>
      </w:r>
    </w:p>
    <w:p w14:paraId="186B1DC4" w14:textId="77777777" w:rsidR="00BC27E9" w:rsidRPr="00954407" w:rsidRDefault="00BC27E9" w:rsidP="00BC27E9">
      <w:pPr>
        <w:pStyle w:val="EstilodePrrafoNormal1RdeC"/>
      </w:pPr>
    </w:p>
    <w:p w14:paraId="6061B348" w14:textId="76D1DD9D" w:rsidR="00BC27E9" w:rsidRPr="00954407" w:rsidRDefault="00BC27E9" w:rsidP="00E43B25">
      <w:pPr>
        <w:pStyle w:val="EstilodePrrafoNormal1RdeC"/>
        <w:numPr>
          <w:ilvl w:val="0"/>
          <w:numId w:val="199"/>
        </w:numPr>
      </w:pPr>
      <w:r w:rsidRPr="00954407">
        <w:t xml:space="preserve">Trabajos de Señalización Horizontal en pintura termoplástica blanca en Av. Máximo </w:t>
      </w:r>
      <w:r w:rsidR="00E43B25" w:rsidRPr="00954407">
        <w:t>Gómez</w:t>
      </w:r>
      <w:r w:rsidR="00571D3D">
        <w:t xml:space="preserve"> entre otros</w:t>
      </w:r>
      <w:r w:rsidR="00E43B25">
        <w:t>.</w:t>
      </w:r>
    </w:p>
    <w:p w14:paraId="1F27AB26" w14:textId="77777777" w:rsidR="00BC27E9" w:rsidRPr="00954407" w:rsidRDefault="00BC27E9" w:rsidP="00BC27E9">
      <w:pPr>
        <w:pStyle w:val="EstilodePrrafoNormal1RdeC"/>
      </w:pPr>
    </w:p>
    <w:p w14:paraId="5A25309F" w14:textId="77777777" w:rsidR="00BC27E9" w:rsidRPr="00954407" w:rsidRDefault="00BC27E9" w:rsidP="00BC27E9">
      <w:pPr>
        <w:pStyle w:val="EstilodePrrafoNormal1RdeC"/>
      </w:pPr>
    </w:p>
    <w:p w14:paraId="5FC7185B" w14:textId="2DE0583F"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Actividades Ejecutadas por la Unidad Ejecutora de Proyectos Financiados con Recursos Externos (UEPFRE)</w:t>
      </w:r>
    </w:p>
    <w:p w14:paraId="73FE37AB" w14:textId="77777777" w:rsidR="00BC27E9" w:rsidRPr="00954407" w:rsidRDefault="00BC27E9" w:rsidP="00BC27E9">
      <w:pPr>
        <w:pStyle w:val="EstilodePrrafoNormal1RdeC"/>
      </w:pPr>
    </w:p>
    <w:p w14:paraId="7AAA8870" w14:textId="77777777" w:rsidR="00BC27E9" w:rsidRPr="00954407" w:rsidRDefault="00BC27E9" w:rsidP="00BC27E9">
      <w:pPr>
        <w:pStyle w:val="EstilodePrrafoNormal1RdeC"/>
      </w:pPr>
      <w:r w:rsidRPr="00954407">
        <w:t>Durante el periodo enero-diciembre del 2025, la Unidad Ejecutora de Proyectos Financiados con Recursos Externos (UEPFRE) del MOPC, continuó la ejecución de los Programas del MOPC financiados con recursos externos del Banco Interamericano de Desarrollo (BID), entre los cuales, destacamos:</w:t>
      </w:r>
    </w:p>
    <w:p w14:paraId="7B41317C" w14:textId="77777777" w:rsidR="00BC27E9" w:rsidRPr="00954407" w:rsidRDefault="00BC27E9" w:rsidP="00BC27E9">
      <w:pPr>
        <w:pStyle w:val="EstilodePrrafoNormal1RdeC"/>
      </w:pPr>
    </w:p>
    <w:p w14:paraId="0F146B8B" w14:textId="50ED8FCE" w:rsidR="00BC27E9" w:rsidRDefault="00BC27E9" w:rsidP="00E43B25">
      <w:pPr>
        <w:pStyle w:val="EstilodePrrafoNormal1RdeC"/>
        <w:numPr>
          <w:ilvl w:val="0"/>
          <w:numId w:val="200"/>
        </w:numPr>
      </w:pPr>
      <w:r w:rsidRPr="00954407">
        <w:t xml:space="preserve">Programa de Mejoramiento del Puerto de Manzanillo, con una longitud del Muelle Offshore de 1.0 km, un costo total de RD$ RD$6,230,000,000.00 (Seis Mil Doscientos Treinta Millones  con </w:t>
      </w:r>
      <w:r w:rsidRPr="00954407">
        <w:lastRenderedPageBreak/>
        <w:t>00/100) y una ejecución durante el periodo enero-diciembre del año 2025 de RD$306,216,418.28 (Trescientos Seis Millones Doscientos Dieciséis Mil Cuatrocientos Dieciocho Pesos con 28/100); destacándose en las ejecutorias del año 2025, los proyectos siguientes: Rehabilitación Carretera Duarte (Navarrete-Jaibón) Lote 1;  Rehabilitación Carretera Duarte  (Jaibón-Botoncillo) Lote 2; Rehabilitación Carretera Duarte  (Botoncillo-Montecristi) Lote 3.</w:t>
      </w:r>
    </w:p>
    <w:p w14:paraId="2C56C8AA" w14:textId="77777777" w:rsidR="005D6D6C" w:rsidRPr="00954407" w:rsidRDefault="005D6D6C" w:rsidP="005D6D6C">
      <w:pPr>
        <w:pStyle w:val="EstilodePrrafoNormal1RdeC"/>
        <w:ind w:left="720"/>
      </w:pPr>
    </w:p>
    <w:p w14:paraId="1D6E72F6" w14:textId="41A78F90" w:rsidR="00BC27E9" w:rsidRDefault="00BC27E9" w:rsidP="00E43B25">
      <w:pPr>
        <w:pStyle w:val="EstilodePrrafoNormal1RdeC"/>
        <w:numPr>
          <w:ilvl w:val="0"/>
          <w:numId w:val="200"/>
        </w:numPr>
      </w:pPr>
      <w:r w:rsidRPr="00954407">
        <w:t>Programa de Rehabilitación y Mantenimiento de Carreteras (117 km) y Caminos Vecinales (884 km) a nivel nacional, con una inversión total de RD$7,306,790,544.99 (Siete Mil Trescientos Seis Millones Setecientos Noventa Mil Quinientos Cuarenta y Cuatro Pesos con 99/100), ejecutando durante el periodo enero-diciembre del  año 2025, un total de RD$2,135,754,914.86 (Dos Mil Ciento Treinta y Cinco Millones Setecientos Cincuenta y Cuatro Mil Novecientos Catorce Pesos con 86/10); destacándose los proyectos siguientes con  mayores ejecutorias durante el año 2025</w:t>
      </w:r>
      <w:r w:rsidR="005D6D6C">
        <w:t>:</w:t>
      </w:r>
    </w:p>
    <w:p w14:paraId="0480ED0D" w14:textId="77777777" w:rsidR="005D6D6C" w:rsidRPr="00954407" w:rsidRDefault="005D6D6C" w:rsidP="005D6D6C">
      <w:pPr>
        <w:pStyle w:val="EstilodePrrafoNormal1RdeC"/>
      </w:pPr>
    </w:p>
    <w:p w14:paraId="313D1B70" w14:textId="303E42D6" w:rsidR="00BC27E9" w:rsidRDefault="00E43B25" w:rsidP="00E43B25">
      <w:pPr>
        <w:pStyle w:val="EstilodePrrafoNormal1RdeC"/>
        <w:ind w:left="1440" w:hanging="450"/>
      </w:pPr>
      <w:r>
        <w:t xml:space="preserve">b.1 </w:t>
      </w:r>
      <w:r w:rsidR="00BC27E9" w:rsidRPr="00954407">
        <w:t>Rehabilitación Carretera Monte Plata – Cevicos (Lote 5), Provincia Monte Plata, longitud 44.25 km, con un valor presupuestado de RD$756,583,060.26 (Setecientos Cincuenta y Seis Millones Quinientos Ochenta y Tres Mil Sesenta Pesos con 26/100), de los cuales ejecutaron en el 2025, la suma de RD$372,208,969.39 (Trescientos Setenta y Dos Millones Doscientos Ocho Mil Novecientos Sesenta y Nueve Pesos con 39/100), registrando un avance físico de un 69.82%.</w:t>
      </w:r>
    </w:p>
    <w:p w14:paraId="6B1CEED3" w14:textId="77777777" w:rsidR="005D6D6C" w:rsidRPr="00954407" w:rsidRDefault="005D6D6C" w:rsidP="005D6D6C">
      <w:pPr>
        <w:pStyle w:val="EstilodePrrafoNormal1RdeC"/>
      </w:pPr>
    </w:p>
    <w:p w14:paraId="105269E3" w14:textId="56D2C7A1" w:rsidR="00BC27E9" w:rsidRDefault="00E43B25" w:rsidP="00E43B25">
      <w:pPr>
        <w:pStyle w:val="EstilodePrrafoNormal1RdeC"/>
        <w:ind w:left="1440" w:hanging="450"/>
      </w:pPr>
      <w:r>
        <w:t xml:space="preserve">b.2 </w:t>
      </w:r>
      <w:r w:rsidR="00BC27E9" w:rsidRPr="00954407">
        <w:t xml:space="preserve">Rehabilitación Carretera Monte Plata – Bayaguana (Lote 4),                 Provincia Monte Plata, longitud 17.76 km, con un valor presupuestado de RD$453,845,542.19 (Cuatrocientos Cincuenta y Tres Millones Ochocientos Cuarenta y Cinco Mil </w:t>
      </w:r>
      <w:r w:rsidR="00BC27E9" w:rsidRPr="00954407">
        <w:lastRenderedPageBreak/>
        <w:t>Quinientos Cuarenta y Dos Pesos con 19/100), de los cuales ejecutaron en el 2025, la suma de RD$178,437,372.26 (Ciento Setenta y Ocho Millones Cuatrocientos Treinta y Siete Mil  Trescientos Setenta y Dos Pesos con 26/100), registrando un avance físico de un 59.94%.</w:t>
      </w:r>
    </w:p>
    <w:p w14:paraId="1DEE2DCB" w14:textId="77777777" w:rsidR="005D6D6C" w:rsidRPr="00954407" w:rsidRDefault="005D6D6C" w:rsidP="005D6D6C">
      <w:pPr>
        <w:pStyle w:val="EstilodePrrafoNormal1RdeC"/>
      </w:pPr>
    </w:p>
    <w:p w14:paraId="44B4E6E8" w14:textId="77777777" w:rsidR="00BC27E9" w:rsidRDefault="00BC27E9" w:rsidP="00E43B25">
      <w:pPr>
        <w:pStyle w:val="EstilodePrrafoNormal1RdeC"/>
        <w:ind w:left="1440" w:hanging="720"/>
      </w:pPr>
      <w:r w:rsidRPr="00954407">
        <w:t>b.3   Rehabilitación Carretera Polo – Cabral (Lote 3), Provincia Barahona, longitud 20.58 km, con un valor presupuestado de RD$499,681,615.54 (Cuatrocientos Noventa y Nueve Millones Seiscientos Ochenta y Un Mil Seiscientos Quince Pesos con 54/100), de los cuales ejecutaron en el 2025, la suma de RD$162,909,180.19 (Ciento Sesenta y Dos Millones Novecientos Nueve Mil Ciento Ochenta Pesos con 19/100), registrando un avance físico de un 60.66%.</w:t>
      </w:r>
    </w:p>
    <w:p w14:paraId="4C0C8370" w14:textId="77777777" w:rsidR="005D6D6C" w:rsidRPr="00954407" w:rsidRDefault="005D6D6C" w:rsidP="005D6D6C">
      <w:pPr>
        <w:pStyle w:val="EstilodePrrafoNormal1RdeC"/>
      </w:pPr>
    </w:p>
    <w:p w14:paraId="6B0B2A05" w14:textId="77777777" w:rsidR="00BC27E9" w:rsidRDefault="00BC27E9" w:rsidP="00E43B25">
      <w:pPr>
        <w:pStyle w:val="EstilodePrrafoNormal1RdeC"/>
        <w:ind w:left="1440" w:hanging="720"/>
      </w:pPr>
      <w:r w:rsidRPr="00954407">
        <w:t>b.4  Rehabilitación Caminos Vecinales Naranjal Arriba-Parra, Rancho Arriba-Río Mahoma y Sabana Grande de Boyá-Los Pomos,  Provincia San José de Ocoa, longitud 20.87 km, con un valor presupuestado de RD$422,976,957.26 (Cuatrocientos Veintidós Millones Novecientos Setenta y Seis Mil Novecientos Cincuenta y Siete Pesos con 26/100), de los cuales ejecutaron en el 2025, la suma de RD$121,299,638.20 (Ciento Veintiún Millones Doscientos Noventa y Nueve Mil  Seiscientos Treinta y Ocho Pesos con 20/100), registrando un avance físico de un 28.68%.</w:t>
      </w:r>
    </w:p>
    <w:p w14:paraId="09FF2748" w14:textId="77777777" w:rsidR="005D6D6C" w:rsidRPr="00954407" w:rsidRDefault="005D6D6C" w:rsidP="005D6D6C">
      <w:pPr>
        <w:pStyle w:val="EstilodePrrafoNormal1RdeC"/>
        <w:rPr>
          <w:lang w:val="es-DO"/>
        </w:rPr>
      </w:pPr>
    </w:p>
    <w:p w14:paraId="2657F68E" w14:textId="77777777" w:rsidR="00BC27E9" w:rsidRDefault="00BC27E9" w:rsidP="00E43B25">
      <w:pPr>
        <w:pStyle w:val="EstilodePrrafoNormal1RdeC"/>
        <w:ind w:left="1440" w:hanging="720"/>
      </w:pPr>
      <w:r w:rsidRPr="00954407">
        <w:t xml:space="preserve">b.5  Asfaltado de  Caminos Grupo II, Lote I, El Puerto-Los Lirios-El Charco-La Lanza- Lanza Abajo – Escuela Lanza Abajo,  Provincia Barahona, longitud 10.80 km, con un valor presupuestado de RD$123,376,485.38(Ciento Veintitrés Millones Trescientos Setenta y Seis Mil Cuatrocientos </w:t>
      </w:r>
      <w:r w:rsidRPr="00954407">
        <w:lastRenderedPageBreak/>
        <w:t>Ochenta y Cinco Pesos con 38/100), de los cuales ejecutaron en el 2025, la suma de RD$34,560,498.00 (Treinta y Cuatro Millones Quinientos Sesenta Mil  Cuatrocientos Noventa y Ocho Pesos con 00/100), registrando un avance físico de un 98.46%.</w:t>
      </w:r>
    </w:p>
    <w:p w14:paraId="3F1A5A85" w14:textId="77777777" w:rsidR="005D6D6C" w:rsidRPr="00954407" w:rsidRDefault="005D6D6C" w:rsidP="005D6D6C">
      <w:pPr>
        <w:pStyle w:val="EstilodePrrafoNormal1RdeC"/>
      </w:pPr>
    </w:p>
    <w:p w14:paraId="179A7F6E" w14:textId="593A14FF" w:rsidR="00BC27E9" w:rsidRPr="00954407" w:rsidRDefault="00BC27E9" w:rsidP="00E43B25">
      <w:pPr>
        <w:pStyle w:val="EstilodePrrafoNormal1RdeC"/>
        <w:numPr>
          <w:ilvl w:val="0"/>
          <w:numId w:val="200"/>
        </w:numPr>
      </w:pPr>
      <w:r w:rsidRPr="00954407">
        <w:t>Diseño Final y Construcción Puente Bajabonico, Provincia Puerto Plata, longitud N/D, con un valor presupuestado de RD$175,426,716.40 (Ciento Setenta y Cinco Millones Cuatrocientos Veintiséis Mil Setecientos Dieciséis Pesos con 40/100), de los cuales ejecutaron en el 2025, la suma de RD$31,409,331.51 (Treinta y Un Millones Cuatrocientos Nueve Mil Trescientos Treinta y Un Pesos con 51/100), registrando un avance físico de un 17.9%, entre otros.</w:t>
      </w:r>
    </w:p>
    <w:p w14:paraId="1D174A46" w14:textId="77777777" w:rsidR="00BC27E9" w:rsidRPr="00954407" w:rsidRDefault="00BC27E9" w:rsidP="00BC27E9">
      <w:pPr>
        <w:pStyle w:val="EstilodePrrafoNormal1RdeC"/>
      </w:pPr>
    </w:p>
    <w:p w14:paraId="21891275" w14:textId="54F22844" w:rsidR="00BC27E9" w:rsidRPr="000B1728" w:rsidRDefault="00BC27E9" w:rsidP="000B1728">
      <w:pPr>
        <w:pStyle w:val="Heading2"/>
        <w:rPr>
          <w:rFonts w:ascii="Times New Roman" w:hAnsi="Times New Roman" w:cs="Times New Roman"/>
          <w:b/>
          <w:bCs/>
          <w:color w:val="767171"/>
          <w:sz w:val="24"/>
          <w:szCs w:val="24"/>
        </w:rPr>
      </w:pPr>
      <w:bookmarkStart w:id="121" w:name="_Toc186924358"/>
      <w:bookmarkStart w:id="122" w:name="_Toc217402134"/>
      <w:r w:rsidRPr="000B1728">
        <w:rPr>
          <w:rFonts w:ascii="Times New Roman" w:hAnsi="Times New Roman" w:cs="Times New Roman"/>
          <w:b/>
          <w:bCs/>
          <w:color w:val="767171"/>
          <w:sz w:val="24"/>
          <w:szCs w:val="24"/>
        </w:rPr>
        <w:t>Desempeño de los Recursos Humanos</w:t>
      </w:r>
      <w:bookmarkEnd w:id="121"/>
      <w:r w:rsidRPr="000B1728">
        <w:rPr>
          <w:rFonts w:ascii="Times New Roman" w:hAnsi="Times New Roman" w:cs="Times New Roman"/>
          <w:b/>
          <w:bCs/>
          <w:color w:val="767171"/>
          <w:sz w:val="24"/>
          <w:szCs w:val="24"/>
        </w:rPr>
        <w:t xml:space="preserve"> (RRHH)</w:t>
      </w:r>
      <w:bookmarkEnd w:id="122"/>
    </w:p>
    <w:p w14:paraId="2295E0BB" w14:textId="77777777" w:rsidR="00BC27E9" w:rsidRPr="00954407" w:rsidRDefault="00BC27E9" w:rsidP="00BC27E9">
      <w:pPr>
        <w:pStyle w:val="EstilodePrrafoNormal1RdeC"/>
      </w:pPr>
    </w:p>
    <w:p w14:paraId="055D0142" w14:textId="77777777" w:rsidR="00E43B25" w:rsidRDefault="00BC27E9" w:rsidP="00BC27E9">
      <w:pPr>
        <w:pStyle w:val="EstilodePrrafoNormal1RdeC"/>
      </w:pPr>
      <w:r w:rsidRPr="00954407">
        <w:t xml:space="preserve">Durante el periodo enero-diciembre del año 2025, el desempeño de los colaboradores del ministerio fue evaluado por los encargados de las áreas con un desempeño extraordinario, acción que fue ratificada por el Ministerio de Administración Pública (MAP) al calificar en el SISMAP con una puntuación de un 98% la gestión de Evaluación y Capacitación de la Dirección de RRHH. Hecho que se convirtió en un logro motivador para la Dirección de RRHH, por lo que procedimos a continuar desarrollando acciones que permitieran seguir de manera fortalecida con el desarrollo de un sistema de gestión de recursos humanos, acorde a la Ley Núm. 41-08 y sus reglamentos de aplicación, garantizando la disponibilidad de servidores idóneos, motivados y comprometidos con el logro de los objetivos institucionales; enfocándose en el mérito, la eficiencia y el servicio a la ciudadanía, todo esto con el objetivo de optimizar el servicio público y la satisfacción del colaborador y propiciando a la vez, un ambiente </w:t>
      </w:r>
      <w:r w:rsidRPr="00954407">
        <w:lastRenderedPageBreak/>
        <w:t xml:space="preserve">organizacional que contribuya a los logros propuestos, promoviendo valores y principios éticos.   </w:t>
      </w:r>
    </w:p>
    <w:p w14:paraId="6ADB31AF" w14:textId="7F8DFE2D" w:rsidR="00BC27E9" w:rsidRPr="00954407" w:rsidRDefault="00BC27E9" w:rsidP="00BC27E9">
      <w:pPr>
        <w:pStyle w:val="EstilodePrrafoNormal1RdeC"/>
      </w:pPr>
      <w:r w:rsidRPr="00954407">
        <w:t xml:space="preserve"> </w:t>
      </w:r>
    </w:p>
    <w:p w14:paraId="760DF8E9" w14:textId="77777777" w:rsidR="00BC27E9" w:rsidRPr="00954407" w:rsidRDefault="00BC27E9" w:rsidP="00BC27E9">
      <w:pPr>
        <w:pStyle w:val="EstilodePrrafoNormal1RdeC"/>
      </w:pPr>
    </w:p>
    <w:p w14:paraId="11130A0B" w14:textId="3F140EF1" w:rsidR="00BC27E9" w:rsidRPr="00755C02" w:rsidRDefault="00E43B25" w:rsidP="00755C02">
      <w:pPr>
        <w:pStyle w:val="Heading3"/>
        <w:rPr>
          <w:b/>
          <w:bCs/>
          <w:color w:val="808080" w:themeColor="background1" w:themeShade="80"/>
          <w:sz w:val="24"/>
          <w:szCs w:val="24"/>
        </w:rPr>
      </w:pPr>
      <w:r w:rsidRPr="00755C02">
        <w:rPr>
          <w:b/>
          <w:bCs/>
          <w:color w:val="808080" w:themeColor="background1" w:themeShade="80"/>
          <w:sz w:val="24"/>
          <w:szCs w:val="24"/>
        </w:rPr>
        <w:t>Organización de la Función de Recursos Humanos</w:t>
      </w:r>
    </w:p>
    <w:p w14:paraId="2275042A" w14:textId="77777777" w:rsidR="00BC27E9" w:rsidRPr="00954407" w:rsidRDefault="00BC27E9" w:rsidP="00BC27E9">
      <w:pPr>
        <w:pStyle w:val="EstilodePrrafoNormal1RdeC"/>
        <w:rPr>
          <w:rFonts w:eastAsia="Calibri"/>
          <w:color w:val="auto"/>
          <w:spacing w:val="0"/>
          <w:sz w:val="22"/>
        </w:rPr>
      </w:pPr>
    </w:p>
    <w:p w14:paraId="7E2D93A0" w14:textId="77777777" w:rsidR="00BC27E9" w:rsidRPr="00954407" w:rsidRDefault="00BC27E9" w:rsidP="00BC27E9">
      <w:pPr>
        <w:pStyle w:val="EstilodePrrafoNormal1RdeC"/>
      </w:pPr>
      <w:r w:rsidRPr="00954407">
        <w:t>En la Dirección de Recursos Humanos del MOPC, es fundamental contar con una estructura que nos permita desarrollar las acciones para el logro de nuestro objetivo principal, el cual fue descrito en el acápite anterior, y lo resumimos a continuación: “optimizar el servicio público y la satisfacción del colaborador y a la vez propiciando un ambiente organizacional que contribuya a los logros propuestos, promoviendo valores y principios éticos, y asegurando tener un personal altamente motivado e identificado con nuestro ministerio.”</w:t>
      </w:r>
    </w:p>
    <w:p w14:paraId="35854F32" w14:textId="77777777" w:rsidR="00BC27E9" w:rsidRPr="00954407" w:rsidRDefault="00BC27E9" w:rsidP="00BC27E9">
      <w:pPr>
        <w:pStyle w:val="EstilodePrrafoNormal1RdeC"/>
      </w:pPr>
    </w:p>
    <w:p w14:paraId="563C048F" w14:textId="77777777" w:rsidR="00BC27E9" w:rsidRPr="00954407" w:rsidRDefault="00BC27E9" w:rsidP="00BC27E9">
      <w:pPr>
        <w:pStyle w:val="EstilodePrrafoNormal1RdeC"/>
      </w:pPr>
      <w:r w:rsidRPr="00954407">
        <w:t>La organización de la gestión del talento humano del MOPC, se basa en el uso de prácticas vanguardistas, las cuales desplegamos en los desarrollo de los siguiente procesos:  a) Planificación Estratégica de Personal, para cubrir las necesidades actuales y futuras de las personas requeridas por el ministerio; a) Reclutamiento y Selección efectivo, que garantiza la colocación del personal idóneo en el puesto adecuado; b) Desarrollo de un Plan de Capacitación que responde a nuestras necesidades; c) Elaboración de los Acuerdos de Desempeño de todos los colaboradores activos; d) Evaluación del desempeño por resultados; e) Aplicación del Régimen Ético y Disciplinario y la gestión de los riesgos laborales, según los reglamentos establecidos; f) Uso del Manual de Cargos, para complementar de manera efectiva los reclutamientos y la selección de personal; g) Ejecuciones del Plan Operativo Anual (POA); h) Cumplimiento de los Indicadores del SISMAP y de la Evaluación del Desempeño Institucional (EDI); entre otras.</w:t>
      </w:r>
    </w:p>
    <w:p w14:paraId="5787C228" w14:textId="77777777" w:rsidR="00BC27E9" w:rsidRPr="00954407" w:rsidRDefault="00BC27E9" w:rsidP="00BC27E9">
      <w:pPr>
        <w:pStyle w:val="EstilodePrrafoNormal1RdeC"/>
      </w:pPr>
    </w:p>
    <w:p w14:paraId="0E305B11" w14:textId="77777777" w:rsidR="00BC27E9" w:rsidRDefault="00BC27E9" w:rsidP="00BC27E9">
      <w:pPr>
        <w:pStyle w:val="EstilodePrrafoNormal1RdeC"/>
      </w:pPr>
      <w:r w:rsidRPr="00954407">
        <w:lastRenderedPageBreak/>
        <w:t xml:space="preserve">En la actualidad la Dirección de Recursos Humanos del MOPC, está organizada en Departamentos, Divisiones y Secciones, los cuales se detallan a continuación: </w:t>
      </w:r>
    </w:p>
    <w:p w14:paraId="4A172576" w14:textId="77777777" w:rsidR="009D6135" w:rsidRPr="00954407" w:rsidRDefault="009D6135" w:rsidP="00BC27E9">
      <w:pPr>
        <w:pStyle w:val="EstilodePrrafoNormal1RdeC"/>
      </w:pPr>
    </w:p>
    <w:p w14:paraId="6E5E57C7" w14:textId="59C25FF3" w:rsidR="00BC27E9" w:rsidRPr="00954407" w:rsidRDefault="00BC27E9" w:rsidP="009D6135">
      <w:pPr>
        <w:pStyle w:val="EstilodePrrafoNormal1RdeC"/>
        <w:numPr>
          <w:ilvl w:val="1"/>
          <w:numId w:val="201"/>
        </w:numPr>
      </w:pPr>
      <w:r w:rsidRPr="00954407">
        <w:t>Departamento de Registro y Control</w:t>
      </w:r>
    </w:p>
    <w:p w14:paraId="345A670D" w14:textId="77777777" w:rsidR="00BC27E9" w:rsidRPr="00954407" w:rsidRDefault="00BC27E9" w:rsidP="009D6135">
      <w:pPr>
        <w:pStyle w:val="EstilodePrrafoNormal1RdeC"/>
        <w:numPr>
          <w:ilvl w:val="0"/>
          <w:numId w:val="201"/>
        </w:numPr>
      </w:pPr>
      <w:r w:rsidRPr="00954407">
        <w:t xml:space="preserve">Sección de Expedientes </w:t>
      </w:r>
    </w:p>
    <w:p w14:paraId="0B303E02" w14:textId="77777777" w:rsidR="00BC27E9" w:rsidRPr="00954407" w:rsidRDefault="00BC27E9" w:rsidP="00BC27E9">
      <w:pPr>
        <w:pStyle w:val="EstilodePrrafoNormal1RdeC"/>
      </w:pPr>
    </w:p>
    <w:p w14:paraId="54C795DD" w14:textId="10E7C878" w:rsidR="00BC27E9" w:rsidRPr="00954407" w:rsidRDefault="00BC27E9" w:rsidP="009D6135">
      <w:pPr>
        <w:pStyle w:val="EstilodePrrafoNormal1RdeC"/>
        <w:numPr>
          <w:ilvl w:val="1"/>
          <w:numId w:val="201"/>
        </w:numPr>
      </w:pPr>
      <w:r w:rsidRPr="00954407">
        <w:t xml:space="preserve">Departamento de Reclutamiento y Selección </w:t>
      </w:r>
    </w:p>
    <w:p w14:paraId="07CD0F8A" w14:textId="77777777" w:rsidR="00BC27E9" w:rsidRPr="00954407" w:rsidRDefault="00BC27E9" w:rsidP="009D6135">
      <w:pPr>
        <w:pStyle w:val="EstilodePrrafoNormal1RdeC"/>
        <w:numPr>
          <w:ilvl w:val="0"/>
          <w:numId w:val="201"/>
        </w:numPr>
      </w:pPr>
      <w:r w:rsidRPr="00954407">
        <w:t>Sección de Pasantes</w:t>
      </w:r>
    </w:p>
    <w:p w14:paraId="60D9C2D9" w14:textId="77777777" w:rsidR="00BC27E9" w:rsidRPr="00954407" w:rsidRDefault="00BC27E9" w:rsidP="00BC27E9">
      <w:pPr>
        <w:pStyle w:val="EstilodePrrafoNormal1RdeC"/>
      </w:pPr>
    </w:p>
    <w:p w14:paraId="1D14F4FF" w14:textId="77777777" w:rsidR="00BC27E9" w:rsidRPr="00954407" w:rsidRDefault="00BC27E9" w:rsidP="009D6135">
      <w:pPr>
        <w:pStyle w:val="EstilodePrrafoNormal1RdeC"/>
        <w:numPr>
          <w:ilvl w:val="0"/>
          <w:numId w:val="201"/>
        </w:numPr>
      </w:pPr>
      <w:r w:rsidRPr="00954407">
        <w:t xml:space="preserve">Departamento de Compensaciones y Beneficios </w:t>
      </w:r>
    </w:p>
    <w:p w14:paraId="48079F45" w14:textId="77777777" w:rsidR="00BC27E9" w:rsidRPr="00954407" w:rsidRDefault="00BC27E9" w:rsidP="009D6135">
      <w:pPr>
        <w:pStyle w:val="EstilodePrrafoNormal1RdeC"/>
        <w:numPr>
          <w:ilvl w:val="0"/>
          <w:numId w:val="201"/>
        </w:numPr>
      </w:pPr>
      <w:r w:rsidRPr="00954407">
        <w:t>División de Compensación</w:t>
      </w:r>
    </w:p>
    <w:p w14:paraId="67760297" w14:textId="77777777" w:rsidR="00BC27E9" w:rsidRPr="00954407" w:rsidRDefault="00BC27E9" w:rsidP="00BC27E9">
      <w:pPr>
        <w:pStyle w:val="EstilodePrrafoNormal1RdeC"/>
      </w:pPr>
    </w:p>
    <w:p w14:paraId="354E439B" w14:textId="2702593F" w:rsidR="00BC27E9" w:rsidRPr="00954407" w:rsidRDefault="00BC27E9" w:rsidP="009D6135">
      <w:pPr>
        <w:pStyle w:val="EstilodePrrafoNormal1RdeC"/>
        <w:numPr>
          <w:ilvl w:val="1"/>
          <w:numId w:val="201"/>
        </w:numPr>
      </w:pPr>
      <w:r w:rsidRPr="00954407">
        <w:t xml:space="preserve">Departamento de Evaluación y Capacitación </w:t>
      </w:r>
    </w:p>
    <w:p w14:paraId="1684689A" w14:textId="77777777" w:rsidR="00BC27E9" w:rsidRPr="00954407" w:rsidRDefault="00BC27E9" w:rsidP="009D6135">
      <w:pPr>
        <w:pStyle w:val="EstilodePrrafoNormal1RdeC"/>
        <w:numPr>
          <w:ilvl w:val="0"/>
          <w:numId w:val="201"/>
        </w:numPr>
      </w:pPr>
      <w:r w:rsidRPr="00954407">
        <w:t>División Evaluación de Desempeño</w:t>
      </w:r>
    </w:p>
    <w:p w14:paraId="70ADA6DF" w14:textId="77777777" w:rsidR="00BC27E9" w:rsidRPr="00954407" w:rsidRDefault="00BC27E9" w:rsidP="009D6135">
      <w:pPr>
        <w:pStyle w:val="EstilodePrrafoNormal1RdeC"/>
        <w:numPr>
          <w:ilvl w:val="0"/>
          <w:numId w:val="201"/>
        </w:numPr>
      </w:pPr>
      <w:r w:rsidRPr="00954407">
        <w:t>División de Capacitación y Desarrollo</w:t>
      </w:r>
    </w:p>
    <w:p w14:paraId="50E7AB6D" w14:textId="77777777" w:rsidR="00BC27E9" w:rsidRPr="00954407" w:rsidRDefault="00BC27E9" w:rsidP="00BC27E9">
      <w:pPr>
        <w:pStyle w:val="EstilodePrrafoNormal1RdeC"/>
      </w:pPr>
    </w:p>
    <w:p w14:paraId="62A85C85" w14:textId="20267B76" w:rsidR="00BC27E9" w:rsidRPr="00954407" w:rsidRDefault="00BC27E9" w:rsidP="009D6135">
      <w:pPr>
        <w:pStyle w:val="EstilodePrrafoNormal1RdeC"/>
        <w:numPr>
          <w:ilvl w:val="0"/>
          <w:numId w:val="201"/>
        </w:numPr>
      </w:pPr>
      <w:r w:rsidRPr="00954407">
        <w:t>Departamento de Relaciones Laborales y Sociales</w:t>
      </w:r>
    </w:p>
    <w:p w14:paraId="6FF2580B" w14:textId="77777777" w:rsidR="00BC27E9" w:rsidRPr="00954407" w:rsidRDefault="00BC27E9" w:rsidP="009D6135">
      <w:pPr>
        <w:pStyle w:val="EstilodePrrafoNormal1RdeC"/>
        <w:numPr>
          <w:ilvl w:val="0"/>
          <w:numId w:val="201"/>
        </w:numPr>
      </w:pPr>
      <w:r w:rsidRPr="00954407">
        <w:t>División Bienestar Social</w:t>
      </w:r>
    </w:p>
    <w:p w14:paraId="3F289642" w14:textId="77777777" w:rsidR="00BC27E9" w:rsidRPr="00954407" w:rsidRDefault="00BC27E9" w:rsidP="009D6135">
      <w:pPr>
        <w:pStyle w:val="EstilodePrrafoNormal1RdeC"/>
        <w:numPr>
          <w:ilvl w:val="0"/>
          <w:numId w:val="201"/>
        </w:numPr>
      </w:pPr>
      <w:r w:rsidRPr="00954407">
        <w:t>División de Salud Ocupacional</w:t>
      </w:r>
    </w:p>
    <w:p w14:paraId="131929FC" w14:textId="77777777" w:rsidR="00BC27E9" w:rsidRPr="00954407" w:rsidRDefault="00BC27E9" w:rsidP="009D6135">
      <w:pPr>
        <w:pStyle w:val="EstilodePrrafoNormal1RdeC"/>
        <w:numPr>
          <w:ilvl w:val="0"/>
          <w:numId w:val="201"/>
        </w:numPr>
      </w:pPr>
      <w:r w:rsidRPr="00954407">
        <w:t>División de Relaciones Laborales</w:t>
      </w:r>
    </w:p>
    <w:p w14:paraId="476C7161" w14:textId="77777777" w:rsidR="00BC27E9" w:rsidRPr="00954407" w:rsidRDefault="00BC27E9" w:rsidP="009D6135">
      <w:pPr>
        <w:pStyle w:val="EstilodePrrafoNormal1RdeC"/>
        <w:numPr>
          <w:ilvl w:val="0"/>
          <w:numId w:val="201"/>
        </w:numPr>
      </w:pPr>
      <w:r w:rsidRPr="00954407">
        <w:t>División de Clima Laboral</w:t>
      </w:r>
    </w:p>
    <w:p w14:paraId="26465EFF" w14:textId="77777777" w:rsidR="00BC27E9" w:rsidRPr="00954407" w:rsidRDefault="00BC27E9" w:rsidP="00BC27E9">
      <w:pPr>
        <w:pStyle w:val="EstilodePrrafoNormal1RdeC"/>
      </w:pPr>
    </w:p>
    <w:p w14:paraId="74B71E6C" w14:textId="7F5B32D5" w:rsidR="00BC27E9" w:rsidRPr="00954407" w:rsidRDefault="00BC27E9" w:rsidP="009D6135">
      <w:pPr>
        <w:pStyle w:val="EstilodePrrafoNormal1RdeC"/>
        <w:numPr>
          <w:ilvl w:val="0"/>
          <w:numId w:val="201"/>
        </w:numPr>
      </w:pPr>
      <w:r w:rsidRPr="00954407">
        <w:t xml:space="preserve">División Dispensario Médico (se reporta directamente a la Dirección de Recursos Humanos). </w:t>
      </w:r>
    </w:p>
    <w:p w14:paraId="30170182" w14:textId="77777777" w:rsidR="00BC27E9" w:rsidRPr="00954407" w:rsidRDefault="00BC27E9" w:rsidP="009D6135">
      <w:pPr>
        <w:pStyle w:val="EstilodePrrafoNormal1RdeC"/>
        <w:numPr>
          <w:ilvl w:val="0"/>
          <w:numId w:val="201"/>
        </w:numPr>
      </w:pPr>
      <w:r w:rsidRPr="00954407">
        <w:t>Unidad Odontológica</w:t>
      </w:r>
    </w:p>
    <w:p w14:paraId="7DA19DD5" w14:textId="77777777" w:rsidR="00BC27E9" w:rsidRDefault="00BC27E9" w:rsidP="00BC27E9">
      <w:pPr>
        <w:pStyle w:val="EstilodePrrafoNormal1RdeC"/>
      </w:pPr>
    </w:p>
    <w:p w14:paraId="77641E01" w14:textId="77777777" w:rsidR="005D6D6C" w:rsidRPr="00954407" w:rsidRDefault="005D6D6C" w:rsidP="00BC27E9">
      <w:pPr>
        <w:pStyle w:val="EstilodePrrafoNormal1RdeC"/>
      </w:pPr>
    </w:p>
    <w:p w14:paraId="3C30EAC4" w14:textId="00A36F17"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lastRenderedPageBreak/>
        <w:t xml:space="preserve"> </w:t>
      </w:r>
      <w:r w:rsidR="009D6135" w:rsidRPr="00755C02">
        <w:rPr>
          <w:b/>
          <w:bCs/>
          <w:color w:val="808080" w:themeColor="background1" w:themeShade="80"/>
          <w:sz w:val="24"/>
          <w:szCs w:val="24"/>
        </w:rPr>
        <w:t>Planificación Estratégica de Recursos Humanos</w:t>
      </w:r>
    </w:p>
    <w:p w14:paraId="3BAB3ABE" w14:textId="77777777" w:rsidR="00BC27E9" w:rsidRPr="00954407" w:rsidRDefault="00BC27E9" w:rsidP="00BC27E9">
      <w:pPr>
        <w:pStyle w:val="EstilodePrrafoNormal1RdeC"/>
        <w:rPr>
          <w:rFonts w:eastAsia="Calibri"/>
          <w:spacing w:val="20"/>
        </w:rPr>
      </w:pPr>
    </w:p>
    <w:p w14:paraId="32F96730" w14:textId="77777777" w:rsidR="00BC27E9" w:rsidRPr="00954407" w:rsidRDefault="00BC27E9" w:rsidP="00BC27E9">
      <w:pPr>
        <w:pStyle w:val="EstilodePrrafoNormal1RdeC"/>
        <w:rPr>
          <w:rFonts w:eastAsia="Calibri"/>
          <w:spacing w:val="20"/>
        </w:rPr>
      </w:pPr>
      <w:r w:rsidRPr="00954407">
        <w:rPr>
          <w:rFonts w:eastAsia="Calibri"/>
          <w:spacing w:val="20"/>
        </w:rPr>
        <w:t xml:space="preserve">La Dirección de Recursos Humanos del (MOPC), realiza cada año el proceso de Planificación de los Recursos Humanos, acorde a los lineamientos establecidos por el MAP, con la finalidad de alinear la de las necesidades de personal del ministerio (actuales y futuras), con la satisfacción de las mismas, para el logro de los objetivos establecidos en el Plan Operativo Anual, de una manera eficiente y eficaz. </w:t>
      </w:r>
    </w:p>
    <w:p w14:paraId="24F85FF3" w14:textId="77777777" w:rsidR="00BC27E9" w:rsidRPr="00954407" w:rsidRDefault="00BC27E9" w:rsidP="00BC27E9">
      <w:pPr>
        <w:pStyle w:val="EstilodePrrafoNormal1RdeC"/>
        <w:rPr>
          <w:rFonts w:eastAsia="Calibri"/>
          <w:spacing w:val="20"/>
        </w:rPr>
      </w:pPr>
    </w:p>
    <w:p w14:paraId="6785BA00" w14:textId="3187DAB2" w:rsidR="00BC27E9" w:rsidRPr="00755C02" w:rsidRDefault="009D6135" w:rsidP="00755C02">
      <w:pPr>
        <w:pStyle w:val="Heading3"/>
        <w:rPr>
          <w:b/>
          <w:bCs/>
          <w:color w:val="808080" w:themeColor="background1" w:themeShade="80"/>
          <w:sz w:val="24"/>
          <w:szCs w:val="24"/>
        </w:rPr>
      </w:pPr>
      <w:r w:rsidRPr="00755C02">
        <w:rPr>
          <w:b/>
          <w:bCs/>
          <w:color w:val="808080" w:themeColor="background1" w:themeShade="80"/>
          <w:sz w:val="24"/>
          <w:szCs w:val="24"/>
        </w:rPr>
        <w:t>Organización del Trabajo</w:t>
      </w:r>
    </w:p>
    <w:p w14:paraId="103D9235" w14:textId="77777777" w:rsidR="00BC27E9" w:rsidRPr="00954407" w:rsidRDefault="00BC27E9" w:rsidP="00BC27E9">
      <w:pPr>
        <w:pStyle w:val="EstilodePrrafoNormal1RdeC"/>
        <w:rPr>
          <w:rFonts w:eastAsia="Calibri"/>
          <w:spacing w:val="0"/>
          <w:sz w:val="22"/>
        </w:rPr>
      </w:pPr>
    </w:p>
    <w:p w14:paraId="251EA690" w14:textId="77777777" w:rsidR="00BC27E9" w:rsidRPr="00954407" w:rsidRDefault="00BC27E9" w:rsidP="00BC27E9">
      <w:pPr>
        <w:pStyle w:val="EstilodePrrafoNormal1RdeC"/>
        <w:rPr>
          <w:rFonts w:eastAsia="Calibri"/>
          <w:spacing w:val="20"/>
        </w:rPr>
      </w:pPr>
      <w:r w:rsidRPr="00954407">
        <w:rPr>
          <w:rFonts w:eastAsia="Calibri"/>
          <w:spacing w:val="20"/>
        </w:rPr>
        <w:t>La Organización del Trabajo en el Ministerio, está regida por un Manual de Operaciones y Funciones, en el cual se establece de manera formal los lineamientos y especificaciones para el desarrollo de los procedimientos que facilitan la coordinación de las áreas dentro de la Estructura Organizacional del MOPC; en dichos manuales se estable la relación jerárquica y las funciones principales de dichas áreas, estableciendo el alcance y competencias de cada una de estas para brindar los servicios públicos que se prestan a los ciudadanos y ciudadanas de la República Dominicana.</w:t>
      </w:r>
    </w:p>
    <w:p w14:paraId="23E8BBB4" w14:textId="77777777" w:rsidR="00BC27E9" w:rsidRPr="00954407" w:rsidRDefault="00BC27E9" w:rsidP="00BC27E9">
      <w:pPr>
        <w:pStyle w:val="EstilodePrrafoNormal1RdeC"/>
        <w:rPr>
          <w:rFonts w:eastAsia="Calibri"/>
          <w:spacing w:val="20"/>
        </w:rPr>
      </w:pPr>
    </w:p>
    <w:p w14:paraId="3275B69E" w14:textId="77777777" w:rsidR="00BC27E9" w:rsidRPr="00954407" w:rsidRDefault="00BC27E9" w:rsidP="00BC27E9">
      <w:pPr>
        <w:pStyle w:val="EstilodePrrafoNormal1RdeC"/>
        <w:rPr>
          <w:rFonts w:eastAsia="Calibri"/>
          <w:spacing w:val="20"/>
        </w:rPr>
      </w:pPr>
      <w:r w:rsidRPr="00954407">
        <w:rPr>
          <w:rFonts w:eastAsia="Calibri"/>
          <w:spacing w:val="20"/>
        </w:rPr>
        <w:t>También tenemos un Manual de Cargos Típicos y Comunes, donde se establece los objetivos y las funciones de cada puesto de trabajo, las responsabilidades de cada posición, junto al perfil requerido para cada puesto y los niveles jerárquicos de los mismos, facilitando así el proceso de selección del personal, el desempeño de los colaboradores y la adaptación del mismo a su puesto de trabajo.</w:t>
      </w:r>
    </w:p>
    <w:p w14:paraId="68EB9726" w14:textId="77777777" w:rsidR="00BC27E9" w:rsidRPr="00954407" w:rsidRDefault="00BC27E9" w:rsidP="00BC27E9">
      <w:pPr>
        <w:pStyle w:val="EstilodePrrafoNormal1RdeC"/>
        <w:rPr>
          <w:rFonts w:eastAsia="Calibri"/>
          <w:spacing w:val="20"/>
        </w:rPr>
      </w:pPr>
      <w:r w:rsidRPr="00954407">
        <w:rPr>
          <w:rFonts w:eastAsia="Calibri"/>
          <w:spacing w:val="20"/>
        </w:rPr>
        <w:t xml:space="preserve">Esta organización responde a las normativas y los lineamientos establecidos por el Órgano Rector (el MAP). En actualidad, estamos </w:t>
      </w:r>
      <w:r w:rsidRPr="00954407">
        <w:rPr>
          <w:rFonts w:eastAsia="Calibri"/>
          <w:spacing w:val="20"/>
        </w:rPr>
        <w:lastRenderedPageBreak/>
        <w:t>en proceso de actualización del Manual de Cargos, acorde a la nueva estructura; esto es un procedimiento normal en la alta gestión de los recursos humanos, ya que la administración de los mismos no es estática y obedece a cambios (externos e internos) constantes, que hacen que las instituciones tengan que adaptarse a las nuevas exigencias del medio.</w:t>
      </w:r>
    </w:p>
    <w:p w14:paraId="31127F26" w14:textId="77777777" w:rsidR="00BC27E9" w:rsidRDefault="00BC27E9" w:rsidP="00BC27E9">
      <w:pPr>
        <w:pStyle w:val="EstilodePrrafoNormal1RdeC"/>
        <w:rPr>
          <w:rFonts w:eastAsia="Calibri"/>
          <w:spacing w:val="20"/>
          <w:sz w:val="22"/>
        </w:rPr>
      </w:pPr>
    </w:p>
    <w:p w14:paraId="3C655E7D" w14:textId="77777777" w:rsidR="009D6135" w:rsidRPr="00954407" w:rsidRDefault="009D6135" w:rsidP="00BC27E9">
      <w:pPr>
        <w:pStyle w:val="EstilodePrrafoNormal1RdeC"/>
        <w:rPr>
          <w:rFonts w:eastAsia="Calibri"/>
          <w:spacing w:val="20"/>
          <w:sz w:val="22"/>
        </w:rPr>
      </w:pPr>
    </w:p>
    <w:p w14:paraId="2DA48F53" w14:textId="4F779450" w:rsidR="00BC27E9" w:rsidRPr="00755C02" w:rsidRDefault="009D6135" w:rsidP="00755C02">
      <w:pPr>
        <w:pStyle w:val="Heading3"/>
        <w:rPr>
          <w:b/>
          <w:bCs/>
          <w:color w:val="808080" w:themeColor="background1" w:themeShade="80"/>
          <w:sz w:val="24"/>
          <w:szCs w:val="24"/>
        </w:rPr>
      </w:pPr>
      <w:r w:rsidRPr="00755C02">
        <w:rPr>
          <w:b/>
          <w:bCs/>
          <w:color w:val="808080" w:themeColor="background1" w:themeShade="80"/>
          <w:sz w:val="24"/>
          <w:szCs w:val="24"/>
        </w:rPr>
        <w:t>Gestión del Empleo</w:t>
      </w:r>
    </w:p>
    <w:p w14:paraId="1D1B37AD" w14:textId="77777777" w:rsidR="00BC27E9" w:rsidRPr="00954407" w:rsidRDefault="00BC27E9" w:rsidP="00BC27E9">
      <w:pPr>
        <w:pStyle w:val="EstilodePrrafoNormal1RdeC"/>
        <w:rPr>
          <w:rFonts w:eastAsia="Calibri"/>
          <w:spacing w:val="0"/>
          <w:sz w:val="22"/>
        </w:rPr>
      </w:pPr>
    </w:p>
    <w:p w14:paraId="38339721" w14:textId="77777777" w:rsidR="00BC27E9" w:rsidRPr="00954407" w:rsidRDefault="00BC27E9" w:rsidP="00BC27E9">
      <w:pPr>
        <w:pStyle w:val="EstilodePrrafoNormal1RdeC"/>
        <w:rPr>
          <w:rFonts w:eastAsia="Calibri"/>
          <w:spacing w:val="20"/>
        </w:rPr>
      </w:pPr>
      <w:r w:rsidRPr="00954407">
        <w:rPr>
          <w:rFonts w:eastAsia="Calibri"/>
          <w:spacing w:val="20"/>
        </w:rPr>
        <w:t xml:space="preserve">La Gestión del Empleo en el Ministerio, se lleva a cabo cumpliendo con las políticas y procedimientos de selección, movilidad y desvinculación de los Servidores Públicos. Para el proceso de Reclutamiento y Selección contamos con una política y procedimiento establecido, elaborado acorde al Reglamento número 251-15, sobre Reclutamiento y Selección de Personal de la Gestión Pública. </w:t>
      </w:r>
    </w:p>
    <w:p w14:paraId="2E399811" w14:textId="77777777" w:rsidR="00BC27E9" w:rsidRPr="00954407" w:rsidRDefault="00BC27E9" w:rsidP="00BC27E9">
      <w:pPr>
        <w:pStyle w:val="EstilodePrrafoNormal1RdeC"/>
        <w:rPr>
          <w:rFonts w:eastAsia="Calibri"/>
          <w:spacing w:val="20"/>
        </w:rPr>
      </w:pPr>
    </w:p>
    <w:p w14:paraId="728B9E29" w14:textId="77777777" w:rsidR="00BC27E9" w:rsidRPr="00954407" w:rsidRDefault="00BC27E9" w:rsidP="00BC27E9">
      <w:pPr>
        <w:pStyle w:val="EstilodePrrafoNormal1RdeC"/>
        <w:rPr>
          <w:rFonts w:eastAsia="Calibri"/>
          <w:spacing w:val="20"/>
        </w:rPr>
      </w:pPr>
      <w:r w:rsidRPr="00954407">
        <w:rPr>
          <w:rFonts w:eastAsia="Calibri"/>
          <w:spacing w:val="20"/>
        </w:rPr>
        <w:t>Con el objetivo de responder a las necesidades operativas y estratégicas de las diferentes áreas del MOPC, el proceso de reclutamiento y selección se realiza a través de la evaluación de los perfiles de los candidatos, teniendo como guía los perfiles descritos en el manual de cargos, siempre aplicando los criterios de equidad, igualdad de oportunidades, inclusión y la calidad en el servicio; durante el período enero – noviembre de 2025 se evaluaron 721</w:t>
      </w:r>
      <w:r w:rsidRPr="00954407">
        <w:rPr>
          <w:spacing w:val="0"/>
        </w:rPr>
        <w:t xml:space="preserve"> </w:t>
      </w:r>
      <w:r w:rsidRPr="00954407">
        <w:rPr>
          <w:rFonts w:eastAsia="Calibri"/>
          <w:spacing w:val="20"/>
        </w:rPr>
        <w:t>personas, de las cuales se seleccionaron 403, que cumplían con los requisitos exigidos por los cargos, lo que representa el 59% de los evaluados; aplicando entrevistas personalizadas, pruebas técnicas según el puesto y análisis de competencias con relación a los perfiles académicos.</w:t>
      </w:r>
    </w:p>
    <w:p w14:paraId="713F90DD" w14:textId="77777777" w:rsidR="00BC27E9" w:rsidRPr="00954407" w:rsidRDefault="00BC27E9" w:rsidP="00BC27E9">
      <w:pPr>
        <w:pStyle w:val="EstilodePrrafoNormal1RdeC"/>
        <w:rPr>
          <w:rFonts w:eastAsia="Calibri"/>
          <w:spacing w:val="20"/>
        </w:rPr>
      </w:pPr>
    </w:p>
    <w:p w14:paraId="2EA565CC" w14:textId="77777777" w:rsidR="00BC27E9" w:rsidRPr="00954407" w:rsidRDefault="00BC27E9" w:rsidP="00BC27E9">
      <w:pPr>
        <w:pStyle w:val="EstilodePrrafoNormal1RdeC"/>
        <w:rPr>
          <w:rFonts w:eastAsia="Calibri"/>
          <w:spacing w:val="20"/>
        </w:rPr>
      </w:pPr>
      <w:r w:rsidRPr="00954407">
        <w:rPr>
          <w:rFonts w:eastAsia="Calibri"/>
          <w:spacing w:val="20"/>
        </w:rPr>
        <w:t>Adicionalmente, se realizaron 80 traslados de colaboradores a distintas áreas, cambio de designación y cambio de nómina.  Estos movimientos internos tuvieron como finalidad transparentar la nómina institucional y garantizar que cada empleado se encuentre ubicado en la posición que mejor corresponda a su perfil profesional, contribuyendo así a un mejor desempeño individual y colectivo y al fortalecimiento de las áreas del MOPC.</w:t>
      </w:r>
    </w:p>
    <w:p w14:paraId="1A3F1229" w14:textId="77777777" w:rsidR="00BC27E9" w:rsidRPr="00954407" w:rsidRDefault="00BC27E9" w:rsidP="00BC27E9">
      <w:pPr>
        <w:pStyle w:val="EstilodePrrafoNormal1RdeC"/>
        <w:rPr>
          <w:rFonts w:eastAsia="Calibri"/>
          <w:spacing w:val="20"/>
        </w:rPr>
      </w:pPr>
    </w:p>
    <w:p w14:paraId="00A87A94" w14:textId="77777777" w:rsidR="00BC27E9" w:rsidRPr="00954407" w:rsidRDefault="00BC27E9" w:rsidP="00BC27E9">
      <w:pPr>
        <w:pStyle w:val="EstilodePrrafoNormal1RdeC"/>
        <w:rPr>
          <w:rFonts w:eastAsia="Calibri"/>
          <w:spacing w:val="20"/>
        </w:rPr>
      </w:pPr>
      <w:r w:rsidRPr="00954407">
        <w:rPr>
          <w:rFonts w:eastAsia="Calibri"/>
          <w:spacing w:val="20"/>
        </w:rPr>
        <w:t>El proceso de Incorporación a la Carrera Administrativa, es parte de nuestra Gestión del Empleo, y se rige conforme a las normativas vigentes indicadas por el MAP y la Ley de Función Pública No. 41-08; resulta que el MAP y la ley dictan que los ingresos se deben realizar través de la participación en un Concurso Público organizado por nuestra institución; sin embargo, este año no se puedo realizar dicho concurso por la actualización de la estructura y los manuales vigentes, por lo que acudimos al banco de elegibles del MAP, como lo manda la Ley 42-08, y logramos que este año ingresara un (1) colaborador al MOPC bajo este esquema de contratación.</w:t>
      </w:r>
    </w:p>
    <w:p w14:paraId="5A731E69" w14:textId="77777777" w:rsidR="00BC27E9" w:rsidRPr="00954407" w:rsidRDefault="00BC27E9" w:rsidP="00BC27E9">
      <w:pPr>
        <w:pStyle w:val="EstilodePrrafoNormal1RdeC"/>
        <w:rPr>
          <w:rFonts w:eastAsia="Calibri"/>
          <w:spacing w:val="20"/>
        </w:rPr>
      </w:pPr>
    </w:p>
    <w:p w14:paraId="0D628727" w14:textId="77777777" w:rsidR="00BC27E9" w:rsidRPr="00954407" w:rsidRDefault="00BC27E9" w:rsidP="00BC27E9">
      <w:pPr>
        <w:pStyle w:val="EstilodePrrafoNormal1RdeC"/>
        <w:rPr>
          <w:rFonts w:eastAsia="Calibri"/>
          <w:spacing w:val="20"/>
        </w:rPr>
      </w:pPr>
      <w:r w:rsidRPr="00954407">
        <w:rPr>
          <w:rFonts w:eastAsia="Calibri"/>
          <w:spacing w:val="20"/>
        </w:rPr>
        <w:t>La Sección Rectoría de Pasantes durante este año 2025, recibió 38 solicitudes de pasantías, de las cuales se aprobaron 25 pasantías a los profesionales de las áreas de Ingeniería, Arquitectura, Agrimensura y ramas afines a la naturaleza de nuestro ministerio, que cumplieron con los requerimientos establecidos por la Ley; se otorgaron 1,086 certificados de Exenciones de Pasantías a profesionales para fines de solicitud de Exequátur al Poder Ejecutivo; 33 profesionales finalizaron sus pasantías en nuestras instalaciones en este año 2025.</w:t>
      </w:r>
    </w:p>
    <w:p w14:paraId="17E79C6A" w14:textId="77777777" w:rsidR="00BC27E9" w:rsidRPr="00954407" w:rsidRDefault="00BC27E9" w:rsidP="00BC27E9">
      <w:pPr>
        <w:pStyle w:val="EstilodePrrafoNormal1RdeC"/>
        <w:rPr>
          <w:rFonts w:eastAsia="Calibri"/>
          <w:spacing w:val="20"/>
          <w:sz w:val="22"/>
        </w:rPr>
      </w:pPr>
    </w:p>
    <w:p w14:paraId="2B685FA8" w14:textId="7E3E6D29" w:rsidR="00BC27E9" w:rsidRPr="00755C02" w:rsidRDefault="009D6135" w:rsidP="00755C02">
      <w:pPr>
        <w:pStyle w:val="Heading3"/>
        <w:rPr>
          <w:b/>
          <w:bCs/>
          <w:color w:val="808080" w:themeColor="background1" w:themeShade="80"/>
          <w:sz w:val="24"/>
          <w:szCs w:val="24"/>
        </w:rPr>
      </w:pPr>
      <w:r w:rsidRPr="00755C02">
        <w:rPr>
          <w:b/>
          <w:bCs/>
          <w:color w:val="808080" w:themeColor="background1" w:themeShade="80"/>
          <w:sz w:val="24"/>
          <w:szCs w:val="24"/>
        </w:rPr>
        <w:lastRenderedPageBreak/>
        <w:t>Gestión de Evaluación Institucional</w:t>
      </w:r>
    </w:p>
    <w:p w14:paraId="5E2A7F01" w14:textId="77777777" w:rsidR="00BC27E9" w:rsidRPr="00954407" w:rsidRDefault="00BC27E9" w:rsidP="00BC27E9">
      <w:pPr>
        <w:pStyle w:val="EstilodePrrafoNormal1RdeC"/>
        <w:rPr>
          <w:rFonts w:eastAsia="Calibri"/>
          <w:spacing w:val="20"/>
          <w:sz w:val="22"/>
        </w:rPr>
      </w:pPr>
    </w:p>
    <w:p w14:paraId="1F573470" w14:textId="77777777" w:rsidR="00BC27E9" w:rsidRPr="00954407" w:rsidRDefault="00BC27E9" w:rsidP="00BC27E9">
      <w:pPr>
        <w:pStyle w:val="EstilodePrrafoNormal1RdeC"/>
        <w:rPr>
          <w:rFonts w:eastAsia="Calibri"/>
          <w:spacing w:val="20"/>
        </w:rPr>
      </w:pPr>
      <w:r w:rsidRPr="00954407">
        <w:rPr>
          <w:rFonts w:eastAsia="Calibri"/>
          <w:spacing w:val="20"/>
        </w:rPr>
        <w:t>El Sistema de Monitoreo de la Administración Pública, (SISMAP), está orientado a monitorear la gestión de los entes y órganos del Poder Ejecutivo, a través de Indicadores Básicos de Organización y Gestión (IBOG) y Sub-Indicadores Vinculados (SIV),  principalmente a la Ley de Función Pública y otras normativas complementarias, en términos de Profesionalización del Empleo Público, Fortalecimiento Institucional y Calidad, cuyo cumplimiento es medido en una escala de colore, con rangos de valores que van desde O hasta 100.</w:t>
      </w:r>
    </w:p>
    <w:p w14:paraId="6F8375D1" w14:textId="77777777" w:rsidR="00BC27E9" w:rsidRPr="00954407" w:rsidRDefault="00BC27E9" w:rsidP="00BC27E9">
      <w:pPr>
        <w:pStyle w:val="EstilodePrrafoNormal1RdeC"/>
        <w:rPr>
          <w:rFonts w:eastAsia="Calibri"/>
          <w:spacing w:val="20"/>
        </w:rPr>
      </w:pPr>
    </w:p>
    <w:p w14:paraId="214BB78F" w14:textId="77777777" w:rsidR="00BC27E9" w:rsidRPr="00954407" w:rsidRDefault="00BC27E9" w:rsidP="00BC27E9">
      <w:pPr>
        <w:pStyle w:val="EstilodePrrafoNormal1RdeC"/>
        <w:rPr>
          <w:rFonts w:eastAsia="Calibri"/>
          <w:spacing w:val="20"/>
        </w:rPr>
      </w:pPr>
      <w:r w:rsidRPr="00954407">
        <w:rPr>
          <w:rFonts w:eastAsia="Calibri"/>
          <w:spacing w:val="20"/>
        </w:rPr>
        <w:t>La calificación obtenida en presente año, según el corte al Portal de Transparencia del MAP al 30 de septiembre fue 80.79 puntos.</w:t>
      </w:r>
    </w:p>
    <w:p w14:paraId="70CD9A53" w14:textId="77777777" w:rsidR="00BC27E9" w:rsidRPr="00954407" w:rsidRDefault="00BC27E9" w:rsidP="00BC27E9">
      <w:pPr>
        <w:pStyle w:val="EstilodePrrafoNormal1RdeC"/>
        <w:rPr>
          <w:rFonts w:eastAsia="Calibri"/>
          <w:spacing w:val="20"/>
        </w:rPr>
      </w:pPr>
    </w:p>
    <w:p w14:paraId="1AA656E5" w14:textId="77777777" w:rsidR="00BC27E9" w:rsidRPr="00954407" w:rsidRDefault="00BC27E9" w:rsidP="00BC27E9">
      <w:pPr>
        <w:pStyle w:val="EstilodePrrafoNormal1RdeC"/>
        <w:rPr>
          <w:rFonts w:eastAsia="Calibri"/>
          <w:spacing w:val="20"/>
        </w:rPr>
      </w:pPr>
      <w:r w:rsidRPr="00954407">
        <w:rPr>
          <w:rFonts w:eastAsia="Calibri"/>
          <w:spacing w:val="20"/>
        </w:rPr>
        <w:t>En cuanto a la Evaluación de Desempeño Institucional, continuamos cumpliendo con los requerimientos de estos indicadores, ya que somos parte de las instituciones priorizadas para la implementación de esta nueva metodología, dicha evaluación integra la información de múltiples sistemas e índices existentes para medir el desempeño institucional y está orientada a la mejora del monitoreo institucional y de la toma de decisiones implementar las políticas públicas.</w:t>
      </w:r>
    </w:p>
    <w:p w14:paraId="7A6042AA" w14:textId="77777777" w:rsidR="00BC27E9" w:rsidRPr="00954407" w:rsidRDefault="00BC27E9" w:rsidP="00BC27E9">
      <w:pPr>
        <w:pStyle w:val="EstilodePrrafoNormal1RdeC"/>
        <w:rPr>
          <w:rFonts w:eastAsia="Calibri"/>
          <w:spacing w:val="20"/>
        </w:rPr>
      </w:pPr>
    </w:p>
    <w:p w14:paraId="59EA6BCB" w14:textId="77777777" w:rsidR="00BC27E9" w:rsidRPr="00954407" w:rsidRDefault="00BC27E9" w:rsidP="00BC27E9">
      <w:pPr>
        <w:pStyle w:val="EstilodePrrafoNormal1RdeC"/>
        <w:rPr>
          <w:rFonts w:eastAsia="Calibri"/>
          <w:spacing w:val="20"/>
        </w:rPr>
      </w:pPr>
      <w:r w:rsidRPr="00954407">
        <w:rPr>
          <w:rFonts w:eastAsia="Calibri"/>
          <w:spacing w:val="20"/>
        </w:rPr>
        <w:t xml:space="preserve">Como resultado de la implementación de este sistema de monitoreo obtuvimos una puntuación de 70.50; por lo cual se otorgó un Bono por cumplimiento de estos indicadores a 8,604 colaboradores activos, personal militar y desvinculados que cumplían con los requisitos establecidos por un monto total de RD$233,804,351.33. </w:t>
      </w:r>
    </w:p>
    <w:p w14:paraId="1136244A" w14:textId="77777777" w:rsidR="00BC27E9" w:rsidRPr="00954407" w:rsidRDefault="00BC27E9" w:rsidP="00BC27E9">
      <w:pPr>
        <w:pStyle w:val="EstilodePrrafoNormal1RdeC"/>
        <w:rPr>
          <w:rFonts w:eastAsia="Calibri"/>
          <w:spacing w:val="20"/>
        </w:rPr>
      </w:pPr>
    </w:p>
    <w:p w14:paraId="651AE0AE" w14:textId="41ABEE33" w:rsidR="00BC27E9" w:rsidRPr="00755C02" w:rsidRDefault="009D6135" w:rsidP="00755C02">
      <w:pPr>
        <w:pStyle w:val="Heading3"/>
        <w:rPr>
          <w:b/>
          <w:bCs/>
          <w:color w:val="808080" w:themeColor="background1" w:themeShade="80"/>
          <w:sz w:val="24"/>
          <w:szCs w:val="24"/>
        </w:rPr>
      </w:pPr>
      <w:r w:rsidRPr="00755C02">
        <w:rPr>
          <w:b/>
          <w:bCs/>
          <w:color w:val="808080" w:themeColor="background1" w:themeShade="80"/>
          <w:sz w:val="24"/>
          <w:szCs w:val="24"/>
        </w:rPr>
        <w:lastRenderedPageBreak/>
        <w:t>Gestión de las Compensaciones y Beneficios</w:t>
      </w:r>
    </w:p>
    <w:p w14:paraId="532A5D15" w14:textId="77777777" w:rsidR="00BC27E9" w:rsidRPr="00954407" w:rsidRDefault="00BC27E9" w:rsidP="00BC27E9">
      <w:pPr>
        <w:pStyle w:val="EstilodePrrafoNormal1RdeC"/>
        <w:rPr>
          <w:rFonts w:eastAsia="Calibri"/>
          <w:spacing w:val="0"/>
          <w:sz w:val="22"/>
        </w:rPr>
      </w:pPr>
    </w:p>
    <w:p w14:paraId="1B41E1B9" w14:textId="77777777" w:rsidR="00BC27E9" w:rsidRPr="00954407" w:rsidRDefault="00BC27E9" w:rsidP="00BC27E9">
      <w:pPr>
        <w:pStyle w:val="EstilodePrrafoNormal1RdeC"/>
        <w:rPr>
          <w:rFonts w:eastAsia="Calibri"/>
          <w:spacing w:val="20"/>
        </w:rPr>
      </w:pPr>
      <w:r w:rsidRPr="00954407">
        <w:rPr>
          <w:rFonts w:eastAsia="Calibri"/>
          <w:spacing w:val="20"/>
        </w:rPr>
        <w:t>En cuanto a la gestión de compensación nos regimos conforme a la Escala Salarial, aprobada por el MAP, segregada por grupo ocupacional en función de las responsabilidades y complejidades del cargo que desempeña el colaborador, para los aumentos salariales se toma en consideración, la escala salarial, el resultado de la evaluación de desempeño, la participación en el cumplimiento a los objetivos de la Institución, así como también la disponibilidad presupuestaria del Ministerio y por supuesto la aprobación de la Máxima Autoridad.</w:t>
      </w:r>
    </w:p>
    <w:p w14:paraId="497D29AF" w14:textId="77777777" w:rsidR="00BC27E9" w:rsidRPr="00954407" w:rsidRDefault="00BC27E9" w:rsidP="00BC27E9">
      <w:pPr>
        <w:pStyle w:val="EstilodePrrafoNormal1RdeC"/>
        <w:rPr>
          <w:rFonts w:eastAsia="Calibri"/>
          <w:spacing w:val="0"/>
          <w:highlight w:val="yellow"/>
        </w:rPr>
      </w:pPr>
    </w:p>
    <w:p w14:paraId="61B4F03F" w14:textId="77777777" w:rsidR="00BC27E9" w:rsidRPr="00954407" w:rsidRDefault="00BC27E9" w:rsidP="00BC27E9">
      <w:pPr>
        <w:pStyle w:val="EstilodePrrafoNormal1RdeC"/>
        <w:rPr>
          <w:rFonts w:eastAsia="Calibri"/>
          <w:spacing w:val="20"/>
        </w:rPr>
      </w:pPr>
      <w:r w:rsidRPr="00954407">
        <w:rPr>
          <w:rFonts w:eastAsia="Calibri"/>
          <w:spacing w:val="20"/>
        </w:rPr>
        <w:t>Se otorgó un Bono de Incentivo por Rendimiento Individual al personal que obtuvo una calificación igual o mayor de 55 o 65 puntos, según sean del grupo ocupacional del I al IV o del grupo V. En el proceso de Evaluación del Desempeño durante el período enero – diciembre 2025, se otorgó por dicho incentivo un monto total de RD$</w:t>
      </w:r>
      <w:r w:rsidRPr="00954407">
        <w:rPr>
          <w:rFonts w:eastAsia="Calibri"/>
          <w:spacing w:val="0"/>
        </w:rPr>
        <w:t xml:space="preserve">168,202,005.25, a los </w:t>
      </w:r>
      <w:r w:rsidRPr="00954407">
        <w:rPr>
          <w:rFonts w:eastAsia="Calibri"/>
          <w:spacing w:val="20"/>
        </w:rPr>
        <w:t xml:space="preserve">colaboradores activos, fijos y temporales; RD$420,800.00, al personal militar y RD$5,727,730.00, al personal desvinculado. </w:t>
      </w:r>
    </w:p>
    <w:p w14:paraId="75717A46" w14:textId="77777777" w:rsidR="00BC27E9" w:rsidRPr="00954407" w:rsidRDefault="00BC27E9" w:rsidP="00BC27E9">
      <w:pPr>
        <w:pStyle w:val="EstilodePrrafoNormal1RdeC"/>
        <w:rPr>
          <w:rFonts w:eastAsia="Calibri"/>
          <w:spacing w:val="20"/>
        </w:rPr>
      </w:pPr>
    </w:p>
    <w:p w14:paraId="1D6CC405" w14:textId="77777777" w:rsidR="00BC27E9" w:rsidRPr="00954407" w:rsidRDefault="00BC27E9" w:rsidP="00BC27E9">
      <w:pPr>
        <w:pStyle w:val="EstilodePrrafoNormal1RdeC"/>
        <w:rPr>
          <w:rFonts w:eastAsia="Calibri"/>
          <w:spacing w:val="20"/>
        </w:rPr>
      </w:pPr>
      <w:r w:rsidRPr="00954407">
        <w:rPr>
          <w:rFonts w:eastAsia="Calibri"/>
          <w:spacing w:val="20"/>
        </w:rPr>
        <w:t xml:space="preserve">Además, se otorgó un Bono por Desempeño a los Servidores de Carrera Administrativa, que obtuvieron una calificación igual o mayor de 85 puntos en el proceso de Evaluación del Desempeño, por un monto total de RD$23,042,911.90; aclaramos que esto fue a colaboradores que cumplían con los requisitos de lugar. </w:t>
      </w:r>
    </w:p>
    <w:p w14:paraId="70A8BF91" w14:textId="77777777" w:rsidR="00BC27E9" w:rsidRPr="00954407" w:rsidRDefault="00BC27E9" w:rsidP="00BC27E9">
      <w:pPr>
        <w:pStyle w:val="EstilodePrrafoNormal1RdeC"/>
        <w:rPr>
          <w:rFonts w:eastAsia="Calibri"/>
          <w:spacing w:val="20"/>
        </w:rPr>
      </w:pPr>
    </w:p>
    <w:p w14:paraId="14CA1005" w14:textId="77777777" w:rsidR="00BC27E9" w:rsidRPr="00954407" w:rsidRDefault="00BC27E9" w:rsidP="00BC27E9">
      <w:pPr>
        <w:pStyle w:val="EstilodePrrafoNormal1RdeC"/>
        <w:rPr>
          <w:rFonts w:eastAsia="Calibri"/>
          <w:spacing w:val="20"/>
        </w:rPr>
      </w:pPr>
      <w:r w:rsidRPr="00954407">
        <w:rPr>
          <w:rFonts w:eastAsia="Calibri"/>
          <w:spacing w:val="20"/>
        </w:rPr>
        <w:t xml:space="preserve">Se realizó el pago RD$35,454.932.74, por concepto de Indemnización Laboral a 286 ex colaboradores pertenecientes a los Grupos Ocupacionales I y II; por concepto de Vacaciones No Disfrutadas, se </w:t>
      </w:r>
      <w:r w:rsidRPr="00954407">
        <w:rPr>
          <w:rFonts w:eastAsia="Calibri"/>
          <w:spacing w:val="20"/>
        </w:rPr>
        <w:lastRenderedPageBreak/>
        <w:t>realizó el pago por un monto de RD$34,452,755.21, a 596 ex-colaboradores desvinculados de la Institución, para un monto total de RD$69,907,687.95, todo esto por concepto de prestaciones laborales.</w:t>
      </w:r>
    </w:p>
    <w:p w14:paraId="26D54A7D" w14:textId="77777777" w:rsidR="00BC27E9" w:rsidRPr="00954407" w:rsidRDefault="00BC27E9" w:rsidP="00BC27E9">
      <w:pPr>
        <w:pStyle w:val="EstilodePrrafoNormal1RdeC"/>
        <w:rPr>
          <w:rFonts w:eastAsia="Calibri"/>
          <w:spacing w:val="20"/>
        </w:rPr>
      </w:pPr>
    </w:p>
    <w:p w14:paraId="5F975980" w14:textId="77777777" w:rsidR="00BC27E9" w:rsidRPr="00954407" w:rsidRDefault="00BC27E9" w:rsidP="00BC27E9">
      <w:pPr>
        <w:pStyle w:val="EstilodePrrafoNormal1RdeC"/>
        <w:rPr>
          <w:rFonts w:eastAsia="Calibri"/>
          <w:spacing w:val="20"/>
        </w:rPr>
      </w:pPr>
      <w:r w:rsidRPr="00954407">
        <w:rPr>
          <w:rFonts w:eastAsia="Calibri"/>
          <w:spacing w:val="20"/>
        </w:rPr>
        <w:t>Se continuó con el servicio de transporte a colaboradores, con 6 rutas que cubren las principales vías del Gran Santo Domingo, facilitando la llegada y regreso de los empleados de manera segura, y la vez, constituyendo un ahorro de tiempo y dinero.</w:t>
      </w:r>
    </w:p>
    <w:p w14:paraId="4C517744" w14:textId="77777777" w:rsidR="00BC27E9" w:rsidRPr="00954407" w:rsidRDefault="00BC27E9" w:rsidP="00BC27E9">
      <w:pPr>
        <w:pStyle w:val="EstilodePrrafoNormal1RdeC"/>
        <w:rPr>
          <w:rFonts w:eastAsia="Calibri"/>
          <w:spacing w:val="0"/>
        </w:rPr>
      </w:pPr>
    </w:p>
    <w:p w14:paraId="6C593787" w14:textId="4E915F8E" w:rsidR="00BC27E9" w:rsidRPr="00755C02" w:rsidRDefault="009D6135" w:rsidP="00755C02">
      <w:pPr>
        <w:pStyle w:val="Heading3"/>
        <w:rPr>
          <w:b/>
          <w:bCs/>
          <w:color w:val="808080" w:themeColor="background1" w:themeShade="80"/>
          <w:sz w:val="24"/>
          <w:szCs w:val="24"/>
        </w:rPr>
      </w:pPr>
      <w:r w:rsidRPr="00755C02">
        <w:rPr>
          <w:b/>
          <w:bCs/>
          <w:color w:val="808080" w:themeColor="background1" w:themeShade="80"/>
          <w:sz w:val="24"/>
          <w:szCs w:val="24"/>
        </w:rPr>
        <w:t>Gestión del Rendimiento</w:t>
      </w:r>
    </w:p>
    <w:p w14:paraId="35B42F5A" w14:textId="77777777" w:rsidR="00BC27E9" w:rsidRPr="00954407" w:rsidRDefault="00BC27E9" w:rsidP="00BC27E9">
      <w:pPr>
        <w:pStyle w:val="EstilodePrrafoNormal1RdeC"/>
        <w:rPr>
          <w:rFonts w:eastAsia="Calibri"/>
          <w:spacing w:val="0"/>
        </w:rPr>
      </w:pPr>
    </w:p>
    <w:p w14:paraId="5C896C88" w14:textId="77777777" w:rsidR="00BC27E9" w:rsidRPr="00954407" w:rsidRDefault="00BC27E9" w:rsidP="00BC27E9">
      <w:pPr>
        <w:pStyle w:val="EstilodePrrafoNormal1RdeC"/>
        <w:rPr>
          <w:rFonts w:eastAsia="Calibri"/>
          <w:spacing w:val="20"/>
        </w:rPr>
      </w:pPr>
      <w:r w:rsidRPr="00954407">
        <w:rPr>
          <w:rFonts w:eastAsia="Calibri"/>
          <w:spacing w:val="20"/>
        </w:rPr>
        <w:t>El Departamento de Capacitación y Evaluación, de la Dirección de Recursos Humanos, estableció la metodología de evaluación del desempeño por resultados para todo su personal, a través de la elaboración de Acuerdos de Desempeño. Los Acuerdos de Desempeño, son herramientas dinámicas y objetivas para la evaluación de los colaboradores, ya que facilitan parte de la toma de decisión en la gestión de personal a los niveles directivos de la Institución; un  elemento importante en la elaboración de dichos acuerdos es el hecho de las metas se elaboran con miras a fortalecer el cumplimiento de las metas establecidas en los Planes Operativos Anuales y el Plan Estratégico Institucional, por lo que las metas de dichos planes se toman como base para la elaboración de los acuerdos de desempeño, esta metodología fue establecida por el MAP, como Órgano Rector de la Gestión Pública.</w:t>
      </w:r>
    </w:p>
    <w:p w14:paraId="1F157945" w14:textId="77777777" w:rsidR="00BC27E9" w:rsidRPr="00954407" w:rsidRDefault="00BC27E9" w:rsidP="00BC27E9">
      <w:pPr>
        <w:pStyle w:val="EstilodePrrafoNormal1RdeC"/>
        <w:rPr>
          <w:rFonts w:eastAsia="Calibri"/>
          <w:spacing w:val="20"/>
        </w:rPr>
      </w:pPr>
      <w:r w:rsidRPr="00954407">
        <w:rPr>
          <w:rFonts w:eastAsia="Calibri"/>
          <w:spacing w:val="20"/>
        </w:rPr>
        <w:t xml:space="preserve">Durante el año 2025 se elaboraron 5,065 Acuerdos de Desempeño, lo que representa el 98% de los colaboradores fijos y temporales del MOPC.  </w:t>
      </w:r>
    </w:p>
    <w:p w14:paraId="15DA1A12" w14:textId="77777777" w:rsidR="00BC27E9" w:rsidRPr="00954407" w:rsidRDefault="00BC27E9" w:rsidP="00BC27E9">
      <w:pPr>
        <w:pStyle w:val="EstilodePrrafoNormal1RdeC"/>
        <w:rPr>
          <w:rFonts w:eastAsia="Calibri"/>
          <w:spacing w:val="20"/>
        </w:rPr>
      </w:pPr>
    </w:p>
    <w:p w14:paraId="6B26DB62" w14:textId="083CD126" w:rsidR="00BC27E9" w:rsidRPr="009D6135" w:rsidRDefault="00BC27E9" w:rsidP="00755C02">
      <w:pPr>
        <w:pStyle w:val="Heading3"/>
        <w:rPr>
          <w:b/>
          <w:bCs/>
          <w:spacing w:val="0"/>
        </w:rPr>
      </w:pPr>
      <w:r w:rsidRPr="00755C02">
        <w:rPr>
          <w:b/>
          <w:bCs/>
          <w:color w:val="808080" w:themeColor="background1" w:themeShade="80"/>
          <w:sz w:val="24"/>
          <w:szCs w:val="24"/>
        </w:rPr>
        <w:lastRenderedPageBreak/>
        <w:t xml:space="preserve">  </w:t>
      </w:r>
      <w:r w:rsidR="009D6135" w:rsidRPr="00755C02">
        <w:rPr>
          <w:b/>
          <w:bCs/>
          <w:color w:val="808080" w:themeColor="background1" w:themeShade="80"/>
          <w:sz w:val="24"/>
          <w:szCs w:val="24"/>
        </w:rPr>
        <w:t>Gestión del Desarrollo</w:t>
      </w:r>
    </w:p>
    <w:p w14:paraId="4CBB3D4E" w14:textId="77777777" w:rsidR="00BC27E9" w:rsidRPr="00954407" w:rsidRDefault="00BC27E9" w:rsidP="00BC27E9">
      <w:pPr>
        <w:pStyle w:val="EstilodePrrafoNormal1RdeC"/>
        <w:rPr>
          <w:rFonts w:eastAsia="Calibri"/>
          <w:spacing w:val="0"/>
        </w:rPr>
      </w:pPr>
    </w:p>
    <w:p w14:paraId="462BB92B" w14:textId="77777777" w:rsidR="00BC27E9" w:rsidRPr="00954407" w:rsidRDefault="00BC27E9" w:rsidP="00BC27E9">
      <w:pPr>
        <w:pStyle w:val="EstilodePrrafoNormal1RdeC"/>
        <w:rPr>
          <w:rFonts w:eastAsia="Calibri"/>
          <w:spacing w:val="20"/>
        </w:rPr>
      </w:pPr>
      <w:r w:rsidRPr="00954407">
        <w:rPr>
          <w:rFonts w:eastAsia="Calibri"/>
          <w:spacing w:val="20"/>
        </w:rPr>
        <w:t>La Dirección de Recursos Humanos continuó con la responsabilidad de desarrollar a sus colaboradores, aportando nuevos conocimientos y/o habilidades para su desempeño, a través de la ejecución del Plan de Capacitación Anual; este plan se realiza en base a la Detección de Necesidades de Capacitación elaborada por cada área, a solicitud de la Dirección de RRHH y su Departamento de Evaluación y Capacitación, y el mismo es vinculado al cumplimiento de los objetivos de la Institución, establecidos en el Plan Estratégico Institucional (PEI) y a las metas y resultados de la evaluación de desempeño individual e institucional.</w:t>
      </w:r>
    </w:p>
    <w:p w14:paraId="166B8CAD" w14:textId="77777777" w:rsidR="00BC27E9" w:rsidRPr="00954407" w:rsidRDefault="00BC27E9" w:rsidP="00BC27E9">
      <w:pPr>
        <w:pStyle w:val="EstilodePrrafoNormal1RdeC"/>
        <w:rPr>
          <w:rFonts w:eastAsia="Calibri"/>
          <w:spacing w:val="0"/>
        </w:rPr>
      </w:pPr>
    </w:p>
    <w:p w14:paraId="37008B76" w14:textId="22C4C874" w:rsidR="00BC27E9" w:rsidRPr="00954407" w:rsidRDefault="00BC27E9" w:rsidP="00BC27E9">
      <w:pPr>
        <w:pStyle w:val="EstilodePrrafoNormal1RdeC"/>
        <w:rPr>
          <w:rFonts w:eastAsia="Calibri"/>
          <w:spacing w:val="20"/>
        </w:rPr>
      </w:pPr>
      <w:r w:rsidRPr="00954407">
        <w:rPr>
          <w:rFonts w:eastAsia="Calibri"/>
          <w:spacing w:val="20"/>
        </w:rPr>
        <w:t>La Dirección de Recursos Humanos continuó durante el año 2025, con la Capacitación de los Colaboradores del MOPC realizando de 41 actividades de formación y/o capacitación, tales como: Seminarios, Talleres, Charlas, Cursos, Diplomados, Post -Grados y Maestrías, bajo la modalidad On</w:t>
      </w:r>
      <w:r w:rsidR="00B84A23">
        <w:rPr>
          <w:rFonts w:eastAsia="Calibri"/>
          <w:spacing w:val="20"/>
        </w:rPr>
        <w:t>-</w:t>
      </w:r>
      <w:r w:rsidRPr="00954407">
        <w:rPr>
          <w:rFonts w:eastAsia="Calibri"/>
          <w:spacing w:val="20"/>
        </w:rPr>
        <w:t xml:space="preserve">Line, para facilidad de los colaboradores, evitando el desplazamiento a las entidades educativas. Sin embargo, la gran mayoría de las capacitaciones fueron de manera presencial, y dirigidas a todos los colaboradores, segregados por grupo ocupacional, en total se realizaron 41 actividades de capacitación, lo que representa el 100% de las actividades contempladas en el Plan Anual de Capacitación. </w:t>
      </w:r>
    </w:p>
    <w:p w14:paraId="457BFEF5" w14:textId="77777777" w:rsidR="00BC27E9" w:rsidRPr="00954407" w:rsidRDefault="00BC27E9" w:rsidP="00BC27E9">
      <w:pPr>
        <w:pStyle w:val="EstilodePrrafoNormal1RdeC"/>
        <w:rPr>
          <w:rFonts w:eastAsia="Calibri"/>
          <w:spacing w:val="20"/>
        </w:rPr>
      </w:pPr>
    </w:p>
    <w:p w14:paraId="40F0CA2E" w14:textId="0A0438DE" w:rsidR="00BC27E9" w:rsidRPr="00755C02" w:rsidRDefault="009D6135" w:rsidP="00755C02">
      <w:pPr>
        <w:pStyle w:val="Heading3"/>
        <w:rPr>
          <w:b/>
          <w:bCs/>
          <w:color w:val="808080" w:themeColor="background1" w:themeShade="80"/>
          <w:sz w:val="24"/>
          <w:szCs w:val="24"/>
        </w:rPr>
      </w:pPr>
      <w:r w:rsidRPr="00755C02">
        <w:rPr>
          <w:b/>
          <w:bCs/>
          <w:color w:val="808080" w:themeColor="background1" w:themeShade="80"/>
          <w:sz w:val="24"/>
          <w:szCs w:val="24"/>
        </w:rPr>
        <w:t>Gestión de las Relaciones Laborales y Sociales</w:t>
      </w:r>
    </w:p>
    <w:p w14:paraId="708923FE" w14:textId="77777777" w:rsidR="00BC27E9" w:rsidRPr="00954407" w:rsidRDefault="00BC27E9" w:rsidP="00BC27E9">
      <w:pPr>
        <w:pStyle w:val="EstilodePrrafoNormal1RdeC"/>
        <w:rPr>
          <w:rFonts w:eastAsia="Calibri"/>
          <w:spacing w:val="0"/>
        </w:rPr>
      </w:pPr>
    </w:p>
    <w:p w14:paraId="5836CCF2" w14:textId="77777777" w:rsidR="00BC27E9" w:rsidRPr="00954407" w:rsidRDefault="00BC27E9" w:rsidP="00BC27E9">
      <w:pPr>
        <w:pStyle w:val="EstilodePrrafoNormal1RdeC"/>
        <w:rPr>
          <w:rFonts w:eastAsia="Calibri"/>
          <w:spacing w:val="20"/>
        </w:rPr>
      </w:pPr>
      <w:r w:rsidRPr="00954407">
        <w:rPr>
          <w:rFonts w:eastAsia="Calibri"/>
          <w:spacing w:val="20"/>
        </w:rPr>
        <w:t xml:space="preserve">Las Relaciones Laborales y Sociales del Ministerio están regidas por la Ley de Función Pública No.41-08, el Reglamento de aplicación Núm. 523-09 y otras disposiciones legales y reglamentarias, con la </w:t>
      </w:r>
      <w:r w:rsidRPr="00954407">
        <w:rPr>
          <w:rFonts w:eastAsia="Calibri"/>
          <w:spacing w:val="20"/>
        </w:rPr>
        <w:lastRenderedPageBreak/>
        <w:t>finalidad de dirigir, organizar, coordinar, supervisar y controlar la aplicación de los principios y normas que regulan las relaciones laborales de los servidores públicos y garantizan la armonía y paz laboral.</w:t>
      </w:r>
    </w:p>
    <w:p w14:paraId="49613B8D" w14:textId="77777777" w:rsidR="00BC27E9" w:rsidRPr="00954407" w:rsidRDefault="00BC27E9" w:rsidP="00BC27E9">
      <w:pPr>
        <w:pStyle w:val="EstilodePrrafoNormal1RdeC"/>
        <w:rPr>
          <w:rFonts w:eastAsia="Calibri"/>
          <w:spacing w:val="20"/>
        </w:rPr>
      </w:pPr>
      <w:r w:rsidRPr="00954407">
        <w:rPr>
          <w:rFonts w:eastAsia="Calibri"/>
          <w:spacing w:val="20"/>
        </w:rPr>
        <w:t xml:space="preserve"> </w:t>
      </w:r>
    </w:p>
    <w:p w14:paraId="2F6CA93D" w14:textId="77EBA48D" w:rsidR="00BC27E9" w:rsidRPr="00954407" w:rsidRDefault="00BC27E9" w:rsidP="00BC27E9">
      <w:pPr>
        <w:pStyle w:val="EstilodePrrafoNormal1RdeC"/>
        <w:rPr>
          <w:rFonts w:eastAsia="Calibri"/>
          <w:spacing w:val="20"/>
        </w:rPr>
      </w:pPr>
      <w:r w:rsidRPr="00954407">
        <w:rPr>
          <w:rFonts w:eastAsia="Calibri"/>
          <w:spacing w:val="20"/>
        </w:rPr>
        <w:t xml:space="preserve">Contamos con una Comisión de Integridad Gubernamental y Cumplimiento Normativo y con la Asociación de Servidores Públicos; ambas comisiones fungen como enlaces entre el Ministerio y sus Colaboradores, realizando acciones dirigidas hacia el bienestar de los mismos y trabajan de manera independiente, lo que garantiza un trabajo justo en pro del colaborador, resguardando los deberes y los derechos de las personas del MOPC. Estas dos comisiones tienen sus reglamentos de trabajo: uno es dictado por la Dirección General de Ética e Integridad Gubernamental (DIGEIG). En la actualidad estamos en el proceso de la renovación de la Directiva de la Asociación de Empleados. </w:t>
      </w:r>
    </w:p>
    <w:p w14:paraId="76A54D1E" w14:textId="77777777" w:rsidR="00BC27E9" w:rsidRPr="00954407" w:rsidRDefault="00BC27E9" w:rsidP="00BC27E9">
      <w:pPr>
        <w:pStyle w:val="EstilodePrrafoNormal1RdeC"/>
        <w:rPr>
          <w:rFonts w:eastAsia="Calibri"/>
          <w:spacing w:val="20"/>
        </w:rPr>
      </w:pPr>
    </w:p>
    <w:p w14:paraId="3E8C6E6F" w14:textId="6CCD62BB"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 xml:space="preserve"> </w:t>
      </w:r>
      <w:r w:rsidR="005D6D6C" w:rsidRPr="00755C02">
        <w:rPr>
          <w:b/>
          <w:bCs/>
          <w:color w:val="808080" w:themeColor="background1" w:themeShade="80"/>
          <w:sz w:val="24"/>
          <w:szCs w:val="24"/>
        </w:rPr>
        <w:t>Gestión</w:t>
      </w:r>
      <w:r w:rsidR="003F2C62" w:rsidRPr="00755C02">
        <w:rPr>
          <w:b/>
          <w:bCs/>
          <w:color w:val="808080" w:themeColor="background1" w:themeShade="80"/>
          <w:sz w:val="24"/>
          <w:szCs w:val="24"/>
        </w:rPr>
        <w:t xml:space="preserve"> del Registro y Control</w:t>
      </w:r>
    </w:p>
    <w:p w14:paraId="2C757FF4" w14:textId="77777777" w:rsidR="00BC27E9" w:rsidRPr="00954407" w:rsidRDefault="00BC27E9" w:rsidP="00BC27E9">
      <w:pPr>
        <w:pStyle w:val="EstilodePrrafoNormal1RdeC"/>
      </w:pPr>
    </w:p>
    <w:p w14:paraId="32BA6F23" w14:textId="77777777" w:rsidR="00BC27E9" w:rsidRPr="00954407" w:rsidRDefault="00BC27E9" w:rsidP="00BC27E9">
      <w:pPr>
        <w:pStyle w:val="EstilodePrrafoNormal1RdeC"/>
        <w:rPr>
          <w:rFonts w:eastAsia="Calibri"/>
          <w:spacing w:val="20"/>
        </w:rPr>
      </w:pPr>
      <w:r w:rsidRPr="00954407">
        <w:rPr>
          <w:rFonts w:eastAsia="Calibri"/>
          <w:spacing w:val="20"/>
        </w:rPr>
        <w:t xml:space="preserve">La gestión del Departamento de Registro y Control se centraliza en mantener actualizada todas las novedades de personal; esta área es la responsable de llevar al sistema todos los datos generados en los movimientos de los colaboradores, tales como: ingresos, traslados, cambios de designación, variación o asignación de salarios, salidas, etc. Todo lo descrito anterior mente, generan las acciones de personal, y este departamento tiene la responsabilidad de registrar las acciones a través del Sistema de Administración de Servidores Públicos (SASP), asegurando el cumplimiento de la Ley de Función Pública. </w:t>
      </w:r>
    </w:p>
    <w:p w14:paraId="35464DBC" w14:textId="77777777" w:rsidR="00BC27E9" w:rsidRPr="00954407" w:rsidRDefault="00BC27E9" w:rsidP="00BC27E9">
      <w:pPr>
        <w:pStyle w:val="EstilodePrrafoNormal1RdeC"/>
        <w:rPr>
          <w:rFonts w:eastAsia="Calibri"/>
          <w:spacing w:val="20"/>
        </w:rPr>
      </w:pPr>
    </w:p>
    <w:p w14:paraId="6520EBBA" w14:textId="77777777" w:rsidR="00BC27E9" w:rsidRPr="00954407" w:rsidRDefault="00BC27E9" w:rsidP="00BC27E9">
      <w:pPr>
        <w:pStyle w:val="EstilodePrrafoNormal1RdeC"/>
        <w:rPr>
          <w:rFonts w:eastAsia="Calibri"/>
          <w:spacing w:val="20"/>
        </w:rPr>
      </w:pPr>
      <w:r w:rsidRPr="00954407">
        <w:rPr>
          <w:rFonts w:eastAsia="Calibri"/>
          <w:spacing w:val="20"/>
        </w:rPr>
        <w:lastRenderedPageBreak/>
        <w:t xml:space="preserve">Dentro de este departamento se encuentra la responsabilidad de la digitalización de los expedientes de los colaboradores con el objetivo de realizar una gestión transversal y automatizada de las informaciones de personal, generando informes y estadísticas que favorezcan la toma de decisiones oportunas; por ende, continuamos con el proceso de digitalización de expedientes, incluyendo el procesamiento de los datos generados para cada colaborador en el Departamento de Reclutamiento y Selección. </w:t>
      </w:r>
    </w:p>
    <w:p w14:paraId="3B0034E2" w14:textId="77777777" w:rsidR="00BC27E9" w:rsidRPr="00954407" w:rsidRDefault="00BC27E9" w:rsidP="00BC27E9">
      <w:pPr>
        <w:pStyle w:val="EstilodePrrafoNormal1RdeC"/>
        <w:rPr>
          <w:rFonts w:eastAsia="Calibri"/>
          <w:spacing w:val="20"/>
        </w:rPr>
      </w:pPr>
    </w:p>
    <w:p w14:paraId="11F994AD" w14:textId="77777777" w:rsidR="00BC27E9" w:rsidRPr="00954407" w:rsidRDefault="00BC27E9" w:rsidP="00BC27E9">
      <w:pPr>
        <w:pStyle w:val="EstilodePrrafoNormal1RdeC"/>
        <w:rPr>
          <w:rFonts w:eastAsia="Calibri"/>
          <w:color w:val="767171"/>
          <w:spacing w:val="20"/>
        </w:rPr>
      </w:pPr>
      <w:r w:rsidRPr="00954407">
        <w:rPr>
          <w:rFonts w:eastAsia="Calibri"/>
          <w:color w:val="767171"/>
          <w:spacing w:val="20"/>
        </w:rPr>
        <w:t xml:space="preserve">Todos los expedientes del personal que ingresó al ministerio del año 2020 a la fecha, están debidamente escaneados y seguimos escaneando los expedientes del personal tanto activos como inactivos y de nuevo ingreso. Por otro lado, también se continuó con el proceso de captura de los datos biométricos y de reconocimiento facial para todos los colaboradores, para el control del registro de asistencia y puntualidad. </w:t>
      </w:r>
    </w:p>
    <w:p w14:paraId="2EC96AC5" w14:textId="77777777" w:rsidR="00BC27E9" w:rsidRPr="00954407" w:rsidRDefault="00BC27E9" w:rsidP="00BC27E9">
      <w:pPr>
        <w:pStyle w:val="EstilodePrrafoNormal1RdeC"/>
        <w:rPr>
          <w:rFonts w:eastAsia="Calibri"/>
          <w:spacing w:val="20"/>
        </w:rPr>
      </w:pPr>
    </w:p>
    <w:p w14:paraId="0011CAB5" w14:textId="67CFC7DF" w:rsidR="00BC27E9" w:rsidRPr="00755C02" w:rsidRDefault="003F2C62" w:rsidP="00755C02">
      <w:pPr>
        <w:pStyle w:val="Heading3"/>
        <w:rPr>
          <w:b/>
          <w:bCs/>
          <w:color w:val="808080" w:themeColor="background1" w:themeShade="80"/>
          <w:sz w:val="24"/>
          <w:szCs w:val="24"/>
        </w:rPr>
      </w:pPr>
      <w:r w:rsidRPr="00755C02">
        <w:rPr>
          <w:b/>
          <w:bCs/>
          <w:color w:val="808080" w:themeColor="background1" w:themeShade="80"/>
          <w:sz w:val="24"/>
          <w:szCs w:val="24"/>
        </w:rPr>
        <w:t>Gestión de Asistencia en Salud</w:t>
      </w:r>
    </w:p>
    <w:p w14:paraId="459A2BA4" w14:textId="77777777" w:rsidR="00BC27E9" w:rsidRPr="00954407" w:rsidRDefault="00BC27E9" w:rsidP="00BC27E9">
      <w:pPr>
        <w:pStyle w:val="EstilodePrrafoNormal1RdeC"/>
        <w:rPr>
          <w:rFonts w:eastAsia="Calibri"/>
          <w:color w:val="auto"/>
          <w:spacing w:val="20"/>
        </w:rPr>
      </w:pPr>
    </w:p>
    <w:p w14:paraId="4688FAA9" w14:textId="77777777" w:rsidR="00BC27E9" w:rsidRPr="00954407" w:rsidRDefault="00BC27E9" w:rsidP="00BC27E9">
      <w:pPr>
        <w:pStyle w:val="EstilodePrrafoNormal1RdeC"/>
        <w:rPr>
          <w:rFonts w:eastAsia="Calibri"/>
          <w:color w:val="767171"/>
        </w:rPr>
      </w:pPr>
      <w:r w:rsidRPr="00954407">
        <w:rPr>
          <w:rFonts w:eastAsia="Calibri"/>
          <w:color w:val="767171"/>
        </w:rPr>
        <w:t>Durante el período enero - noviembre del 2025, el Dispensario Médico del Ministerio ofreció asistencia a los colaboradores, sus dependientes y a residentes de zonas aledañas al ministerio, alcanzando un total de 18,968 atenciones en el área médica; desglosadas en las áreas especializadas como se detalla a continuación:</w:t>
      </w:r>
    </w:p>
    <w:p w14:paraId="100502D5" w14:textId="77777777" w:rsidR="00BC27E9" w:rsidRPr="00954407" w:rsidRDefault="00BC27E9" w:rsidP="00BC27E9">
      <w:pPr>
        <w:pStyle w:val="EstilodePrrafoNormal1RdeC"/>
        <w:rPr>
          <w:rFonts w:eastAsia="Calibri"/>
          <w:spacing w:val="20"/>
        </w:rPr>
      </w:pPr>
    </w:p>
    <w:p w14:paraId="2B4A6C43" w14:textId="77777777" w:rsidR="00BC27E9" w:rsidRPr="00954407" w:rsidRDefault="00BC27E9" w:rsidP="005D6D6C">
      <w:pPr>
        <w:pStyle w:val="EstilodePrrafoNormal1RdeC"/>
        <w:numPr>
          <w:ilvl w:val="0"/>
          <w:numId w:val="202"/>
        </w:numPr>
        <w:ind w:left="0"/>
        <w:jc w:val="center"/>
        <w:rPr>
          <w:spacing w:val="0"/>
        </w:rPr>
      </w:pPr>
      <w:r w:rsidRPr="00954407">
        <w:rPr>
          <w:spacing w:val="0"/>
        </w:rPr>
        <w:t>Medicina General .…………… 6, 734</w:t>
      </w:r>
    </w:p>
    <w:p w14:paraId="612819BC" w14:textId="77777777" w:rsidR="00BC27E9" w:rsidRPr="00954407" w:rsidRDefault="00BC27E9" w:rsidP="005D6D6C">
      <w:pPr>
        <w:pStyle w:val="EstilodePrrafoNormal1RdeC"/>
        <w:numPr>
          <w:ilvl w:val="0"/>
          <w:numId w:val="202"/>
        </w:numPr>
        <w:ind w:left="0"/>
        <w:jc w:val="center"/>
        <w:rPr>
          <w:spacing w:val="0"/>
        </w:rPr>
      </w:pPr>
      <w:r w:rsidRPr="00954407">
        <w:rPr>
          <w:spacing w:val="0"/>
        </w:rPr>
        <w:t>Enfermería ………………..….. 3,981</w:t>
      </w:r>
    </w:p>
    <w:p w14:paraId="5A702181" w14:textId="77777777" w:rsidR="00BC27E9" w:rsidRPr="00954407" w:rsidRDefault="00BC27E9" w:rsidP="005D6D6C">
      <w:pPr>
        <w:pStyle w:val="EstilodePrrafoNormal1RdeC"/>
        <w:numPr>
          <w:ilvl w:val="0"/>
          <w:numId w:val="202"/>
        </w:numPr>
        <w:ind w:left="0"/>
        <w:jc w:val="center"/>
        <w:rPr>
          <w:spacing w:val="0"/>
        </w:rPr>
      </w:pPr>
      <w:r w:rsidRPr="00954407">
        <w:rPr>
          <w:spacing w:val="0"/>
        </w:rPr>
        <w:t>Lactancia ………………………  854</w:t>
      </w:r>
    </w:p>
    <w:p w14:paraId="1AC23466" w14:textId="77777777" w:rsidR="00BC27E9" w:rsidRPr="00954407" w:rsidRDefault="00BC27E9" w:rsidP="005D6D6C">
      <w:pPr>
        <w:pStyle w:val="EstilodePrrafoNormal1RdeC"/>
        <w:numPr>
          <w:ilvl w:val="0"/>
          <w:numId w:val="202"/>
        </w:numPr>
        <w:ind w:left="0"/>
        <w:jc w:val="center"/>
        <w:rPr>
          <w:spacing w:val="0"/>
        </w:rPr>
      </w:pPr>
      <w:r w:rsidRPr="00954407">
        <w:rPr>
          <w:spacing w:val="0"/>
        </w:rPr>
        <w:t>Cardiología ……………………3,074</w:t>
      </w:r>
    </w:p>
    <w:p w14:paraId="2760DB10" w14:textId="77777777" w:rsidR="00BC27E9" w:rsidRPr="00954407" w:rsidRDefault="00BC27E9" w:rsidP="005D6D6C">
      <w:pPr>
        <w:pStyle w:val="EstilodePrrafoNormal1RdeC"/>
        <w:numPr>
          <w:ilvl w:val="0"/>
          <w:numId w:val="202"/>
        </w:numPr>
        <w:ind w:left="0"/>
        <w:jc w:val="center"/>
        <w:rPr>
          <w:spacing w:val="0"/>
        </w:rPr>
      </w:pPr>
      <w:r w:rsidRPr="00954407">
        <w:rPr>
          <w:spacing w:val="0"/>
        </w:rPr>
        <w:t>Ortopedia ……………………   1,118</w:t>
      </w:r>
    </w:p>
    <w:p w14:paraId="49C0BC85" w14:textId="77777777" w:rsidR="00BC27E9" w:rsidRPr="00954407" w:rsidRDefault="00BC27E9" w:rsidP="005D6D6C">
      <w:pPr>
        <w:pStyle w:val="EstilodePrrafoNormal1RdeC"/>
        <w:numPr>
          <w:ilvl w:val="0"/>
          <w:numId w:val="202"/>
        </w:numPr>
        <w:ind w:left="0"/>
        <w:jc w:val="center"/>
        <w:rPr>
          <w:spacing w:val="0"/>
        </w:rPr>
      </w:pPr>
      <w:r w:rsidRPr="00954407">
        <w:rPr>
          <w:spacing w:val="0"/>
        </w:rPr>
        <w:lastRenderedPageBreak/>
        <w:t>Gastroenterología ..……………   512</w:t>
      </w:r>
    </w:p>
    <w:p w14:paraId="020D0DA4" w14:textId="77777777" w:rsidR="00BC27E9" w:rsidRPr="00954407" w:rsidRDefault="00BC27E9" w:rsidP="005D6D6C">
      <w:pPr>
        <w:pStyle w:val="EstilodePrrafoNormal1RdeC"/>
        <w:numPr>
          <w:ilvl w:val="0"/>
          <w:numId w:val="202"/>
        </w:numPr>
        <w:ind w:left="0"/>
        <w:jc w:val="center"/>
        <w:rPr>
          <w:spacing w:val="0"/>
        </w:rPr>
      </w:pPr>
      <w:r w:rsidRPr="00954407">
        <w:rPr>
          <w:spacing w:val="0"/>
        </w:rPr>
        <w:t>Psicología ……………………… 172</w:t>
      </w:r>
    </w:p>
    <w:p w14:paraId="49D0FF74" w14:textId="77777777" w:rsidR="00BC27E9" w:rsidRPr="00954407" w:rsidRDefault="00BC27E9" w:rsidP="005D6D6C">
      <w:pPr>
        <w:pStyle w:val="EstilodePrrafoNormal1RdeC"/>
        <w:numPr>
          <w:ilvl w:val="0"/>
          <w:numId w:val="202"/>
        </w:numPr>
        <w:ind w:left="0"/>
        <w:jc w:val="center"/>
        <w:rPr>
          <w:spacing w:val="0"/>
        </w:rPr>
      </w:pPr>
      <w:r w:rsidRPr="00954407">
        <w:rPr>
          <w:spacing w:val="0"/>
        </w:rPr>
        <w:t>Ginecología ….………………...  437</w:t>
      </w:r>
    </w:p>
    <w:p w14:paraId="71E4EBCB" w14:textId="77777777" w:rsidR="00BC27E9" w:rsidRPr="00954407" w:rsidRDefault="00BC27E9" w:rsidP="005D6D6C">
      <w:pPr>
        <w:pStyle w:val="EstilodePrrafoNormal1RdeC"/>
        <w:numPr>
          <w:ilvl w:val="0"/>
          <w:numId w:val="202"/>
        </w:numPr>
        <w:ind w:left="0"/>
        <w:jc w:val="center"/>
        <w:rPr>
          <w:spacing w:val="20"/>
        </w:rPr>
      </w:pPr>
      <w:r w:rsidRPr="00954407">
        <w:rPr>
          <w:spacing w:val="0"/>
        </w:rPr>
        <w:t>Psiquiatría …................................ 105</w:t>
      </w:r>
    </w:p>
    <w:p w14:paraId="7636B5BE" w14:textId="77777777" w:rsidR="00BC27E9" w:rsidRPr="00954407" w:rsidRDefault="00BC27E9" w:rsidP="005D6D6C">
      <w:pPr>
        <w:pStyle w:val="EstilodePrrafoNormal1RdeC"/>
        <w:numPr>
          <w:ilvl w:val="0"/>
          <w:numId w:val="202"/>
        </w:numPr>
        <w:ind w:left="0"/>
        <w:jc w:val="center"/>
        <w:rPr>
          <w:spacing w:val="20"/>
        </w:rPr>
      </w:pPr>
      <w:r w:rsidRPr="00954407">
        <w:rPr>
          <w:spacing w:val="0"/>
        </w:rPr>
        <w:t>Pediatría ......................................  361</w:t>
      </w:r>
    </w:p>
    <w:p w14:paraId="2BE7228D" w14:textId="77777777" w:rsidR="00BC27E9" w:rsidRPr="00954407" w:rsidRDefault="00BC27E9" w:rsidP="005D6D6C">
      <w:pPr>
        <w:pStyle w:val="EstilodePrrafoNormal1RdeC"/>
        <w:numPr>
          <w:ilvl w:val="0"/>
          <w:numId w:val="202"/>
        </w:numPr>
        <w:ind w:left="0"/>
        <w:jc w:val="center"/>
        <w:rPr>
          <w:spacing w:val="20"/>
        </w:rPr>
      </w:pPr>
      <w:r w:rsidRPr="00954407">
        <w:rPr>
          <w:spacing w:val="0"/>
        </w:rPr>
        <w:t>Nutrición .....................................  479</w:t>
      </w:r>
    </w:p>
    <w:p w14:paraId="5D253DAF" w14:textId="77777777" w:rsidR="00BC27E9" w:rsidRPr="00954407" w:rsidRDefault="00BC27E9" w:rsidP="00BC27E9">
      <w:pPr>
        <w:pStyle w:val="EstilodePrrafoNormal1RdeC"/>
        <w:rPr>
          <w:spacing w:val="0"/>
        </w:rPr>
      </w:pPr>
    </w:p>
    <w:p w14:paraId="78BC40D5" w14:textId="77777777" w:rsidR="00BC27E9" w:rsidRPr="00954407" w:rsidRDefault="00BC27E9" w:rsidP="00BC27E9">
      <w:pPr>
        <w:pStyle w:val="EstilodePrrafoNormal1RdeC"/>
        <w:rPr>
          <w:spacing w:val="20"/>
        </w:rPr>
      </w:pPr>
    </w:p>
    <w:p w14:paraId="6910188C" w14:textId="77777777" w:rsidR="00BC27E9" w:rsidRPr="00954407" w:rsidRDefault="00BC27E9" w:rsidP="00BC27E9">
      <w:pPr>
        <w:pStyle w:val="EstilodePrrafoNormal1RdeC"/>
        <w:rPr>
          <w:rFonts w:eastAsia="Calibri"/>
          <w:spacing w:val="20"/>
        </w:rPr>
      </w:pPr>
      <w:r w:rsidRPr="00954407">
        <w:rPr>
          <w:rFonts w:eastAsia="Calibri"/>
          <w:spacing w:val="20"/>
        </w:rPr>
        <w:t xml:space="preserve">El Área de Odontología, realizó un total de 9,095 procedimientos, los cuales citamos a continuación: </w:t>
      </w:r>
    </w:p>
    <w:p w14:paraId="298AA5BA" w14:textId="77777777" w:rsidR="00BC27E9" w:rsidRPr="00954407" w:rsidRDefault="00BC27E9" w:rsidP="00BC27E9">
      <w:pPr>
        <w:pStyle w:val="EstilodePrrafoNormal1RdeC"/>
        <w:rPr>
          <w:rFonts w:eastAsia="Calibri"/>
          <w:spacing w:val="20"/>
        </w:rPr>
      </w:pPr>
    </w:p>
    <w:p w14:paraId="15E853E7" w14:textId="77777777" w:rsidR="00BC27E9" w:rsidRPr="00954407" w:rsidRDefault="00BC27E9" w:rsidP="003F2C62">
      <w:pPr>
        <w:pStyle w:val="EstilodePrrafoNormal1RdeC"/>
        <w:numPr>
          <w:ilvl w:val="0"/>
          <w:numId w:val="203"/>
        </w:numPr>
        <w:jc w:val="center"/>
        <w:rPr>
          <w:spacing w:val="0"/>
        </w:rPr>
      </w:pPr>
      <w:r w:rsidRPr="00954407">
        <w:rPr>
          <w:spacing w:val="0"/>
        </w:rPr>
        <w:t>Diagnostico …………………… 2,437</w:t>
      </w:r>
    </w:p>
    <w:p w14:paraId="0CE776D3" w14:textId="77777777" w:rsidR="00BC27E9" w:rsidRPr="00954407" w:rsidRDefault="00BC27E9" w:rsidP="003F2C62">
      <w:pPr>
        <w:pStyle w:val="EstilodePrrafoNormal1RdeC"/>
        <w:numPr>
          <w:ilvl w:val="0"/>
          <w:numId w:val="203"/>
        </w:numPr>
        <w:jc w:val="center"/>
        <w:rPr>
          <w:spacing w:val="0"/>
        </w:rPr>
      </w:pPr>
      <w:r w:rsidRPr="00954407">
        <w:rPr>
          <w:spacing w:val="0"/>
        </w:rPr>
        <w:t>Profilaxis ……………………… 2,184</w:t>
      </w:r>
    </w:p>
    <w:p w14:paraId="26C62F15" w14:textId="77777777" w:rsidR="00BC27E9" w:rsidRPr="00954407" w:rsidRDefault="00BC27E9" w:rsidP="003F2C62">
      <w:pPr>
        <w:pStyle w:val="EstilodePrrafoNormal1RdeC"/>
        <w:numPr>
          <w:ilvl w:val="0"/>
          <w:numId w:val="203"/>
        </w:numPr>
        <w:jc w:val="center"/>
        <w:rPr>
          <w:spacing w:val="0"/>
        </w:rPr>
      </w:pPr>
      <w:r w:rsidRPr="00954407">
        <w:rPr>
          <w:spacing w:val="0"/>
        </w:rPr>
        <w:t>Operatorias ……………………..2,401</w:t>
      </w:r>
    </w:p>
    <w:p w14:paraId="1C08F579" w14:textId="77777777" w:rsidR="00BC27E9" w:rsidRPr="00954407" w:rsidRDefault="00BC27E9" w:rsidP="003F2C62">
      <w:pPr>
        <w:pStyle w:val="EstilodePrrafoNormal1RdeC"/>
        <w:numPr>
          <w:ilvl w:val="0"/>
          <w:numId w:val="203"/>
        </w:numPr>
        <w:jc w:val="center"/>
        <w:rPr>
          <w:spacing w:val="0"/>
        </w:rPr>
      </w:pPr>
      <w:r w:rsidRPr="00954407">
        <w:rPr>
          <w:spacing w:val="0"/>
        </w:rPr>
        <w:t>Cirugías …………………………..757</w:t>
      </w:r>
    </w:p>
    <w:p w14:paraId="1EBDE951" w14:textId="77777777" w:rsidR="00BC27E9" w:rsidRPr="00954407" w:rsidRDefault="00BC27E9" w:rsidP="003F2C62">
      <w:pPr>
        <w:pStyle w:val="EstilodePrrafoNormal1RdeC"/>
        <w:numPr>
          <w:ilvl w:val="0"/>
          <w:numId w:val="203"/>
        </w:numPr>
        <w:jc w:val="center"/>
        <w:rPr>
          <w:spacing w:val="0"/>
        </w:rPr>
      </w:pPr>
      <w:r w:rsidRPr="00954407">
        <w:rPr>
          <w:spacing w:val="0"/>
        </w:rPr>
        <w:t>Prótesis …………………………...409</w:t>
      </w:r>
    </w:p>
    <w:p w14:paraId="76AC9167" w14:textId="77777777" w:rsidR="00BC27E9" w:rsidRPr="00954407" w:rsidRDefault="00BC27E9" w:rsidP="003F2C62">
      <w:pPr>
        <w:pStyle w:val="EstilodePrrafoNormal1RdeC"/>
        <w:numPr>
          <w:ilvl w:val="0"/>
          <w:numId w:val="203"/>
        </w:numPr>
        <w:jc w:val="center"/>
        <w:rPr>
          <w:spacing w:val="0"/>
        </w:rPr>
      </w:pPr>
      <w:r w:rsidRPr="00954407">
        <w:rPr>
          <w:spacing w:val="0"/>
        </w:rPr>
        <w:t>Endodoncias ……………………...304</w:t>
      </w:r>
    </w:p>
    <w:p w14:paraId="55531979" w14:textId="77777777" w:rsidR="00BC27E9" w:rsidRPr="00954407" w:rsidRDefault="00BC27E9" w:rsidP="003F2C62">
      <w:pPr>
        <w:pStyle w:val="EstilodePrrafoNormal1RdeC"/>
        <w:numPr>
          <w:ilvl w:val="0"/>
          <w:numId w:val="203"/>
        </w:numPr>
        <w:jc w:val="center"/>
        <w:rPr>
          <w:spacing w:val="0"/>
        </w:rPr>
      </w:pPr>
      <w:r w:rsidRPr="00954407">
        <w:rPr>
          <w:spacing w:val="0"/>
        </w:rPr>
        <w:t>Retiros Suturas ………………….. 520</w:t>
      </w:r>
    </w:p>
    <w:p w14:paraId="700516F0" w14:textId="77777777" w:rsidR="00BC27E9" w:rsidRPr="00954407" w:rsidRDefault="00BC27E9" w:rsidP="003F2C62">
      <w:pPr>
        <w:pStyle w:val="EstilodePrrafoNormal1RdeC"/>
        <w:numPr>
          <w:ilvl w:val="0"/>
          <w:numId w:val="203"/>
        </w:numPr>
        <w:jc w:val="center"/>
        <w:rPr>
          <w:spacing w:val="0"/>
        </w:rPr>
      </w:pPr>
      <w:r w:rsidRPr="00954407">
        <w:rPr>
          <w:spacing w:val="0"/>
        </w:rPr>
        <w:t>Emergencias ……………………… 83</w:t>
      </w:r>
    </w:p>
    <w:p w14:paraId="0E4DE92E" w14:textId="77777777" w:rsidR="00BC27E9" w:rsidRPr="00954407" w:rsidRDefault="00BC27E9" w:rsidP="00BC27E9">
      <w:pPr>
        <w:pStyle w:val="EstilodePrrafoNormal1RdeC"/>
        <w:rPr>
          <w:rFonts w:eastAsia="Calibri"/>
          <w:color w:val="auto"/>
          <w:spacing w:val="20"/>
        </w:rPr>
      </w:pPr>
    </w:p>
    <w:p w14:paraId="5DF74414" w14:textId="77777777" w:rsidR="00BC27E9" w:rsidRPr="00954407" w:rsidRDefault="00BC27E9" w:rsidP="00BC27E9">
      <w:pPr>
        <w:pStyle w:val="EstilodePrrafoNormal1RdeC"/>
        <w:rPr>
          <w:rFonts w:eastAsia="Calibri"/>
          <w:color w:val="767171"/>
        </w:rPr>
      </w:pPr>
      <w:r w:rsidRPr="00954407">
        <w:rPr>
          <w:rFonts w:eastAsia="Calibri"/>
          <w:color w:val="767171"/>
        </w:rPr>
        <w:t xml:space="preserve">Se realizaron 8,274 atenciones médicas y 1,459 procedimientos odontológicos durante los Operativos Médicos y Odontológicos, denominados: “Obras Públicas con mi Barrio”, los cuales fueron realizados en el Distrito Nacional y en las Provincias de: Santo Domingo Norte, Santo Domingo Este, San Cristóbal, Villa Altagracia, Monte Plata y Boca Chica.  </w:t>
      </w:r>
    </w:p>
    <w:p w14:paraId="5D3E1580" w14:textId="77777777" w:rsidR="00BC27E9" w:rsidRPr="00954407" w:rsidRDefault="00BC27E9" w:rsidP="00BC27E9">
      <w:pPr>
        <w:pStyle w:val="EstilodePrrafoNormal1RdeC"/>
        <w:rPr>
          <w:rFonts w:eastAsia="Calibri"/>
          <w:color w:val="767171"/>
        </w:rPr>
      </w:pPr>
    </w:p>
    <w:p w14:paraId="31CBC045" w14:textId="77777777" w:rsidR="00BC27E9" w:rsidRPr="00954407" w:rsidRDefault="00BC27E9" w:rsidP="00BC27E9">
      <w:pPr>
        <w:pStyle w:val="EstilodePrrafoNormal1RdeC"/>
        <w:rPr>
          <w:rFonts w:eastAsia="Calibri"/>
          <w:color w:val="767171"/>
        </w:rPr>
      </w:pPr>
      <w:r w:rsidRPr="00954407">
        <w:rPr>
          <w:rFonts w:eastAsia="Calibri"/>
          <w:color w:val="767171"/>
        </w:rPr>
        <w:t xml:space="preserve">A la vez, se realizó una Jornada de vacunación en la Sede Central contra Influencia y DT, en coordinación con el Área VI de Salud Pública, impactando 228 colaboradores de las áreas más vulnerables del ministerio. </w:t>
      </w:r>
    </w:p>
    <w:p w14:paraId="25D54FBA" w14:textId="77777777" w:rsidR="00BC27E9" w:rsidRPr="00954407" w:rsidRDefault="00BC27E9" w:rsidP="00BC27E9">
      <w:pPr>
        <w:pStyle w:val="EstilodePrrafoNormal1RdeC"/>
        <w:rPr>
          <w:rFonts w:eastAsia="Calibri"/>
          <w:spacing w:val="20"/>
        </w:rPr>
      </w:pPr>
    </w:p>
    <w:p w14:paraId="0360606D" w14:textId="5846DB5C" w:rsidR="00BC27E9" w:rsidRPr="00954407" w:rsidRDefault="00BC27E9" w:rsidP="00BC27E9">
      <w:pPr>
        <w:pStyle w:val="EstilodePrrafoNormal1RdeC"/>
        <w:rPr>
          <w:rFonts w:eastAsia="Calibri"/>
          <w:color w:val="767171"/>
        </w:rPr>
      </w:pPr>
      <w:r w:rsidRPr="00954407">
        <w:rPr>
          <w:rFonts w:eastAsia="Calibri"/>
          <w:color w:val="767171"/>
        </w:rPr>
        <w:lastRenderedPageBreak/>
        <w:t>Además, se realizó una Jornada de Mamografía, Sonomamograf</w:t>
      </w:r>
      <w:r w:rsidR="005D6D6C">
        <w:rPr>
          <w:rFonts w:eastAsia="Calibri"/>
          <w:color w:val="767171"/>
        </w:rPr>
        <w:t>í</w:t>
      </w:r>
      <w:r w:rsidRPr="00954407">
        <w:rPr>
          <w:rFonts w:eastAsia="Calibri"/>
          <w:color w:val="767171"/>
        </w:rPr>
        <w:t xml:space="preserve">a y PSA en coordinación con el Servicio Nacional de Salud, donde se realizaron 112 Tamizaje de Cáncer de Próstata a colaboradores (hombres) y 157 Tamizaje de Cáncer de Mamas a colaboradoras mayores de 40 años de este ministerio. </w:t>
      </w:r>
    </w:p>
    <w:p w14:paraId="2FE801CF" w14:textId="77777777" w:rsidR="00BC27E9" w:rsidRPr="00954407" w:rsidRDefault="00BC27E9" w:rsidP="00BC27E9">
      <w:pPr>
        <w:pStyle w:val="EstilodePrrafoNormal1RdeC"/>
        <w:rPr>
          <w:rFonts w:eastAsia="Calibri"/>
          <w:color w:val="767171"/>
        </w:rPr>
      </w:pPr>
    </w:p>
    <w:p w14:paraId="729A4135" w14:textId="5ADDFC61" w:rsidR="00BC27E9" w:rsidRPr="00954407" w:rsidRDefault="00BC27E9" w:rsidP="00BC27E9">
      <w:pPr>
        <w:pStyle w:val="EstilodePrrafoNormal1RdeC"/>
        <w:rPr>
          <w:color w:val="767171"/>
        </w:rPr>
      </w:pPr>
      <w:r w:rsidRPr="00954407">
        <w:rPr>
          <w:color w:val="767171"/>
        </w:rPr>
        <w:t>A continuación, se presenta a modo de resumen los logros alcanzados por la Dirección General de Recursos Humanos del MOPC durante el periodo enero-diciembre del año 2025 y los impactos a los que se vincula la producción acorde a los Ejes, Objetivos y Líneas de Acción de la Estrategia Nacional de Desarrollo (END) 2030.</w:t>
      </w:r>
    </w:p>
    <w:p w14:paraId="22C47462" w14:textId="11280868" w:rsidR="00BC27E9" w:rsidRPr="00954407" w:rsidRDefault="005D6D6C" w:rsidP="00BC27E9">
      <w:pPr>
        <w:pStyle w:val="EstilodePrrafoNormal1RdeC"/>
        <w:rPr>
          <w:color w:val="767171"/>
        </w:rPr>
      </w:pPr>
      <w:r w:rsidRPr="00954407">
        <w:rPr>
          <w:noProof/>
          <w:lang w:val="es-DO" w:eastAsia="es-DO" w:bidi="ar-SA"/>
        </w:rPr>
        <w:drawing>
          <wp:anchor distT="0" distB="0" distL="114300" distR="114300" simplePos="0" relativeHeight="251710464" behindDoc="0" locked="0" layoutInCell="1" allowOverlap="1" wp14:anchorId="7D46AC31" wp14:editId="389655C1">
            <wp:simplePos x="0" y="0"/>
            <wp:positionH relativeFrom="column">
              <wp:posOffset>152400</wp:posOffset>
            </wp:positionH>
            <wp:positionV relativeFrom="paragraph">
              <wp:posOffset>52705</wp:posOffset>
            </wp:positionV>
            <wp:extent cx="4521200" cy="5356110"/>
            <wp:effectExtent l="0" t="0" r="0" b="0"/>
            <wp:wrapNone/>
            <wp:docPr id="1398926592" name="Imagen 139892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21200" cy="5356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B19D41" w14:textId="14181D9F" w:rsidR="00BC27E9" w:rsidRPr="00954407" w:rsidRDefault="00BC27E9" w:rsidP="00BC27E9">
      <w:pPr>
        <w:pStyle w:val="EstilodePrrafoNormal1RdeC"/>
        <w:rPr>
          <w:color w:val="767171"/>
        </w:rPr>
      </w:pPr>
    </w:p>
    <w:p w14:paraId="69EAB5A8" w14:textId="77777777" w:rsidR="00BC27E9" w:rsidRPr="00954407" w:rsidRDefault="00BC27E9" w:rsidP="00BC27E9">
      <w:pPr>
        <w:pStyle w:val="EstilodePrrafoNormal1RdeC"/>
        <w:rPr>
          <w:color w:val="767171"/>
        </w:rPr>
      </w:pPr>
    </w:p>
    <w:p w14:paraId="6C47CF36" w14:textId="77777777" w:rsidR="00BC27E9" w:rsidRPr="00954407" w:rsidRDefault="00BC27E9" w:rsidP="00BC27E9">
      <w:pPr>
        <w:pStyle w:val="EstilodePrrafoNormal1RdeC"/>
        <w:rPr>
          <w:color w:val="767171"/>
        </w:rPr>
      </w:pPr>
    </w:p>
    <w:p w14:paraId="19E53B03" w14:textId="77777777" w:rsidR="00BC27E9" w:rsidRPr="00954407" w:rsidRDefault="00BC27E9" w:rsidP="00BC27E9">
      <w:pPr>
        <w:pStyle w:val="EstilodePrrafoNormal1RdeC"/>
        <w:rPr>
          <w:color w:val="767171"/>
        </w:rPr>
      </w:pPr>
    </w:p>
    <w:p w14:paraId="0A15A741" w14:textId="77777777" w:rsidR="00BC27E9" w:rsidRPr="00954407" w:rsidRDefault="00BC27E9" w:rsidP="00BC27E9">
      <w:pPr>
        <w:pStyle w:val="EstilodePrrafoNormal1RdeC"/>
        <w:rPr>
          <w:color w:val="767171"/>
        </w:rPr>
      </w:pPr>
      <w:r w:rsidRPr="00954407">
        <w:rPr>
          <w:noProof/>
          <w:lang w:val="es-DO" w:eastAsia="es-DO" w:bidi="ar-SA"/>
        </w:rPr>
        <w:lastRenderedPageBreak/>
        <w:drawing>
          <wp:inline distT="0" distB="0" distL="0" distR="0" wp14:anchorId="52450FC4" wp14:editId="3E7ABF26">
            <wp:extent cx="5028907" cy="6297433"/>
            <wp:effectExtent l="0" t="0" r="635" b="8255"/>
            <wp:docPr id="1398926594" name="Imagen 1398926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33321" cy="6302961"/>
                    </a:xfrm>
                    <a:prstGeom prst="rect">
                      <a:avLst/>
                    </a:prstGeom>
                    <a:noFill/>
                    <a:ln>
                      <a:noFill/>
                    </a:ln>
                  </pic:spPr>
                </pic:pic>
              </a:graphicData>
            </a:graphic>
          </wp:inline>
        </w:drawing>
      </w:r>
    </w:p>
    <w:p w14:paraId="7BBE0ED3" w14:textId="77777777" w:rsidR="00BC27E9" w:rsidRPr="00954407" w:rsidRDefault="00BC27E9" w:rsidP="00BC27E9">
      <w:pPr>
        <w:pStyle w:val="EstilodePrrafoNormal1RdeC"/>
        <w:rPr>
          <w:color w:val="767171"/>
        </w:rPr>
      </w:pPr>
    </w:p>
    <w:p w14:paraId="454BA6EB" w14:textId="77777777" w:rsidR="00BC27E9" w:rsidRPr="00954407" w:rsidRDefault="00BC27E9" w:rsidP="00BC27E9">
      <w:pPr>
        <w:pStyle w:val="EstilodePrrafoNormal1RdeC"/>
        <w:rPr>
          <w:color w:val="767171"/>
        </w:rPr>
      </w:pPr>
    </w:p>
    <w:p w14:paraId="024F5F5D" w14:textId="77777777" w:rsidR="00BC27E9" w:rsidRPr="00954407" w:rsidRDefault="00BC27E9" w:rsidP="00BC27E9">
      <w:pPr>
        <w:pStyle w:val="EstilodePrrafoNormal1RdeC"/>
        <w:rPr>
          <w:color w:val="767171"/>
        </w:rPr>
      </w:pPr>
    </w:p>
    <w:p w14:paraId="3A0A2C08" w14:textId="77777777" w:rsidR="00BC27E9" w:rsidRPr="00954407" w:rsidRDefault="00BC27E9" w:rsidP="00BC27E9">
      <w:pPr>
        <w:pStyle w:val="EstilodePrrafoNormal1RdeC"/>
        <w:rPr>
          <w:color w:val="767171"/>
        </w:rPr>
      </w:pPr>
    </w:p>
    <w:p w14:paraId="3348000F" w14:textId="77777777" w:rsidR="00BC27E9" w:rsidRPr="00954407" w:rsidRDefault="00BC27E9" w:rsidP="00BC27E9">
      <w:pPr>
        <w:pStyle w:val="EstilodePrrafoNormal1RdeC"/>
        <w:rPr>
          <w:color w:val="767171"/>
        </w:rPr>
      </w:pPr>
    </w:p>
    <w:p w14:paraId="6C36FF10" w14:textId="77777777" w:rsidR="00BC27E9" w:rsidRPr="00954407" w:rsidRDefault="00BC27E9" w:rsidP="00BC27E9">
      <w:pPr>
        <w:pStyle w:val="EstilodePrrafoNormal1RdeC"/>
        <w:rPr>
          <w:color w:val="767171"/>
        </w:rPr>
      </w:pPr>
    </w:p>
    <w:tbl>
      <w:tblPr>
        <w:tblW w:w="8107" w:type="dxa"/>
        <w:tblInd w:w="-5" w:type="dxa"/>
        <w:tblCellMar>
          <w:left w:w="70" w:type="dxa"/>
          <w:right w:w="70" w:type="dxa"/>
        </w:tblCellMar>
        <w:tblLook w:val="04A0" w:firstRow="1" w:lastRow="0" w:firstColumn="1" w:lastColumn="0" w:noHBand="0" w:noVBand="1"/>
      </w:tblPr>
      <w:tblGrid>
        <w:gridCol w:w="2250"/>
        <w:gridCol w:w="2203"/>
        <w:gridCol w:w="1254"/>
        <w:gridCol w:w="2400"/>
      </w:tblGrid>
      <w:tr w:rsidR="00BC27E9" w:rsidRPr="00954407" w14:paraId="016D3D43" w14:textId="77777777" w:rsidTr="003969B9">
        <w:trPr>
          <w:trHeight w:val="402"/>
          <w:tblHeader/>
        </w:trPr>
        <w:tc>
          <w:tcPr>
            <w:tcW w:w="2250"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4E3EAD2"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lastRenderedPageBreak/>
              <w:t>PRODUCCIÓN PÚBLICA</w:t>
            </w:r>
          </w:p>
        </w:tc>
        <w:tc>
          <w:tcPr>
            <w:tcW w:w="2203" w:type="dxa"/>
            <w:tcBorders>
              <w:top w:val="single" w:sz="4" w:space="0" w:color="auto"/>
              <w:left w:val="nil"/>
              <w:bottom w:val="single" w:sz="4" w:space="0" w:color="auto"/>
              <w:right w:val="single" w:sz="4" w:space="0" w:color="auto"/>
            </w:tcBorders>
            <w:shd w:val="clear" w:color="auto" w:fill="002060"/>
            <w:vAlign w:val="center"/>
            <w:hideMark/>
          </w:tcPr>
          <w:p w14:paraId="06B4443F"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PRODUCCIÓN GENERADA ENERO-DICIEMBRE 2025</w:t>
            </w:r>
          </w:p>
        </w:tc>
        <w:tc>
          <w:tcPr>
            <w:tcW w:w="1254" w:type="dxa"/>
            <w:tcBorders>
              <w:top w:val="single" w:sz="4" w:space="0" w:color="auto"/>
              <w:left w:val="nil"/>
              <w:bottom w:val="single" w:sz="4" w:space="0" w:color="auto"/>
              <w:right w:val="single" w:sz="4" w:space="0" w:color="auto"/>
            </w:tcBorders>
            <w:shd w:val="clear" w:color="auto" w:fill="002060"/>
            <w:vAlign w:val="center"/>
            <w:hideMark/>
          </w:tcPr>
          <w:p w14:paraId="4CAAE314"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DE AVANCE RESPECTO A LO PLANEADO</w:t>
            </w:r>
          </w:p>
        </w:tc>
        <w:tc>
          <w:tcPr>
            <w:tcW w:w="2400" w:type="dxa"/>
            <w:tcBorders>
              <w:top w:val="single" w:sz="4" w:space="0" w:color="auto"/>
              <w:left w:val="nil"/>
              <w:bottom w:val="single" w:sz="4" w:space="0" w:color="auto"/>
              <w:right w:val="single" w:sz="4" w:space="0" w:color="auto"/>
            </w:tcBorders>
            <w:shd w:val="clear" w:color="auto" w:fill="002060"/>
            <w:vAlign w:val="center"/>
            <w:hideMark/>
          </w:tcPr>
          <w:p w14:paraId="52D646F6"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LÍNEA (S) DE ACCIÓN DE (END) A LA QUE SE VINCULA LA PRODUCCIÓN INSTITUCIONAL</w:t>
            </w:r>
          </w:p>
        </w:tc>
      </w:tr>
    </w:tbl>
    <w:tbl>
      <w:tblPr>
        <w:tblStyle w:val="TableGrid"/>
        <w:tblW w:w="8107" w:type="dxa"/>
        <w:tblInd w:w="-5" w:type="dxa"/>
        <w:tblLook w:val="04A0" w:firstRow="1" w:lastRow="0" w:firstColumn="1" w:lastColumn="0" w:noHBand="0" w:noVBand="1"/>
      </w:tblPr>
      <w:tblGrid>
        <w:gridCol w:w="2250"/>
        <w:gridCol w:w="2203"/>
        <w:gridCol w:w="1254"/>
        <w:gridCol w:w="2400"/>
      </w:tblGrid>
      <w:tr w:rsidR="00BC27E9" w:rsidRPr="00954407" w14:paraId="40EE8B6B" w14:textId="77777777" w:rsidTr="00220FA8">
        <w:trPr>
          <w:trHeight w:val="402"/>
        </w:trPr>
        <w:tc>
          <w:tcPr>
            <w:tcW w:w="2250" w:type="dxa"/>
            <w:noWrap/>
            <w:hideMark/>
          </w:tcPr>
          <w:p w14:paraId="56D3EA69"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Servidores Públicos seleccionados por el MAP para entrega de Medalla al Mérito, con más de 25 años de labor</w:t>
            </w:r>
          </w:p>
        </w:tc>
        <w:tc>
          <w:tcPr>
            <w:tcW w:w="2203" w:type="dxa"/>
            <w:hideMark/>
          </w:tcPr>
          <w:p w14:paraId="1AD4AB65" w14:textId="02FA225B"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El Ministerio de </w:t>
            </w:r>
            <w:r w:rsidR="005D6D6C" w:rsidRPr="00954407">
              <w:rPr>
                <w:color w:val="auto"/>
                <w:spacing w:val="0"/>
                <w:sz w:val="18"/>
                <w:szCs w:val="18"/>
                <w:lang w:eastAsia="es-DO"/>
              </w:rPr>
              <w:t>Administración</w:t>
            </w:r>
            <w:r w:rsidRPr="00954407">
              <w:rPr>
                <w:color w:val="auto"/>
                <w:spacing w:val="0"/>
                <w:sz w:val="18"/>
                <w:szCs w:val="18"/>
                <w:lang w:eastAsia="es-DO"/>
              </w:rPr>
              <w:t xml:space="preserve"> </w:t>
            </w:r>
            <w:r w:rsidR="005D6D6C" w:rsidRPr="00954407">
              <w:rPr>
                <w:color w:val="auto"/>
                <w:spacing w:val="0"/>
                <w:sz w:val="18"/>
                <w:szCs w:val="18"/>
                <w:lang w:eastAsia="es-DO"/>
              </w:rPr>
              <w:t>Públic</w:t>
            </w:r>
            <w:r w:rsidR="005D6D6C">
              <w:rPr>
                <w:color w:val="auto"/>
                <w:spacing w:val="0"/>
                <w:sz w:val="18"/>
                <w:szCs w:val="18"/>
                <w:lang w:eastAsia="es-DO"/>
              </w:rPr>
              <w:t>a</w:t>
            </w:r>
            <w:r w:rsidRPr="00954407">
              <w:rPr>
                <w:color w:val="auto"/>
                <w:spacing w:val="0"/>
                <w:sz w:val="18"/>
                <w:szCs w:val="18"/>
                <w:lang w:eastAsia="es-DO"/>
              </w:rPr>
              <w:t xml:space="preserve"> no </w:t>
            </w:r>
            <w:r w:rsidR="005D6D6C" w:rsidRPr="00954407">
              <w:rPr>
                <w:color w:val="auto"/>
                <w:spacing w:val="0"/>
                <w:sz w:val="18"/>
                <w:szCs w:val="18"/>
                <w:lang w:eastAsia="es-DO"/>
              </w:rPr>
              <w:t>realizó</w:t>
            </w:r>
            <w:r w:rsidRPr="00954407">
              <w:rPr>
                <w:color w:val="auto"/>
                <w:spacing w:val="0"/>
                <w:sz w:val="18"/>
                <w:szCs w:val="18"/>
                <w:lang w:eastAsia="es-DO"/>
              </w:rPr>
              <w:t xml:space="preserve"> esta actividad durante el año 2025.</w:t>
            </w:r>
          </w:p>
        </w:tc>
        <w:tc>
          <w:tcPr>
            <w:tcW w:w="1254" w:type="dxa"/>
            <w:hideMark/>
          </w:tcPr>
          <w:p w14:paraId="6BBFFA2F" w14:textId="77777777" w:rsidR="00BC27E9" w:rsidRPr="00954407" w:rsidRDefault="00BC27E9" w:rsidP="00220FA8">
            <w:pPr>
              <w:pStyle w:val="EstilodePrrafoNormal1RdeC"/>
              <w:rPr>
                <w:color w:val="auto"/>
                <w:spacing w:val="0"/>
                <w:sz w:val="18"/>
                <w:szCs w:val="18"/>
                <w:lang w:eastAsia="es-DO"/>
              </w:rPr>
            </w:pPr>
          </w:p>
          <w:p w14:paraId="3EEDDBA1" w14:textId="77777777" w:rsidR="00BC27E9" w:rsidRPr="00954407" w:rsidRDefault="00BC27E9" w:rsidP="00220FA8">
            <w:pPr>
              <w:pStyle w:val="EstilodePrrafoNormal1RdeC"/>
              <w:rPr>
                <w:color w:val="auto"/>
                <w:spacing w:val="0"/>
                <w:sz w:val="18"/>
                <w:szCs w:val="18"/>
                <w:lang w:eastAsia="es-DO"/>
              </w:rPr>
            </w:pPr>
          </w:p>
          <w:p w14:paraId="460F8163"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N/A</w:t>
            </w:r>
          </w:p>
        </w:tc>
        <w:tc>
          <w:tcPr>
            <w:tcW w:w="2400" w:type="dxa"/>
            <w:hideMark/>
          </w:tcPr>
          <w:p w14:paraId="5BE37AE5"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1.1.1.4 Promover la gestión integrada de procesos institucionales, basada en medición, monitoreo y evaluación sistemática.</w:t>
            </w:r>
          </w:p>
        </w:tc>
      </w:tr>
      <w:tr w:rsidR="00BC27E9" w:rsidRPr="00954407" w14:paraId="421BC412" w14:textId="77777777" w:rsidTr="00220FA8">
        <w:trPr>
          <w:trHeight w:val="402"/>
        </w:trPr>
        <w:tc>
          <w:tcPr>
            <w:tcW w:w="2250" w:type="dxa"/>
            <w:noWrap/>
            <w:hideMark/>
          </w:tcPr>
          <w:p w14:paraId="1A6754C0" w14:textId="77777777" w:rsidR="00BC27E9" w:rsidRPr="00954407" w:rsidRDefault="00BC27E9" w:rsidP="00220FA8">
            <w:pPr>
              <w:pStyle w:val="EstilodePrrafoNormal1RdeC"/>
              <w:rPr>
                <w:color w:val="auto"/>
                <w:spacing w:val="0"/>
                <w:sz w:val="18"/>
                <w:szCs w:val="18"/>
                <w:lang w:eastAsia="es-DO"/>
              </w:rPr>
            </w:pPr>
          </w:p>
          <w:p w14:paraId="092B0B2B" w14:textId="77777777" w:rsidR="00BC27E9" w:rsidRPr="00954407" w:rsidRDefault="00BC27E9" w:rsidP="00220FA8">
            <w:pPr>
              <w:pStyle w:val="EstilodePrrafoNormal1RdeC"/>
              <w:rPr>
                <w:color w:val="auto"/>
                <w:spacing w:val="0"/>
                <w:sz w:val="18"/>
                <w:szCs w:val="18"/>
                <w:lang w:eastAsia="es-DO"/>
              </w:rPr>
            </w:pPr>
          </w:p>
          <w:p w14:paraId="535813B0" w14:textId="77777777" w:rsidR="00BC27E9" w:rsidRPr="00954407" w:rsidRDefault="00BC27E9" w:rsidP="00220FA8">
            <w:pPr>
              <w:pStyle w:val="EstilodePrrafoNormal1RdeC"/>
              <w:rPr>
                <w:color w:val="auto"/>
                <w:spacing w:val="0"/>
                <w:sz w:val="18"/>
                <w:szCs w:val="18"/>
                <w:lang w:eastAsia="es-DO"/>
              </w:rPr>
            </w:pPr>
          </w:p>
          <w:p w14:paraId="74F82113" w14:textId="77777777" w:rsidR="00BC27E9" w:rsidRPr="00954407" w:rsidRDefault="00BC27E9" w:rsidP="00220FA8">
            <w:pPr>
              <w:pStyle w:val="EstilodePrrafoNormal1RdeC"/>
              <w:rPr>
                <w:color w:val="auto"/>
                <w:spacing w:val="0"/>
                <w:sz w:val="18"/>
                <w:szCs w:val="18"/>
                <w:lang w:eastAsia="es-DO"/>
              </w:rPr>
            </w:pPr>
          </w:p>
          <w:p w14:paraId="6E19C372" w14:textId="77777777" w:rsidR="00BC27E9" w:rsidRPr="00954407" w:rsidRDefault="00BC27E9" w:rsidP="00220FA8">
            <w:pPr>
              <w:pStyle w:val="EstilodePrrafoNormal1RdeC"/>
              <w:rPr>
                <w:color w:val="auto"/>
                <w:spacing w:val="0"/>
                <w:sz w:val="18"/>
                <w:szCs w:val="18"/>
                <w:lang w:eastAsia="es-DO"/>
              </w:rPr>
            </w:pPr>
          </w:p>
          <w:p w14:paraId="6D6BDBD4" w14:textId="77777777" w:rsidR="00BC27E9" w:rsidRPr="00954407" w:rsidRDefault="00BC27E9" w:rsidP="00220FA8">
            <w:pPr>
              <w:pStyle w:val="EstilodePrrafoNormal1RdeC"/>
              <w:rPr>
                <w:color w:val="auto"/>
                <w:spacing w:val="0"/>
                <w:sz w:val="18"/>
                <w:szCs w:val="18"/>
                <w:lang w:eastAsia="es-DO"/>
              </w:rPr>
            </w:pPr>
          </w:p>
          <w:p w14:paraId="5DDD581D" w14:textId="77777777" w:rsidR="00BC27E9" w:rsidRPr="00954407" w:rsidRDefault="00BC27E9" w:rsidP="00220FA8">
            <w:pPr>
              <w:pStyle w:val="EstilodePrrafoNormal1RdeC"/>
              <w:rPr>
                <w:color w:val="auto"/>
                <w:spacing w:val="0"/>
                <w:sz w:val="18"/>
                <w:szCs w:val="18"/>
                <w:lang w:eastAsia="es-DO"/>
              </w:rPr>
            </w:pPr>
          </w:p>
          <w:p w14:paraId="0F8A335E"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Implantar Política Salarial</w:t>
            </w:r>
          </w:p>
        </w:tc>
        <w:tc>
          <w:tcPr>
            <w:tcW w:w="2203" w:type="dxa"/>
            <w:hideMark/>
          </w:tcPr>
          <w:p w14:paraId="43E16707" w14:textId="77777777" w:rsidR="00BC27E9" w:rsidRPr="00954407" w:rsidRDefault="00BC27E9" w:rsidP="00220FA8">
            <w:pPr>
              <w:pStyle w:val="EstilodePrrafoNormal1RdeC"/>
              <w:rPr>
                <w:color w:val="auto"/>
                <w:spacing w:val="0"/>
                <w:sz w:val="18"/>
                <w:szCs w:val="18"/>
                <w:lang w:eastAsia="es-DO"/>
              </w:rPr>
            </w:pPr>
          </w:p>
          <w:p w14:paraId="393A5521" w14:textId="77777777" w:rsidR="00BC27E9" w:rsidRPr="00954407" w:rsidRDefault="00BC27E9" w:rsidP="00220FA8">
            <w:pPr>
              <w:pStyle w:val="EstilodePrrafoNormal1RdeC"/>
              <w:rPr>
                <w:color w:val="auto"/>
                <w:spacing w:val="0"/>
                <w:sz w:val="18"/>
                <w:szCs w:val="18"/>
                <w:lang w:eastAsia="es-DO"/>
              </w:rPr>
            </w:pPr>
          </w:p>
          <w:p w14:paraId="0DE0A7CF" w14:textId="77777777" w:rsidR="00BC27E9" w:rsidRPr="00954407" w:rsidRDefault="00BC27E9" w:rsidP="00220FA8">
            <w:pPr>
              <w:pStyle w:val="EstilodePrrafoNormal1RdeC"/>
              <w:rPr>
                <w:color w:val="auto"/>
                <w:spacing w:val="0"/>
                <w:sz w:val="18"/>
                <w:szCs w:val="18"/>
                <w:lang w:eastAsia="es-DO"/>
              </w:rPr>
            </w:pPr>
          </w:p>
          <w:p w14:paraId="7E927B59" w14:textId="77777777" w:rsidR="00BC27E9" w:rsidRPr="00954407" w:rsidRDefault="00BC27E9" w:rsidP="00220FA8">
            <w:pPr>
              <w:pStyle w:val="EstilodePrrafoNormal1RdeC"/>
              <w:rPr>
                <w:color w:val="auto"/>
                <w:spacing w:val="0"/>
                <w:sz w:val="18"/>
                <w:szCs w:val="18"/>
                <w:lang w:eastAsia="es-DO"/>
              </w:rPr>
            </w:pPr>
          </w:p>
          <w:p w14:paraId="54930CA7" w14:textId="77777777" w:rsidR="00BC27E9" w:rsidRPr="00954407" w:rsidRDefault="00BC27E9" w:rsidP="00220FA8">
            <w:pPr>
              <w:pStyle w:val="EstilodePrrafoNormal1RdeC"/>
              <w:rPr>
                <w:color w:val="auto"/>
                <w:spacing w:val="0"/>
                <w:sz w:val="18"/>
                <w:szCs w:val="18"/>
                <w:lang w:eastAsia="es-DO"/>
              </w:rPr>
            </w:pPr>
          </w:p>
          <w:p w14:paraId="28593E4F" w14:textId="77777777" w:rsidR="00BC27E9" w:rsidRPr="00954407" w:rsidRDefault="00BC27E9" w:rsidP="00220FA8">
            <w:pPr>
              <w:pStyle w:val="EstilodePrrafoNormal1RdeC"/>
              <w:rPr>
                <w:color w:val="auto"/>
                <w:spacing w:val="0"/>
                <w:sz w:val="18"/>
                <w:szCs w:val="18"/>
                <w:lang w:eastAsia="es-DO"/>
              </w:rPr>
            </w:pPr>
          </w:p>
          <w:p w14:paraId="02B815CC" w14:textId="0BB610AD"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En proceso de implementación de acuerdo a </w:t>
            </w:r>
            <w:r w:rsidR="005D6D6C" w:rsidRPr="00954407">
              <w:rPr>
                <w:color w:val="auto"/>
                <w:spacing w:val="0"/>
                <w:sz w:val="18"/>
                <w:szCs w:val="18"/>
                <w:lang w:eastAsia="es-DO"/>
              </w:rPr>
              <w:t>disponibilidad</w:t>
            </w:r>
            <w:r w:rsidRPr="00954407">
              <w:rPr>
                <w:color w:val="auto"/>
                <w:spacing w:val="0"/>
                <w:sz w:val="18"/>
                <w:szCs w:val="18"/>
                <w:lang w:eastAsia="es-DO"/>
              </w:rPr>
              <w:t xml:space="preserve"> </w:t>
            </w:r>
            <w:r w:rsidR="005D6D6C" w:rsidRPr="00954407">
              <w:rPr>
                <w:color w:val="auto"/>
                <w:spacing w:val="0"/>
                <w:sz w:val="18"/>
                <w:szCs w:val="18"/>
                <w:lang w:eastAsia="es-DO"/>
              </w:rPr>
              <w:t>presupuestaria</w:t>
            </w:r>
          </w:p>
        </w:tc>
        <w:tc>
          <w:tcPr>
            <w:tcW w:w="1254" w:type="dxa"/>
            <w:hideMark/>
          </w:tcPr>
          <w:p w14:paraId="6B28F651" w14:textId="77777777" w:rsidR="00BC27E9" w:rsidRPr="00954407" w:rsidRDefault="00BC27E9" w:rsidP="00220FA8">
            <w:pPr>
              <w:pStyle w:val="EstilodePrrafoNormal1RdeC"/>
              <w:rPr>
                <w:color w:val="auto"/>
                <w:spacing w:val="0"/>
                <w:sz w:val="18"/>
                <w:szCs w:val="18"/>
                <w:lang w:eastAsia="es-DO"/>
              </w:rPr>
            </w:pPr>
          </w:p>
          <w:p w14:paraId="1D7E7F03" w14:textId="77777777" w:rsidR="00BC27E9" w:rsidRPr="00954407" w:rsidRDefault="00BC27E9" w:rsidP="00220FA8">
            <w:pPr>
              <w:pStyle w:val="EstilodePrrafoNormal1RdeC"/>
              <w:rPr>
                <w:color w:val="auto"/>
                <w:spacing w:val="0"/>
                <w:sz w:val="18"/>
                <w:szCs w:val="18"/>
                <w:lang w:eastAsia="es-DO"/>
              </w:rPr>
            </w:pPr>
          </w:p>
          <w:p w14:paraId="18DB4AC4" w14:textId="77777777" w:rsidR="00BC27E9" w:rsidRPr="00954407" w:rsidRDefault="00BC27E9" w:rsidP="00220FA8">
            <w:pPr>
              <w:pStyle w:val="EstilodePrrafoNormal1RdeC"/>
              <w:rPr>
                <w:color w:val="auto"/>
                <w:spacing w:val="0"/>
                <w:sz w:val="18"/>
                <w:szCs w:val="18"/>
                <w:lang w:eastAsia="es-DO"/>
              </w:rPr>
            </w:pPr>
          </w:p>
          <w:p w14:paraId="2FD00F48" w14:textId="77777777" w:rsidR="00BC27E9" w:rsidRPr="00954407" w:rsidRDefault="00BC27E9" w:rsidP="00220FA8">
            <w:pPr>
              <w:pStyle w:val="EstilodePrrafoNormal1RdeC"/>
              <w:rPr>
                <w:color w:val="auto"/>
                <w:spacing w:val="0"/>
                <w:sz w:val="18"/>
                <w:szCs w:val="18"/>
                <w:lang w:eastAsia="es-DO"/>
              </w:rPr>
            </w:pPr>
          </w:p>
          <w:p w14:paraId="5BE6FAF9" w14:textId="77777777" w:rsidR="00BC27E9" w:rsidRPr="00954407" w:rsidRDefault="00BC27E9" w:rsidP="00220FA8">
            <w:pPr>
              <w:pStyle w:val="EstilodePrrafoNormal1RdeC"/>
              <w:rPr>
                <w:color w:val="auto"/>
                <w:spacing w:val="0"/>
                <w:sz w:val="18"/>
                <w:szCs w:val="18"/>
                <w:lang w:eastAsia="es-DO"/>
              </w:rPr>
            </w:pPr>
          </w:p>
          <w:p w14:paraId="4736F6AD" w14:textId="77777777" w:rsidR="00BC27E9" w:rsidRPr="00954407" w:rsidRDefault="00BC27E9" w:rsidP="00220FA8">
            <w:pPr>
              <w:pStyle w:val="EstilodePrrafoNormal1RdeC"/>
              <w:rPr>
                <w:color w:val="auto"/>
                <w:spacing w:val="0"/>
                <w:sz w:val="18"/>
                <w:szCs w:val="18"/>
                <w:lang w:eastAsia="es-DO"/>
              </w:rPr>
            </w:pPr>
          </w:p>
          <w:p w14:paraId="22A22AFC" w14:textId="77777777" w:rsidR="00BC27E9" w:rsidRPr="00954407" w:rsidRDefault="00BC27E9" w:rsidP="00220FA8">
            <w:pPr>
              <w:pStyle w:val="EstilodePrrafoNormal1RdeC"/>
              <w:rPr>
                <w:color w:val="auto"/>
                <w:spacing w:val="0"/>
                <w:sz w:val="18"/>
                <w:szCs w:val="18"/>
                <w:lang w:eastAsia="es-DO"/>
              </w:rPr>
            </w:pPr>
          </w:p>
          <w:p w14:paraId="4257BABF"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60%</w:t>
            </w:r>
          </w:p>
        </w:tc>
        <w:tc>
          <w:tcPr>
            <w:tcW w:w="2400" w:type="dxa"/>
            <w:hideMark/>
          </w:tcPr>
          <w:p w14:paraId="3AA409E1"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1.1.1.5 Fortalecer el Servicio Civil y la Carrera Administrativa, respetando la equidad de género, para dotar a la Administración Pública de personal idóneo y seleccionado por concurso que actúe con apego a la ética, transparencia y rendición de cuentas, para asegurar mecanismos de ingreso, estabilidad, promoción y remuneración por resultados, mérito, idoneidad profesional y ética.</w:t>
            </w:r>
          </w:p>
        </w:tc>
      </w:tr>
      <w:tr w:rsidR="00BC27E9" w:rsidRPr="00954407" w14:paraId="4E6AFD59" w14:textId="77777777" w:rsidTr="00220FA8">
        <w:trPr>
          <w:trHeight w:val="402"/>
        </w:trPr>
        <w:tc>
          <w:tcPr>
            <w:tcW w:w="2250" w:type="dxa"/>
            <w:noWrap/>
            <w:hideMark/>
          </w:tcPr>
          <w:p w14:paraId="3E3DBD62" w14:textId="77777777" w:rsidR="00BC27E9" w:rsidRPr="00954407" w:rsidRDefault="00BC27E9" w:rsidP="00220FA8">
            <w:pPr>
              <w:pStyle w:val="EstilodePrrafoNormal1RdeC"/>
              <w:rPr>
                <w:color w:val="auto"/>
                <w:spacing w:val="0"/>
                <w:sz w:val="18"/>
                <w:szCs w:val="18"/>
                <w:lang w:eastAsia="es-DO"/>
              </w:rPr>
            </w:pPr>
          </w:p>
          <w:p w14:paraId="61972015" w14:textId="77777777" w:rsidR="00BC27E9" w:rsidRPr="00954407" w:rsidRDefault="00BC27E9" w:rsidP="00220FA8">
            <w:pPr>
              <w:pStyle w:val="EstilodePrrafoNormal1RdeC"/>
              <w:rPr>
                <w:color w:val="auto"/>
                <w:spacing w:val="0"/>
                <w:sz w:val="18"/>
                <w:szCs w:val="18"/>
                <w:lang w:eastAsia="es-DO"/>
              </w:rPr>
            </w:pPr>
          </w:p>
          <w:p w14:paraId="7DB6AA67" w14:textId="77777777" w:rsidR="00BC27E9" w:rsidRPr="00954407" w:rsidRDefault="00BC27E9" w:rsidP="00220FA8">
            <w:pPr>
              <w:pStyle w:val="EstilodePrrafoNormal1RdeC"/>
              <w:rPr>
                <w:color w:val="auto"/>
                <w:spacing w:val="0"/>
                <w:sz w:val="18"/>
                <w:szCs w:val="18"/>
                <w:lang w:eastAsia="es-DO"/>
              </w:rPr>
            </w:pPr>
          </w:p>
          <w:p w14:paraId="63B43D62" w14:textId="77777777" w:rsidR="00BC27E9" w:rsidRPr="00954407" w:rsidRDefault="00BC27E9" w:rsidP="00220FA8">
            <w:pPr>
              <w:pStyle w:val="EstilodePrrafoNormal1RdeC"/>
              <w:rPr>
                <w:color w:val="auto"/>
                <w:spacing w:val="0"/>
                <w:sz w:val="18"/>
                <w:szCs w:val="18"/>
                <w:lang w:eastAsia="es-DO"/>
              </w:rPr>
            </w:pPr>
          </w:p>
          <w:p w14:paraId="14A3BE22" w14:textId="77777777" w:rsidR="00BC27E9" w:rsidRPr="00954407" w:rsidRDefault="00BC27E9" w:rsidP="00220FA8">
            <w:pPr>
              <w:pStyle w:val="EstilodePrrafoNormal1RdeC"/>
              <w:rPr>
                <w:color w:val="auto"/>
                <w:spacing w:val="0"/>
                <w:sz w:val="18"/>
                <w:szCs w:val="18"/>
                <w:lang w:eastAsia="es-DO"/>
              </w:rPr>
            </w:pPr>
          </w:p>
          <w:p w14:paraId="68C1D68C" w14:textId="77777777" w:rsidR="00BC27E9" w:rsidRPr="00954407" w:rsidRDefault="00BC27E9" w:rsidP="00220FA8">
            <w:pPr>
              <w:pStyle w:val="EstilodePrrafoNormal1RdeC"/>
              <w:rPr>
                <w:color w:val="auto"/>
                <w:spacing w:val="0"/>
                <w:sz w:val="18"/>
                <w:szCs w:val="18"/>
                <w:lang w:eastAsia="es-DO"/>
              </w:rPr>
            </w:pPr>
          </w:p>
          <w:p w14:paraId="6F509B8A" w14:textId="77777777" w:rsidR="00BC27E9" w:rsidRPr="00954407" w:rsidRDefault="00BC27E9" w:rsidP="00220FA8">
            <w:pPr>
              <w:pStyle w:val="EstilodePrrafoNormal1RdeC"/>
              <w:rPr>
                <w:color w:val="auto"/>
                <w:spacing w:val="0"/>
                <w:sz w:val="18"/>
                <w:szCs w:val="18"/>
                <w:lang w:eastAsia="es-DO"/>
              </w:rPr>
            </w:pPr>
          </w:p>
          <w:p w14:paraId="026BDF71"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Reclutamiento y Selección de Personal</w:t>
            </w:r>
          </w:p>
        </w:tc>
        <w:tc>
          <w:tcPr>
            <w:tcW w:w="2203" w:type="dxa"/>
            <w:hideMark/>
          </w:tcPr>
          <w:p w14:paraId="7F67B183" w14:textId="77777777" w:rsidR="00BC27E9" w:rsidRPr="00954407" w:rsidRDefault="00BC27E9" w:rsidP="00220FA8">
            <w:pPr>
              <w:pStyle w:val="EstilodePrrafoNormal1RdeC"/>
              <w:rPr>
                <w:color w:val="auto"/>
                <w:spacing w:val="0"/>
                <w:sz w:val="18"/>
                <w:szCs w:val="18"/>
                <w:lang w:eastAsia="es-DO"/>
              </w:rPr>
            </w:pPr>
          </w:p>
          <w:p w14:paraId="4811E906" w14:textId="77777777" w:rsidR="00BC27E9" w:rsidRPr="00954407" w:rsidRDefault="00BC27E9" w:rsidP="00220FA8">
            <w:pPr>
              <w:pStyle w:val="EstilodePrrafoNormal1RdeC"/>
              <w:rPr>
                <w:color w:val="auto"/>
                <w:spacing w:val="0"/>
                <w:sz w:val="18"/>
                <w:szCs w:val="18"/>
                <w:lang w:eastAsia="es-DO"/>
              </w:rPr>
            </w:pPr>
          </w:p>
          <w:p w14:paraId="72257474" w14:textId="77777777" w:rsidR="00BC27E9" w:rsidRPr="00954407" w:rsidRDefault="00BC27E9" w:rsidP="00220FA8">
            <w:pPr>
              <w:pStyle w:val="EstilodePrrafoNormal1RdeC"/>
              <w:rPr>
                <w:color w:val="auto"/>
                <w:spacing w:val="0"/>
                <w:sz w:val="18"/>
                <w:szCs w:val="18"/>
                <w:lang w:eastAsia="es-DO"/>
              </w:rPr>
            </w:pPr>
          </w:p>
          <w:p w14:paraId="21F167D9" w14:textId="77777777" w:rsidR="00BC27E9" w:rsidRPr="00954407" w:rsidRDefault="00BC27E9" w:rsidP="00220FA8">
            <w:pPr>
              <w:pStyle w:val="EstilodePrrafoNormal1RdeC"/>
              <w:rPr>
                <w:color w:val="auto"/>
                <w:spacing w:val="0"/>
                <w:sz w:val="18"/>
                <w:szCs w:val="18"/>
                <w:lang w:eastAsia="es-DO"/>
              </w:rPr>
            </w:pPr>
          </w:p>
          <w:p w14:paraId="4529C447" w14:textId="77777777" w:rsidR="00BC27E9" w:rsidRPr="00954407" w:rsidRDefault="00BC27E9" w:rsidP="00220FA8">
            <w:pPr>
              <w:pStyle w:val="EstilodePrrafoNormal1RdeC"/>
              <w:rPr>
                <w:color w:val="auto"/>
                <w:spacing w:val="0"/>
                <w:sz w:val="18"/>
                <w:szCs w:val="18"/>
                <w:lang w:eastAsia="es-DO"/>
              </w:rPr>
            </w:pPr>
          </w:p>
          <w:p w14:paraId="6E5BA677" w14:textId="77777777" w:rsidR="00BC27E9" w:rsidRPr="00954407" w:rsidRDefault="00BC27E9" w:rsidP="00220FA8">
            <w:pPr>
              <w:pStyle w:val="EstilodePrrafoNormal1RdeC"/>
              <w:rPr>
                <w:color w:val="auto"/>
                <w:spacing w:val="0"/>
                <w:sz w:val="18"/>
                <w:szCs w:val="18"/>
                <w:lang w:eastAsia="es-DO"/>
              </w:rPr>
            </w:pPr>
          </w:p>
          <w:p w14:paraId="4D0E18CB" w14:textId="77777777" w:rsidR="00BC27E9" w:rsidRPr="00954407" w:rsidRDefault="00BC27E9" w:rsidP="00220FA8">
            <w:pPr>
              <w:pStyle w:val="EstilodePrrafoNormal1RdeC"/>
              <w:rPr>
                <w:color w:val="auto"/>
                <w:spacing w:val="0"/>
                <w:sz w:val="18"/>
                <w:szCs w:val="18"/>
                <w:lang w:eastAsia="es-DO"/>
              </w:rPr>
            </w:pPr>
          </w:p>
          <w:p w14:paraId="30D9FD70"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403</w:t>
            </w:r>
          </w:p>
        </w:tc>
        <w:tc>
          <w:tcPr>
            <w:tcW w:w="1254" w:type="dxa"/>
            <w:hideMark/>
          </w:tcPr>
          <w:p w14:paraId="35DC756C" w14:textId="77777777" w:rsidR="00BC27E9" w:rsidRPr="00954407" w:rsidRDefault="00BC27E9" w:rsidP="00220FA8">
            <w:pPr>
              <w:pStyle w:val="EstilodePrrafoNormal1RdeC"/>
              <w:rPr>
                <w:color w:val="auto"/>
                <w:spacing w:val="0"/>
                <w:sz w:val="18"/>
                <w:szCs w:val="18"/>
                <w:lang w:eastAsia="es-DO"/>
              </w:rPr>
            </w:pPr>
          </w:p>
          <w:p w14:paraId="659191DD" w14:textId="77777777" w:rsidR="00BC27E9" w:rsidRPr="00954407" w:rsidRDefault="00BC27E9" w:rsidP="00220FA8">
            <w:pPr>
              <w:pStyle w:val="EstilodePrrafoNormal1RdeC"/>
              <w:rPr>
                <w:color w:val="auto"/>
                <w:spacing w:val="0"/>
                <w:sz w:val="18"/>
                <w:szCs w:val="18"/>
                <w:lang w:eastAsia="es-DO"/>
              </w:rPr>
            </w:pPr>
          </w:p>
          <w:p w14:paraId="1C95BF20" w14:textId="77777777" w:rsidR="00BC27E9" w:rsidRPr="00954407" w:rsidRDefault="00BC27E9" w:rsidP="00220FA8">
            <w:pPr>
              <w:pStyle w:val="EstilodePrrafoNormal1RdeC"/>
              <w:rPr>
                <w:color w:val="auto"/>
                <w:spacing w:val="0"/>
                <w:sz w:val="18"/>
                <w:szCs w:val="18"/>
                <w:lang w:eastAsia="es-DO"/>
              </w:rPr>
            </w:pPr>
          </w:p>
          <w:p w14:paraId="37D2016C" w14:textId="77777777" w:rsidR="00BC27E9" w:rsidRPr="00954407" w:rsidRDefault="00BC27E9" w:rsidP="00220FA8">
            <w:pPr>
              <w:pStyle w:val="EstilodePrrafoNormal1RdeC"/>
              <w:rPr>
                <w:color w:val="auto"/>
                <w:spacing w:val="0"/>
                <w:sz w:val="18"/>
                <w:szCs w:val="18"/>
                <w:lang w:eastAsia="es-DO"/>
              </w:rPr>
            </w:pPr>
          </w:p>
          <w:p w14:paraId="0E8D5B10" w14:textId="77777777" w:rsidR="00BC27E9" w:rsidRPr="00954407" w:rsidRDefault="00BC27E9" w:rsidP="00220FA8">
            <w:pPr>
              <w:pStyle w:val="EstilodePrrafoNormal1RdeC"/>
              <w:rPr>
                <w:color w:val="auto"/>
                <w:spacing w:val="0"/>
                <w:sz w:val="18"/>
                <w:szCs w:val="18"/>
                <w:lang w:eastAsia="es-DO"/>
              </w:rPr>
            </w:pPr>
          </w:p>
          <w:p w14:paraId="5FEB2B95" w14:textId="77777777" w:rsidR="00BC27E9" w:rsidRPr="00954407" w:rsidRDefault="00BC27E9" w:rsidP="00220FA8">
            <w:pPr>
              <w:pStyle w:val="EstilodePrrafoNormal1RdeC"/>
              <w:rPr>
                <w:color w:val="auto"/>
                <w:spacing w:val="0"/>
                <w:sz w:val="18"/>
                <w:szCs w:val="18"/>
                <w:lang w:eastAsia="es-DO"/>
              </w:rPr>
            </w:pPr>
          </w:p>
          <w:p w14:paraId="5BF3EADD" w14:textId="77777777" w:rsidR="00BC27E9" w:rsidRPr="00954407" w:rsidRDefault="00BC27E9" w:rsidP="00220FA8">
            <w:pPr>
              <w:pStyle w:val="EstilodePrrafoNormal1RdeC"/>
              <w:rPr>
                <w:color w:val="auto"/>
                <w:spacing w:val="0"/>
                <w:sz w:val="18"/>
                <w:szCs w:val="18"/>
                <w:lang w:eastAsia="es-DO"/>
              </w:rPr>
            </w:pPr>
          </w:p>
          <w:p w14:paraId="3786042A"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59% de los evaluados</w:t>
            </w:r>
          </w:p>
        </w:tc>
        <w:tc>
          <w:tcPr>
            <w:tcW w:w="2400" w:type="dxa"/>
            <w:hideMark/>
          </w:tcPr>
          <w:p w14:paraId="2B5A9DF8"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1.1.1.5 Fortalecer el Servicio Civil y la Carrera Administrativa, respetando la equidad de género, para dotar a la Administración Pública de personal idóneo y seleccionado por concurso que actúe con apego a la ética, transparencia y rendición de cuenta, mediante mecanismo de ingreso, estabilidad, promoción y remuneración por resultados, mérito, idoneidad profesional y ética.</w:t>
            </w:r>
          </w:p>
        </w:tc>
      </w:tr>
      <w:tr w:rsidR="00BC27E9" w:rsidRPr="00954407" w14:paraId="1A1A5561" w14:textId="77777777" w:rsidTr="00220FA8">
        <w:trPr>
          <w:trHeight w:val="402"/>
        </w:trPr>
        <w:tc>
          <w:tcPr>
            <w:tcW w:w="2250" w:type="dxa"/>
            <w:noWrap/>
            <w:hideMark/>
          </w:tcPr>
          <w:p w14:paraId="79861965"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Evaluación de Desempeño </w:t>
            </w:r>
            <w:r w:rsidRPr="00954407">
              <w:rPr>
                <w:color w:val="auto"/>
                <w:spacing w:val="0"/>
                <w:sz w:val="18"/>
                <w:szCs w:val="18"/>
                <w:lang w:eastAsia="es-DO"/>
              </w:rPr>
              <w:lastRenderedPageBreak/>
              <w:t>de los servidores y funcionarios de la Administración Pública</w:t>
            </w:r>
          </w:p>
        </w:tc>
        <w:tc>
          <w:tcPr>
            <w:tcW w:w="2203" w:type="dxa"/>
            <w:hideMark/>
          </w:tcPr>
          <w:p w14:paraId="28891E45" w14:textId="77777777" w:rsidR="00BC27E9" w:rsidRPr="00954407" w:rsidRDefault="00BC27E9" w:rsidP="00220FA8">
            <w:pPr>
              <w:pStyle w:val="EstilodePrrafoNormal1RdeC"/>
              <w:rPr>
                <w:color w:val="auto"/>
                <w:spacing w:val="0"/>
                <w:sz w:val="18"/>
                <w:szCs w:val="18"/>
                <w:lang w:eastAsia="es-DO"/>
              </w:rPr>
            </w:pPr>
          </w:p>
          <w:p w14:paraId="2F5B0A2B"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lastRenderedPageBreak/>
              <w:t>5,065</w:t>
            </w:r>
          </w:p>
        </w:tc>
        <w:tc>
          <w:tcPr>
            <w:tcW w:w="1254" w:type="dxa"/>
            <w:hideMark/>
          </w:tcPr>
          <w:p w14:paraId="52A1E9F0" w14:textId="77777777" w:rsidR="00BC27E9" w:rsidRPr="00954407" w:rsidRDefault="00BC27E9" w:rsidP="00220FA8">
            <w:pPr>
              <w:pStyle w:val="EstilodePrrafoNormal1RdeC"/>
              <w:rPr>
                <w:color w:val="auto"/>
                <w:spacing w:val="0"/>
                <w:sz w:val="18"/>
                <w:szCs w:val="18"/>
                <w:lang w:eastAsia="es-DO"/>
              </w:rPr>
            </w:pPr>
          </w:p>
          <w:p w14:paraId="28987F9E"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lastRenderedPageBreak/>
              <w:t>98%</w:t>
            </w:r>
          </w:p>
        </w:tc>
        <w:tc>
          <w:tcPr>
            <w:tcW w:w="2400" w:type="dxa"/>
            <w:hideMark/>
          </w:tcPr>
          <w:p w14:paraId="7D64ABA8" w14:textId="77777777" w:rsidR="00BC27E9" w:rsidRPr="00954407" w:rsidRDefault="00BC27E9" w:rsidP="00220FA8">
            <w:pPr>
              <w:pStyle w:val="EstilodePrrafoNormal1RdeC"/>
              <w:rPr>
                <w:color w:val="auto"/>
                <w:spacing w:val="0"/>
                <w:sz w:val="18"/>
                <w:szCs w:val="18"/>
                <w:lang w:eastAsia="es-DO"/>
              </w:rPr>
            </w:pPr>
          </w:p>
        </w:tc>
      </w:tr>
      <w:tr w:rsidR="00BC27E9" w:rsidRPr="00954407" w14:paraId="7A7F1FBB" w14:textId="77777777" w:rsidTr="00220FA8">
        <w:trPr>
          <w:trHeight w:val="402"/>
        </w:trPr>
        <w:tc>
          <w:tcPr>
            <w:tcW w:w="2250" w:type="dxa"/>
            <w:noWrap/>
            <w:hideMark/>
          </w:tcPr>
          <w:p w14:paraId="7F4A1BC3" w14:textId="77777777" w:rsidR="00BC27E9" w:rsidRPr="00954407" w:rsidRDefault="00BC27E9" w:rsidP="00220FA8">
            <w:pPr>
              <w:pStyle w:val="EstilodePrrafoNormal1RdeC"/>
              <w:rPr>
                <w:color w:val="auto"/>
                <w:spacing w:val="0"/>
                <w:sz w:val="18"/>
                <w:szCs w:val="18"/>
                <w:lang w:eastAsia="es-DO"/>
              </w:rPr>
            </w:pPr>
          </w:p>
          <w:p w14:paraId="59180A83"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Proceso de Evaluación para la Incorporación a la Carrera Administrativa</w:t>
            </w:r>
          </w:p>
          <w:p w14:paraId="0A583B67" w14:textId="77777777" w:rsidR="00BC27E9" w:rsidRPr="00954407" w:rsidRDefault="00BC27E9" w:rsidP="00220FA8">
            <w:pPr>
              <w:pStyle w:val="EstilodePrrafoNormal1RdeC"/>
              <w:rPr>
                <w:color w:val="auto"/>
                <w:spacing w:val="0"/>
                <w:sz w:val="18"/>
                <w:szCs w:val="18"/>
                <w:lang w:eastAsia="es-DO"/>
              </w:rPr>
            </w:pPr>
          </w:p>
        </w:tc>
        <w:tc>
          <w:tcPr>
            <w:tcW w:w="2203" w:type="dxa"/>
            <w:hideMark/>
          </w:tcPr>
          <w:p w14:paraId="75EBA2E6" w14:textId="77777777" w:rsidR="00BC27E9" w:rsidRPr="00954407" w:rsidRDefault="00BC27E9" w:rsidP="00220FA8">
            <w:pPr>
              <w:pStyle w:val="EstilodePrrafoNormal1RdeC"/>
              <w:rPr>
                <w:color w:val="auto"/>
                <w:spacing w:val="0"/>
                <w:sz w:val="18"/>
                <w:szCs w:val="18"/>
                <w:lang w:eastAsia="es-DO"/>
              </w:rPr>
            </w:pPr>
          </w:p>
          <w:p w14:paraId="6BD55281" w14:textId="77777777" w:rsidR="00BC27E9" w:rsidRPr="00954407" w:rsidRDefault="00BC27E9" w:rsidP="00220FA8">
            <w:pPr>
              <w:pStyle w:val="EstilodePrrafoNormal1RdeC"/>
              <w:rPr>
                <w:color w:val="auto"/>
                <w:spacing w:val="0"/>
                <w:sz w:val="18"/>
                <w:szCs w:val="18"/>
                <w:lang w:eastAsia="es-DO"/>
              </w:rPr>
            </w:pPr>
          </w:p>
          <w:p w14:paraId="71CB0FED"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w:t>
            </w:r>
          </w:p>
        </w:tc>
        <w:tc>
          <w:tcPr>
            <w:tcW w:w="1254" w:type="dxa"/>
            <w:hideMark/>
          </w:tcPr>
          <w:p w14:paraId="162EFB0D"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w:t>
            </w:r>
          </w:p>
        </w:tc>
        <w:tc>
          <w:tcPr>
            <w:tcW w:w="2400" w:type="dxa"/>
            <w:hideMark/>
          </w:tcPr>
          <w:p w14:paraId="2361D041" w14:textId="77777777" w:rsidR="00BC27E9" w:rsidRPr="00954407" w:rsidRDefault="00BC27E9" w:rsidP="00220FA8">
            <w:pPr>
              <w:pStyle w:val="EstilodePrrafoNormal1RdeC"/>
              <w:rPr>
                <w:color w:val="auto"/>
                <w:spacing w:val="0"/>
                <w:sz w:val="18"/>
                <w:szCs w:val="18"/>
                <w:lang w:eastAsia="es-DO"/>
              </w:rPr>
            </w:pPr>
          </w:p>
        </w:tc>
      </w:tr>
      <w:tr w:rsidR="00BC27E9" w:rsidRPr="00954407" w14:paraId="5EC8BA91" w14:textId="77777777" w:rsidTr="00220FA8">
        <w:trPr>
          <w:trHeight w:val="402"/>
        </w:trPr>
        <w:tc>
          <w:tcPr>
            <w:tcW w:w="2250" w:type="dxa"/>
            <w:noWrap/>
            <w:hideMark/>
          </w:tcPr>
          <w:p w14:paraId="79F14C21" w14:textId="77777777" w:rsidR="00BC27E9" w:rsidRPr="00954407" w:rsidRDefault="00BC27E9" w:rsidP="00220FA8">
            <w:pPr>
              <w:pStyle w:val="EstilodePrrafoNormal1RdeC"/>
              <w:rPr>
                <w:color w:val="auto"/>
                <w:spacing w:val="0"/>
                <w:sz w:val="18"/>
                <w:szCs w:val="18"/>
                <w:lang w:eastAsia="es-DO"/>
              </w:rPr>
            </w:pPr>
          </w:p>
          <w:p w14:paraId="3902904A" w14:textId="77777777" w:rsidR="00BC27E9" w:rsidRPr="00954407" w:rsidRDefault="00BC27E9" w:rsidP="00220FA8">
            <w:pPr>
              <w:pStyle w:val="EstilodePrrafoNormal1RdeC"/>
              <w:rPr>
                <w:color w:val="auto"/>
                <w:spacing w:val="0"/>
                <w:sz w:val="18"/>
                <w:szCs w:val="18"/>
                <w:lang w:eastAsia="es-DO"/>
              </w:rPr>
            </w:pPr>
          </w:p>
          <w:p w14:paraId="32663BED" w14:textId="77777777" w:rsidR="00BC27E9" w:rsidRPr="00954407" w:rsidRDefault="00BC27E9" w:rsidP="00220FA8">
            <w:pPr>
              <w:pStyle w:val="EstilodePrrafoNormal1RdeC"/>
              <w:rPr>
                <w:color w:val="auto"/>
                <w:spacing w:val="0"/>
                <w:sz w:val="18"/>
                <w:szCs w:val="18"/>
                <w:lang w:eastAsia="es-DO"/>
              </w:rPr>
            </w:pPr>
          </w:p>
          <w:p w14:paraId="1715D329" w14:textId="77777777" w:rsidR="00BC27E9" w:rsidRPr="00954407" w:rsidRDefault="00BC27E9" w:rsidP="00220FA8">
            <w:pPr>
              <w:pStyle w:val="EstilodePrrafoNormal1RdeC"/>
              <w:rPr>
                <w:color w:val="auto"/>
                <w:spacing w:val="0"/>
                <w:sz w:val="18"/>
                <w:szCs w:val="18"/>
                <w:lang w:eastAsia="es-DO"/>
              </w:rPr>
            </w:pPr>
          </w:p>
          <w:p w14:paraId="3B527A20"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Elaboración de Actas de Conciliación</w:t>
            </w:r>
          </w:p>
        </w:tc>
        <w:tc>
          <w:tcPr>
            <w:tcW w:w="2203" w:type="dxa"/>
            <w:hideMark/>
          </w:tcPr>
          <w:p w14:paraId="6623FA3C" w14:textId="77777777" w:rsidR="00BC27E9" w:rsidRPr="00954407" w:rsidRDefault="00BC27E9" w:rsidP="00220FA8">
            <w:pPr>
              <w:pStyle w:val="EstilodePrrafoNormal1RdeC"/>
              <w:rPr>
                <w:color w:val="auto"/>
                <w:spacing w:val="0"/>
                <w:sz w:val="18"/>
                <w:szCs w:val="18"/>
                <w:lang w:eastAsia="es-DO"/>
              </w:rPr>
            </w:pPr>
          </w:p>
          <w:p w14:paraId="0D43BD1F" w14:textId="77777777" w:rsidR="00BC27E9" w:rsidRPr="00954407" w:rsidRDefault="00BC27E9" w:rsidP="00220FA8">
            <w:pPr>
              <w:pStyle w:val="EstilodePrrafoNormal1RdeC"/>
              <w:rPr>
                <w:color w:val="auto"/>
                <w:spacing w:val="0"/>
                <w:sz w:val="18"/>
                <w:szCs w:val="18"/>
                <w:lang w:eastAsia="es-DO"/>
              </w:rPr>
            </w:pPr>
          </w:p>
          <w:p w14:paraId="7ABB0242" w14:textId="77777777" w:rsidR="00BC27E9" w:rsidRPr="00954407" w:rsidRDefault="00BC27E9" w:rsidP="00220FA8">
            <w:pPr>
              <w:pStyle w:val="EstilodePrrafoNormal1RdeC"/>
              <w:rPr>
                <w:color w:val="auto"/>
                <w:spacing w:val="0"/>
                <w:sz w:val="18"/>
                <w:szCs w:val="18"/>
                <w:lang w:eastAsia="es-DO"/>
              </w:rPr>
            </w:pPr>
          </w:p>
          <w:p w14:paraId="7352A06D" w14:textId="77777777" w:rsidR="00BC27E9" w:rsidRPr="00954407" w:rsidRDefault="00BC27E9" w:rsidP="00220FA8">
            <w:pPr>
              <w:pStyle w:val="EstilodePrrafoNormal1RdeC"/>
              <w:rPr>
                <w:color w:val="auto"/>
                <w:spacing w:val="0"/>
                <w:sz w:val="18"/>
                <w:szCs w:val="18"/>
                <w:lang w:eastAsia="es-DO"/>
              </w:rPr>
            </w:pPr>
          </w:p>
          <w:p w14:paraId="43E15894"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0</w:t>
            </w:r>
          </w:p>
        </w:tc>
        <w:tc>
          <w:tcPr>
            <w:tcW w:w="1254" w:type="dxa"/>
            <w:hideMark/>
          </w:tcPr>
          <w:p w14:paraId="370FFDA8" w14:textId="77777777" w:rsidR="00BC27E9" w:rsidRPr="00954407" w:rsidRDefault="00BC27E9" w:rsidP="00220FA8">
            <w:pPr>
              <w:pStyle w:val="EstilodePrrafoNormal1RdeC"/>
              <w:rPr>
                <w:color w:val="auto"/>
                <w:spacing w:val="0"/>
                <w:sz w:val="18"/>
                <w:szCs w:val="18"/>
                <w:lang w:eastAsia="es-DO"/>
              </w:rPr>
            </w:pPr>
          </w:p>
          <w:p w14:paraId="7B82F257" w14:textId="77777777" w:rsidR="00BC27E9" w:rsidRPr="00954407" w:rsidRDefault="00BC27E9" w:rsidP="00220FA8">
            <w:pPr>
              <w:pStyle w:val="EstilodePrrafoNormal1RdeC"/>
              <w:rPr>
                <w:color w:val="auto"/>
                <w:spacing w:val="0"/>
                <w:sz w:val="18"/>
                <w:szCs w:val="18"/>
                <w:lang w:eastAsia="es-DO"/>
              </w:rPr>
            </w:pPr>
          </w:p>
          <w:p w14:paraId="6997EB6A" w14:textId="77777777" w:rsidR="00BC27E9" w:rsidRPr="00954407" w:rsidRDefault="00BC27E9" w:rsidP="00220FA8">
            <w:pPr>
              <w:pStyle w:val="EstilodePrrafoNormal1RdeC"/>
              <w:rPr>
                <w:color w:val="auto"/>
                <w:spacing w:val="0"/>
                <w:sz w:val="18"/>
                <w:szCs w:val="18"/>
                <w:lang w:eastAsia="es-DO"/>
              </w:rPr>
            </w:pPr>
          </w:p>
          <w:p w14:paraId="042F2C6F" w14:textId="77777777" w:rsidR="00BC27E9" w:rsidRPr="00954407" w:rsidRDefault="00BC27E9" w:rsidP="00220FA8">
            <w:pPr>
              <w:pStyle w:val="EstilodePrrafoNormal1RdeC"/>
              <w:rPr>
                <w:color w:val="auto"/>
                <w:spacing w:val="0"/>
                <w:sz w:val="18"/>
                <w:szCs w:val="18"/>
                <w:lang w:eastAsia="es-DO"/>
              </w:rPr>
            </w:pPr>
          </w:p>
          <w:p w14:paraId="20C85985"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0%</w:t>
            </w:r>
          </w:p>
        </w:tc>
        <w:tc>
          <w:tcPr>
            <w:tcW w:w="2400" w:type="dxa"/>
            <w:hideMark/>
          </w:tcPr>
          <w:p w14:paraId="411F09D3"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1.1.1.5 Fortalecer el Servicio Civil y la Carrera Administrativa, respetando la equidad de género, para dotar a la Administración Pública de personal idóneo y seleccionado por concurso que actúe con apego a la ética, transparencia y rendición de cuenta, mediante mecanismo de ingreso, estabilidad, promoción y remuneración por resultados, mérito, idoneidad profesional y ética.</w:t>
            </w:r>
          </w:p>
        </w:tc>
      </w:tr>
      <w:tr w:rsidR="00BC27E9" w:rsidRPr="00954407" w14:paraId="0014BA5F" w14:textId="77777777" w:rsidTr="00220FA8">
        <w:trPr>
          <w:trHeight w:val="402"/>
        </w:trPr>
        <w:tc>
          <w:tcPr>
            <w:tcW w:w="2250" w:type="dxa"/>
            <w:noWrap/>
            <w:hideMark/>
          </w:tcPr>
          <w:p w14:paraId="0FF70D6C" w14:textId="77777777" w:rsidR="00BC27E9" w:rsidRPr="00954407" w:rsidRDefault="00BC27E9" w:rsidP="00220FA8">
            <w:pPr>
              <w:pStyle w:val="EstilodePrrafoNormal1RdeC"/>
              <w:rPr>
                <w:color w:val="auto"/>
                <w:spacing w:val="0"/>
                <w:sz w:val="18"/>
                <w:szCs w:val="18"/>
                <w:lang w:eastAsia="es-DO"/>
              </w:rPr>
            </w:pPr>
          </w:p>
          <w:p w14:paraId="13CAA9F3"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Amonestaciones</w:t>
            </w:r>
          </w:p>
        </w:tc>
        <w:tc>
          <w:tcPr>
            <w:tcW w:w="2203" w:type="dxa"/>
            <w:hideMark/>
          </w:tcPr>
          <w:p w14:paraId="60E68E37" w14:textId="77777777" w:rsidR="00BC27E9" w:rsidRPr="00954407" w:rsidRDefault="00BC27E9" w:rsidP="00220FA8">
            <w:pPr>
              <w:pStyle w:val="EstilodePrrafoNormal1RdeC"/>
              <w:rPr>
                <w:color w:val="auto"/>
                <w:spacing w:val="0"/>
                <w:sz w:val="18"/>
                <w:szCs w:val="18"/>
                <w:lang w:eastAsia="es-DO"/>
              </w:rPr>
            </w:pPr>
          </w:p>
          <w:p w14:paraId="07EAC401"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110</w:t>
            </w:r>
          </w:p>
        </w:tc>
        <w:tc>
          <w:tcPr>
            <w:tcW w:w="1254" w:type="dxa"/>
            <w:hideMark/>
          </w:tcPr>
          <w:p w14:paraId="546DFCAE" w14:textId="56CBD1D4"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100% de las que </w:t>
            </w:r>
            <w:r w:rsidR="005D6D6C" w:rsidRPr="00954407">
              <w:rPr>
                <w:color w:val="auto"/>
                <w:spacing w:val="0"/>
                <w:sz w:val="18"/>
                <w:szCs w:val="18"/>
                <w:lang w:eastAsia="es-DO"/>
              </w:rPr>
              <w:t>reunían</w:t>
            </w:r>
            <w:r w:rsidRPr="00954407">
              <w:rPr>
                <w:color w:val="auto"/>
                <w:spacing w:val="0"/>
                <w:sz w:val="18"/>
                <w:szCs w:val="18"/>
                <w:lang w:eastAsia="es-DO"/>
              </w:rPr>
              <w:t xml:space="preserve"> los requisitos</w:t>
            </w:r>
          </w:p>
          <w:p w14:paraId="1A838065" w14:textId="77777777" w:rsidR="00BC27E9" w:rsidRPr="00954407" w:rsidRDefault="00BC27E9" w:rsidP="00220FA8">
            <w:pPr>
              <w:pStyle w:val="EstilodePrrafoNormal1RdeC"/>
              <w:rPr>
                <w:color w:val="auto"/>
                <w:spacing w:val="0"/>
                <w:sz w:val="18"/>
                <w:szCs w:val="18"/>
                <w:lang w:eastAsia="es-DO"/>
              </w:rPr>
            </w:pPr>
          </w:p>
        </w:tc>
        <w:tc>
          <w:tcPr>
            <w:tcW w:w="2400" w:type="dxa"/>
            <w:hideMark/>
          </w:tcPr>
          <w:p w14:paraId="41E16CB9" w14:textId="77777777" w:rsidR="00BC27E9" w:rsidRPr="00954407" w:rsidRDefault="00BC27E9" w:rsidP="00220FA8">
            <w:pPr>
              <w:pStyle w:val="EstilodePrrafoNormal1RdeC"/>
              <w:rPr>
                <w:color w:val="auto"/>
                <w:spacing w:val="0"/>
                <w:sz w:val="18"/>
                <w:szCs w:val="18"/>
                <w:lang w:eastAsia="es-DO"/>
              </w:rPr>
            </w:pPr>
          </w:p>
        </w:tc>
      </w:tr>
      <w:tr w:rsidR="00BC27E9" w:rsidRPr="00954407" w14:paraId="5AB9B99C" w14:textId="77777777" w:rsidTr="00220FA8">
        <w:trPr>
          <w:trHeight w:val="402"/>
        </w:trPr>
        <w:tc>
          <w:tcPr>
            <w:tcW w:w="2250" w:type="dxa"/>
            <w:noWrap/>
            <w:hideMark/>
          </w:tcPr>
          <w:p w14:paraId="363E74BA" w14:textId="77777777" w:rsidR="00BC27E9" w:rsidRPr="00954407" w:rsidRDefault="00BC27E9" w:rsidP="00220FA8">
            <w:pPr>
              <w:pStyle w:val="EstilodePrrafoNormal1RdeC"/>
              <w:rPr>
                <w:color w:val="auto"/>
                <w:spacing w:val="0"/>
                <w:sz w:val="18"/>
                <w:szCs w:val="18"/>
                <w:lang w:eastAsia="es-DO"/>
              </w:rPr>
            </w:pPr>
          </w:p>
          <w:p w14:paraId="1510CF7A" w14:textId="77777777" w:rsidR="00BC27E9" w:rsidRPr="00954407" w:rsidRDefault="00BC27E9" w:rsidP="00220FA8">
            <w:pPr>
              <w:pStyle w:val="EstilodePrrafoNormal1RdeC"/>
              <w:rPr>
                <w:color w:val="auto"/>
                <w:spacing w:val="0"/>
                <w:sz w:val="18"/>
                <w:szCs w:val="18"/>
                <w:lang w:eastAsia="es-DO"/>
              </w:rPr>
            </w:pPr>
          </w:p>
          <w:p w14:paraId="40F43C82" w14:textId="77777777" w:rsidR="00BC27E9" w:rsidRPr="00954407" w:rsidRDefault="00BC27E9" w:rsidP="00220FA8">
            <w:pPr>
              <w:pStyle w:val="EstilodePrrafoNormal1RdeC"/>
              <w:rPr>
                <w:color w:val="auto"/>
                <w:spacing w:val="0"/>
                <w:sz w:val="18"/>
                <w:szCs w:val="18"/>
                <w:lang w:eastAsia="es-DO"/>
              </w:rPr>
            </w:pPr>
          </w:p>
          <w:p w14:paraId="74C2221D" w14:textId="77777777" w:rsidR="00BC27E9" w:rsidRPr="00954407" w:rsidRDefault="00BC27E9" w:rsidP="00220FA8">
            <w:pPr>
              <w:pStyle w:val="EstilodePrrafoNormal1RdeC"/>
              <w:rPr>
                <w:color w:val="auto"/>
                <w:spacing w:val="0"/>
                <w:sz w:val="18"/>
                <w:szCs w:val="18"/>
                <w:lang w:eastAsia="es-DO"/>
              </w:rPr>
            </w:pPr>
          </w:p>
          <w:p w14:paraId="56A39909" w14:textId="77777777" w:rsidR="00BC27E9" w:rsidRPr="00954407" w:rsidRDefault="00BC27E9" w:rsidP="00220FA8">
            <w:pPr>
              <w:pStyle w:val="EstilodePrrafoNormal1RdeC"/>
              <w:rPr>
                <w:color w:val="auto"/>
                <w:spacing w:val="0"/>
                <w:sz w:val="18"/>
                <w:szCs w:val="18"/>
                <w:lang w:eastAsia="es-DO"/>
              </w:rPr>
            </w:pPr>
          </w:p>
          <w:p w14:paraId="5D32DAB0" w14:textId="77777777" w:rsidR="00BC27E9" w:rsidRPr="00954407" w:rsidRDefault="00BC27E9" w:rsidP="00220FA8">
            <w:pPr>
              <w:pStyle w:val="EstilodePrrafoNormal1RdeC"/>
              <w:rPr>
                <w:color w:val="auto"/>
                <w:spacing w:val="0"/>
                <w:sz w:val="18"/>
                <w:szCs w:val="18"/>
                <w:lang w:eastAsia="es-DO"/>
              </w:rPr>
            </w:pPr>
          </w:p>
          <w:p w14:paraId="02FC8BC6" w14:textId="77777777" w:rsidR="00BC27E9" w:rsidRPr="00954407" w:rsidRDefault="00BC27E9" w:rsidP="00220FA8">
            <w:pPr>
              <w:pStyle w:val="EstilodePrrafoNormal1RdeC"/>
              <w:rPr>
                <w:color w:val="auto"/>
                <w:spacing w:val="0"/>
                <w:sz w:val="18"/>
                <w:szCs w:val="18"/>
                <w:lang w:eastAsia="es-DO"/>
              </w:rPr>
            </w:pPr>
          </w:p>
          <w:p w14:paraId="2D8AEBBE"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Pagos de indemnizaciones y/o vacaciones no disfrutadas</w:t>
            </w:r>
          </w:p>
        </w:tc>
        <w:tc>
          <w:tcPr>
            <w:tcW w:w="2203" w:type="dxa"/>
            <w:hideMark/>
          </w:tcPr>
          <w:p w14:paraId="4582B66F" w14:textId="77777777" w:rsidR="00BC27E9" w:rsidRPr="00954407" w:rsidRDefault="00BC27E9" w:rsidP="00220FA8">
            <w:pPr>
              <w:pStyle w:val="EstilodePrrafoNormal1RdeC"/>
              <w:rPr>
                <w:color w:val="auto"/>
                <w:spacing w:val="0"/>
                <w:sz w:val="18"/>
                <w:szCs w:val="18"/>
                <w:lang w:eastAsia="es-DO"/>
              </w:rPr>
            </w:pPr>
          </w:p>
          <w:p w14:paraId="429DAC12" w14:textId="77777777" w:rsidR="00BC27E9" w:rsidRPr="00954407" w:rsidRDefault="00BC27E9" w:rsidP="00220FA8">
            <w:pPr>
              <w:pStyle w:val="EstilodePrrafoNormal1RdeC"/>
              <w:rPr>
                <w:color w:val="auto"/>
                <w:spacing w:val="0"/>
                <w:sz w:val="18"/>
                <w:szCs w:val="18"/>
                <w:lang w:eastAsia="es-DO"/>
              </w:rPr>
            </w:pPr>
          </w:p>
          <w:p w14:paraId="35DF1006" w14:textId="77777777" w:rsidR="00BC27E9" w:rsidRPr="00954407" w:rsidRDefault="00BC27E9" w:rsidP="00220FA8">
            <w:pPr>
              <w:pStyle w:val="EstilodePrrafoNormal1RdeC"/>
              <w:rPr>
                <w:color w:val="auto"/>
                <w:spacing w:val="0"/>
                <w:sz w:val="18"/>
                <w:szCs w:val="18"/>
                <w:lang w:eastAsia="es-DO"/>
              </w:rPr>
            </w:pPr>
          </w:p>
          <w:p w14:paraId="497675B8" w14:textId="77777777" w:rsidR="00BC27E9" w:rsidRPr="00954407" w:rsidRDefault="00BC27E9" w:rsidP="00220FA8">
            <w:pPr>
              <w:pStyle w:val="EstilodePrrafoNormal1RdeC"/>
              <w:rPr>
                <w:color w:val="auto"/>
                <w:spacing w:val="0"/>
                <w:sz w:val="18"/>
                <w:szCs w:val="18"/>
                <w:lang w:eastAsia="es-DO"/>
              </w:rPr>
            </w:pPr>
          </w:p>
          <w:p w14:paraId="608EEEE1" w14:textId="77777777" w:rsidR="00BC27E9" w:rsidRPr="00954407" w:rsidRDefault="00BC27E9" w:rsidP="00220FA8">
            <w:pPr>
              <w:pStyle w:val="EstilodePrrafoNormal1RdeC"/>
              <w:rPr>
                <w:color w:val="auto"/>
                <w:spacing w:val="0"/>
                <w:sz w:val="18"/>
                <w:szCs w:val="18"/>
                <w:lang w:eastAsia="es-DO"/>
              </w:rPr>
            </w:pPr>
          </w:p>
          <w:p w14:paraId="666F222D" w14:textId="77777777" w:rsidR="00BC27E9" w:rsidRPr="00954407" w:rsidRDefault="00BC27E9" w:rsidP="00220FA8">
            <w:pPr>
              <w:pStyle w:val="EstilodePrrafoNormal1RdeC"/>
              <w:rPr>
                <w:color w:val="auto"/>
                <w:spacing w:val="0"/>
                <w:sz w:val="18"/>
                <w:szCs w:val="18"/>
                <w:lang w:eastAsia="es-DO"/>
              </w:rPr>
            </w:pPr>
          </w:p>
          <w:p w14:paraId="507EFC87" w14:textId="0BED2C60" w:rsidR="00BC27E9" w:rsidRPr="00954407" w:rsidRDefault="005D6D6C" w:rsidP="00220FA8">
            <w:pPr>
              <w:pStyle w:val="EstilodePrrafoNormal1RdeC"/>
              <w:rPr>
                <w:color w:val="auto"/>
                <w:spacing w:val="0"/>
                <w:sz w:val="18"/>
                <w:szCs w:val="18"/>
                <w:lang w:eastAsia="es-DO"/>
              </w:rPr>
            </w:pPr>
            <w:r w:rsidRPr="00954407">
              <w:rPr>
                <w:color w:val="auto"/>
                <w:spacing w:val="0"/>
                <w:sz w:val="18"/>
                <w:szCs w:val="18"/>
                <w:lang w:eastAsia="es-DO"/>
              </w:rPr>
              <w:t>Indemnización</w:t>
            </w:r>
            <w:r w:rsidR="00BC27E9" w:rsidRPr="00954407">
              <w:rPr>
                <w:color w:val="auto"/>
                <w:spacing w:val="0"/>
                <w:sz w:val="18"/>
                <w:szCs w:val="18"/>
                <w:lang w:eastAsia="es-DO"/>
              </w:rPr>
              <w:t xml:space="preserve"> = RD$35,454.932.</w:t>
            </w:r>
            <w:r w:rsidR="00B84A23" w:rsidRPr="00954407">
              <w:rPr>
                <w:color w:val="auto"/>
                <w:spacing w:val="0"/>
                <w:sz w:val="18"/>
                <w:szCs w:val="18"/>
                <w:lang w:eastAsia="es-DO"/>
              </w:rPr>
              <w:t xml:space="preserve">74;  </w:t>
            </w:r>
            <w:r w:rsidR="00BC27E9" w:rsidRPr="00954407">
              <w:rPr>
                <w:color w:val="auto"/>
                <w:spacing w:val="0"/>
                <w:sz w:val="18"/>
                <w:szCs w:val="18"/>
                <w:lang w:eastAsia="es-DO"/>
              </w:rPr>
              <w:t xml:space="preserve">  Vacaciones No Disfrutadas = RD$34,452,755.21           </w:t>
            </w:r>
          </w:p>
        </w:tc>
        <w:tc>
          <w:tcPr>
            <w:tcW w:w="1254" w:type="dxa"/>
            <w:hideMark/>
          </w:tcPr>
          <w:p w14:paraId="32AA9B43" w14:textId="77777777" w:rsidR="00BC27E9" w:rsidRPr="00954407" w:rsidRDefault="00BC27E9" w:rsidP="00220FA8">
            <w:pPr>
              <w:pStyle w:val="EstilodePrrafoNormal1RdeC"/>
              <w:rPr>
                <w:color w:val="auto"/>
                <w:spacing w:val="0"/>
                <w:sz w:val="18"/>
                <w:szCs w:val="18"/>
                <w:lang w:eastAsia="es-DO"/>
              </w:rPr>
            </w:pPr>
          </w:p>
          <w:p w14:paraId="56133979" w14:textId="77777777" w:rsidR="00BC27E9" w:rsidRPr="00954407" w:rsidRDefault="00BC27E9" w:rsidP="00220FA8">
            <w:pPr>
              <w:pStyle w:val="EstilodePrrafoNormal1RdeC"/>
              <w:rPr>
                <w:color w:val="auto"/>
                <w:spacing w:val="0"/>
                <w:sz w:val="18"/>
                <w:szCs w:val="18"/>
                <w:lang w:eastAsia="es-DO"/>
              </w:rPr>
            </w:pPr>
          </w:p>
          <w:p w14:paraId="3A90B285" w14:textId="77777777" w:rsidR="00BC27E9" w:rsidRPr="00954407" w:rsidRDefault="00BC27E9" w:rsidP="00220FA8">
            <w:pPr>
              <w:pStyle w:val="EstilodePrrafoNormal1RdeC"/>
              <w:rPr>
                <w:color w:val="auto"/>
                <w:spacing w:val="0"/>
                <w:sz w:val="18"/>
                <w:szCs w:val="18"/>
                <w:lang w:eastAsia="es-DO"/>
              </w:rPr>
            </w:pPr>
          </w:p>
          <w:p w14:paraId="5C1D70CE" w14:textId="77777777" w:rsidR="00BC27E9" w:rsidRPr="00954407" w:rsidRDefault="00BC27E9" w:rsidP="00220FA8">
            <w:pPr>
              <w:pStyle w:val="EstilodePrrafoNormal1RdeC"/>
              <w:rPr>
                <w:color w:val="auto"/>
                <w:spacing w:val="0"/>
                <w:sz w:val="18"/>
                <w:szCs w:val="18"/>
                <w:lang w:eastAsia="es-DO"/>
              </w:rPr>
            </w:pPr>
          </w:p>
          <w:p w14:paraId="707D7C87" w14:textId="77777777" w:rsidR="00BC27E9" w:rsidRPr="00954407" w:rsidRDefault="00BC27E9" w:rsidP="00220FA8">
            <w:pPr>
              <w:pStyle w:val="EstilodePrrafoNormal1RdeC"/>
              <w:rPr>
                <w:color w:val="auto"/>
                <w:spacing w:val="0"/>
                <w:sz w:val="18"/>
                <w:szCs w:val="18"/>
                <w:lang w:eastAsia="es-DO"/>
              </w:rPr>
            </w:pPr>
          </w:p>
          <w:p w14:paraId="191F4440" w14:textId="77777777" w:rsidR="00BC27E9" w:rsidRPr="00954407" w:rsidRDefault="00BC27E9" w:rsidP="00220FA8">
            <w:pPr>
              <w:pStyle w:val="EstilodePrrafoNormal1RdeC"/>
              <w:rPr>
                <w:color w:val="auto"/>
                <w:spacing w:val="0"/>
                <w:sz w:val="18"/>
                <w:szCs w:val="18"/>
                <w:lang w:eastAsia="es-DO"/>
              </w:rPr>
            </w:pPr>
          </w:p>
          <w:p w14:paraId="5F8A12CE" w14:textId="5AA968CF"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100% de las que </w:t>
            </w:r>
            <w:r w:rsidR="005D6D6C" w:rsidRPr="00954407">
              <w:rPr>
                <w:color w:val="auto"/>
                <w:spacing w:val="0"/>
                <w:sz w:val="18"/>
                <w:szCs w:val="18"/>
                <w:lang w:eastAsia="es-DO"/>
              </w:rPr>
              <w:t>reunían</w:t>
            </w:r>
            <w:r w:rsidRPr="00954407">
              <w:rPr>
                <w:color w:val="auto"/>
                <w:spacing w:val="0"/>
                <w:sz w:val="18"/>
                <w:szCs w:val="18"/>
                <w:lang w:eastAsia="es-DO"/>
              </w:rPr>
              <w:t xml:space="preserve"> los </w:t>
            </w:r>
            <w:r w:rsidR="005D6D6C" w:rsidRPr="00954407">
              <w:rPr>
                <w:color w:val="auto"/>
                <w:spacing w:val="0"/>
                <w:sz w:val="18"/>
                <w:szCs w:val="18"/>
                <w:lang w:eastAsia="es-DO"/>
              </w:rPr>
              <w:t>requisitos</w:t>
            </w:r>
          </w:p>
        </w:tc>
        <w:tc>
          <w:tcPr>
            <w:tcW w:w="2400" w:type="dxa"/>
            <w:hideMark/>
          </w:tcPr>
          <w:p w14:paraId="4F005495"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1.1.1.5 Fortalecer el Servicio Civil y la Carrera Administrativa, respetando la equidad de género, para dotar a la Administración Pública de personal idóneo y seleccionado por concurso que actúe con apego a la ética, transparencia y rendición de cuenta, mediante mecanismo de ingreso, estabilidad, promoción y remuneración por resultados, mérito, idoneidad profesional y ética.</w:t>
            </w:r>
          </w:p>
        </w:tc>
      </w:tr>
      <w:tr w:rsidR="00BC27E9" w:rsidRPr="00954407" w14:paraId="355634E9" w14:textId="77777777" w:rsidTr="00220FA8">
        <w:trPr>
          <w:trHeight w:val="402"/>
        </w:trPr>
        <w:tc>
          <w:tcPr>
            <w:tcW w:w="2250" w:type="dxa"/>
            <w:noWrap/>
            <w:hideMark/>
          </w:tcPr>
          <w:p w14:paraId="22127B94" w14:textId="6C3BD8C0"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Pago por </w:t>
            </w:r>
            <w:r w:rsidR="005D6D6C" w:rsidRPr="00954407">
              <w:rPr>
                <w:color w:val="auto"/>
                <w:spacing w:val="0"/>
                <w:sz w:val="18"/>
                <w:szCs w:val="18"/>
                <w:lang w:eastAsia="es-DO"/>
              </w:rPr>
              <w:t>Cumplimento</w:t>
            </w:r>
            <w:r w:rsidRPr="00954407">
              <w:rPr>
                <w:color w:val="auto"/>
                <w:spacing w:val="0"/>
                <w:sz w:val="18"/>
                <w:szCs w:val="18"/>
                <w:lang w:eastAsia="es-DO"/>
              </w:rPr>
              <w:t xml:space="preserve"> de Indicadores</w:t>
            </w:r>
          </w:p>
        </w:tc>
        <w:tc>
          <w:tcPr>
            <w:tcW w:w="2203" w:type="dxa"/>
            <w:hideMark/>
          </w:tcPr>
          <w:p w14:paraId="3A1B9171" w14:textId="77777777" w:rsidR="00BC27E9" w:rsidRPr="00954407" w:rsidRDefault="00BC27E9" w:rsidP="00220FA8">
            <w:pPr>
              <w:pStyle w:val="EstilodePrrafoNormal1RdeC"/>
              <w:rPr>
                <w:color w:val="auto"/>
                <w:spacing w:val="0"/>
                <w:sz w:val="18"/>
                <w:szCs w:val="18"/>
                <w:lang w:eastAsia="es-DO"/>
              </w:rPr>
            </w:pPr>
          </w:p>
          <w:p w14:paraId="4EA76A20"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RD$233,804,351.33,</w:t>
            </w:r>
          </w:p>
        </w:tc>
        <w:tc>
          <w:tcPr>
            <w:tcW w:w="1254" w:type="dxa"/>
            <w:hideMark/>
          </w:tcPr>
          <w:p w14:paraId="079F31CF" w14:textId="791444CE"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100% de los </w:t>
            </w:r>
            <w:r w:rsidR="005D6D6C" w:rsidRPr="00954407">
              <w:rPr>
                <w:color w:val="auto"/>
                <w:spacing w:val="0"/>
                <w:sz w:val="18"/>
                <w:szCs w:val="18"/>
                <w:lang w:eastAsia="es-DO"/>
              </w:rPr>
              <w:t>reunían</w:t>
            </w:r>
            <w:r w:rsidRPr="00954407">
              <w:rPr>
                <w:color w:val="auto"/>
                <w:spacing w:val="0"/>
                <w:sz w:val="18"/>
                <w:szCs w:val="18"/>
                <w:lang w:eastAsia="es-DO"/>
              </w:rPr>
              <w:t xml:space="preserve"> los </w:t>
            </w:r>
            <w:r w:rsidRPr="00954407">
              <w:rPr>
                <w:color w:val="auto"/>
                <w:spacing w:val="0"/>
                <w:sz w:val="18"/>
                <w:szCs w:val="18"/>
                <w:lang w:eastAsia="es-DO"/>
              </w:rPr>
              <w:lastRenderedPageBreak/>
              <w:t>requisitos</w:t>
            </w:r>
          </w:p>
          <w:p w14:paraId="0146800F" w14:textId="77777777" w:rsidR="00BC27E9" w:rsidRPr="00954407" w:rsidRDefault="00BC27E9" w:rsidP="00220FA8">
            <w:pPr>
              <w:pStyle w:val="EstilodePrrafoNormal1RdeC"/>
              <w:rPr>
                <w:color w:val="auto"/>
                <w:spacing w:val="0"/>
                <w:sz w:val="18"/>
                <w:szCs w:val="18"/>
                <w:lang w:eastAsia="es-DO"/>
              </w:rPr>
            </w:pPr>
          </w:p>
        </w:tc>
        <w:tc>
          <w:tcPr>
            <w:tcW w:w="2400" w:type="dxa"/>
            <w:hideMark/>
          </w:tcPr>
          <w:p w14:paraId="08AB7939" w14:textId="77777777" w:rsidR="00BC27E9" w:rsidRPr="00954407" w:rsidRDefault="00BC27E9" w:rsidP="00220FA8">
            <w:pPr>
              <w:pStyle w:val="EstilodePrrafoNormal1RdeC"/>
              <w:rPr>
                <w:color w:val="auto"/>
                <w:spacing w:val="0"/>
                <w:sz w:val="18"/>
                <w:szCs w:val="18"/>
                <w:lang w:eastAsia="es-DO"/>
              </w:rPr>
            </w:pPr>
          </w:p>
        </w:tc>
      </w:tr>
      <w:tr w:rsidR="00BC27E9" w:rsidRPr="00954407" w14:paraId="7A573684" w14:textId="77777777" w:rsidTr="00220FA8">
        <w:trPr>
          <w:trHeight w:val="402"/>
        </w:trPr>
        <w:tc>
          <w:tcPr>
            <w:tcW w:w="2250" w:type="dxa"/>
            <w:noWrap/>
            <w:hideMark/>
          </w:tcPr>
          <w:p w14:paraId="47388C46"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Pagos de Bonos por Desempeño a Servidores de la Carrera Administrativa</w:t>
            </w:r>
          </w:p>
        </w:tc>
        <w:tc>
          <w:tcPr>
            <w:tcW w:w="2203" w:type="dxa"/>
            <w:hideMark/>
          </w:tcPr>
          <w:p w14:paraId="5F6A2F69"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 </w:t>
            </w:r>
          </w:p>
          <w:p w14:paraId="07A9A65D"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RD$23,042,911.90</w:t>
            </w:r>
          </w:p>
        </w:tc>
        <w:tc>
          <w:tcPr>
            <w:tcW w:w="1254" w:type="dxa"/>
            <w:hideMark/>
          </w:tcPr>
          <w:p w14:paraId="126001C0" w14:textId="6B692095"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100% de los </w:t>
            </w:r>
            <w:r w:rsidR="005D6D6C" w:rsidRPr="00954407">
              <w:rPr>
                <w:color w:val="auto"/>
                <w:spacing w:val="0"/>
                <w:sz w:val="18"/>
                <w:szCs w:val="18"/>
                <w:lang w:eastAsia="es-DO"/>
              </w:rPr>
              <w:t>reunían</w:t>
            </w:r>
            <w:r w:rsidRPr="00954407">
              <w:rPr>
                <w:color w:val="auto"/>
                <w:spacing w:val="0"/>
                <w:sz w:val="18"/>
                <w:szCs w:val="18"/>
                <w:lang w:eastAsia="es-DO"/>
              </w:rPr>
              <w:t xml:space="preserve"> los requisitos</w:t>
            </w:r>
          </w:p>
          <w:p w14:paraId="082FCC90" w14:textId="77777777" w:rsidR="00BC27E9" w:rsidRPr="00954407" w:rsidRDefault="00BC27E9" w:rsidP="00220FA8">
            <w:pPr>
              <w:pStyle w:val="EstilodePrrafoNormal1RdeC"/>
              <w:rPr>
                <w:color w:val="auto"/>
                <w:spacing w:val="0"/>
                <w:sz w:val="18"/>
                <w:szCs w:val="18"/>
                <w:lang w:eastAsia="es-DO"/>
              </w:rPr>
            </w:pPr>
          </w:p>
        </w:tc>
        <w:tc>
          <w:tcPr>
            <w:tcW w:w="2400" w:type="dxa"/>
            <w:hideMark/>
          </w:tcPr>
          <w:p w14:paraId="2CC7716D" w14:textId="77777777" w:rsidR="00BC27E9" w:rsidRPr="00954407" w:rsidRDefault="00BC27E9" w:rsidP="00220FA8">
            <w:pPr>
              <w:pStyle w:val="EstilodePrrafoNormal1RdeC"/>
              <w:rPr>
                <w:color w:val="auto"/>
                <w:spacing w:val="0"/>
                <w:sz w:val="18"/>
                <w:szCs w:val="18"/>
                <w:lang w:eastAsia="es-DO"/>
              </w:rPr>
            </w:pPr>
          </w:p>
        </w:tc>
      </w:tr>
      <w:tr w:rsidR="00BC27E9" w:rsidRPr="00954407" w14:paraId="0F51F5BC" w14:textId="77777777" w:rsidTr="00220FA8">
        <w:trPr>
          <w:trHeight w:val="402"/>
        </w:trPr>
        <w:tc>
          <w:tcPr>
            <w:tcW w:w="2250" w:type="dxa"/>
            <w:noWrap/>
            <w:hideMark/>
          </w:tcPr>
          <w:p w14:paraId="7ED35093" w14:textId="77777777" w:rsidR="00BC27E9" w:rsidRPr="00954407" w:rsidRDefault="00BC27E9" w:rsidP="00220FA8">
            <w:pPr>
              <w:pStyle w:val="EstilodePrrafoNormal1RdeC"/>
              <w:rPr>
                <w:color w:val="auto"/>
                <w:spacing w:val="0"/>
                <w:sz w:val="18"/>
                <w:szCs w:val="18"/>
                <w:lang w:eastAsia="es-DO"/>
              </w:rPr>
            </w:pPr>
          </w:p>
          <w:p w14:paraId="0BC70387" w14:textId="77777777" w:rsidR="00BC27E9" w:rsidRPr="00954407" w:rsidRDefault="00BC27E9" w:rsidP="00220FA8">
            <w:pPr>
              <w:pStyle w:val="EstilodePrrafoNormal1RdeC"/>
              <w:rPr>
                <w:color w:val="auto"/>
                <w:spacing w:val="0"/>
                <w:sz w:val="18"/>
                <w:szCs w:val="18"/>
                <w:lang w:eastAsia="es-DO"/>
              </w:rPr>
            </w:pPr>
          </w:p>
          <w:p w14:paraId="6CDF09B6" w14:textId="77777777" w:rsidR="00BC27E9" w:rsidRPr="00954407" w:rsidRDefault="00BC27E9" w:rsidP="00220FA8">
            <w:pPr>
              <w:pStyle w:val="EstilodePrrafoNormal1RdeC"/>
              <w:rPr>
                <w:color w:val="auto"/>
                <w:spacing w:val="0"/>
                <w:sz w:val="18"/>
                <w:szCs w:val="18"/>
                <w:lang w:eastAsia="es-DO"/>
              </w:rPr>
            </w:pPr>
          </w:p>
          <w:p w14:paraId="438489BF"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Capacitación en Seminarios, talleres, cursos, diplomados y charlas a los servidores y funcionarios públicos</w:t>
            </w:r>
          </w:p>
        </w:tc>
        <w:tc>
          <w:tcPr>
            <w:tcW w:w="2203" w:type="dxa"/>
            <w:hideMark/>
          </w:tcPr>
          <w:p w14:paraId="4EA53D53" w14:textId="77777777" w:rsidR="00BC27E9" w:rsidRPr="00954407" w:rsidRDefault="00BC27E9" w:rsidP="00220FA8">
            <w:pPr>
              <w:pStyle w:val="EstilodePrrafoNormal1RdeC"/>
              <w:rPr>
                <w:color w:val="auto"/>
                <w:spacing w:val="0"/>
                <w:sz w:val="18"/>
                <w:szCs w:val="18"/>
                <w:lang w:eastAsia="es-DO"/>
              </w:rPr>
            </w:pPr>
          </w:p>
          <w:p w14:paraId="342E8A4C" w14:textId="77777777" w:rsidR="00BC27E9" w:rsidRPr="00954407" w:rsidRDefault="00BC27E9" w:rsidP="00220FA8">
            <w:pPr>
              <w:pStyle w:val="EstilodePrrafoNormal1RdeC"/>
              <w:rPr>
                <w:color w:val="auto"/>
                <w:spacing w:val="0"/>
                <w:sz w:val="18"/>
                <w:szCs w:val="18"/>
                <w:lang w:eastAsia="es-DO"/>
              </w:rPr>
            </w:pPr>
          </w:p>
          <w:p w14:paraId="787C43B9" w14:textId="77777777" w:rsidR="00BC27E9" w:rsidRPr="00954407" w:rsidRDefault="00BC27E9" w:rsidP="00220FA8">
            <w:pPr>
              <w:pStyle w:val="EstilodePrrafoNormal1RdeC"/>
              <w:rPr>
                <w:color w:val="auto"/>
                <w:spacing w:val="0"/>
                <w:sz w:val="18"/>
                <w:szCs w:val="18"/>
                <w:lang w:eastAsia="es-DO"/>
              </w:rPr>
            </w:pPr>
          </w:p>
          <w:p w14:paraId="523F004D" w14:textId="77777777" w:rsidR="00BC27E9" w:rsidRPr="00954407" w:rsidRDefault="00BC27E9" w:rsidP="00220FA8">
            <w:pPr>
              <w:pStyle w:val="EstilodePrrafoNormal1RdeC"/>
              <w:rPr>
                <w:color w:val="auto"/>
                <w:spacing w:val="0"/>
                <w:sz w:val="18"/>
                <w:szCs w:val="18"/>
                <w:lang w:eastAsia="es-DO"/>
              </w:rPr>
            </w:pPr>
          </w:p>
          <w:p w14:paraId="55FB599F" w14:textId="77777777" w:rsidR="00BC27E9" w:rsidRPr="00954407" w:rsidRDefault="00BC27E9" w:rsidP="00220FA8">
            <w:pPr>
              <w:pStyle w:val="EstilodePrrafoNormal1RdeC"/>
              <w:rPr>
                <w:color w:val="auto"/>
                <w:spacing w:val="0"/>
                <w:sz w:val="18"/>
                <w:szCs w:val="18"/>
                <w:lang w:eastAsia="es-DO"/>
              </w:rPr>
            </w:pPr>
          </w:p>
          <w:p w14:paraId="26AA05D3"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41</w:t>
            </w:r>
          </w:p>
        </w:tc>
        <w:tc>
          <w:tcPr>
            <w:tcW w:w="1254" w:type="dxa"/>
            <w:hideMark/>
          </w:tcPr>
          <w:p w14:paraId="63AE3A0E" w14:textId="77777777" w:rsidR="00BC27E9" w:rsidRPr="00954407" w:rsidRDefault="00BC27E9" w:rsidP="00220FA8">
            <w:pPr>
              <w:pStyle w:val="EstilodePrrafoNormal1RdeC"/>
              <w:rPr>
                <w:color w:val="auto"/>
                <w:spacing w:val="0"/>
                <w:sz w:val="18"/>
                <w:szCs w:val="18"/>
                <w:lang w:eastAsia="es-DO"/>
              </w:rPr>
            </w:pPr>
          </w:p>
          <w:p w14:paraId="2DF61316" w14:textId="77777777" w:rsidR="00BC27E9" w:rsidRPr="00954407" w:rsidRDefault="00BC27E9" w:rsidP="00220FA8">
            <w:pPr>
              <w:pStyle w:val="EstilodePrrafoNormal1RdeC"/>
              <w:rPr>
                <w:color w:val="auto"/>
                <w:spacing w:val="0"/>
                <w:sz w:val="18"/>
                <w:szCs w:val="18"/>
                <w:lang w:eastAsia="es-DO"/>
              </w:rPr>
            </w:pPr>
          </w:p>
          <w:p w14:paraId="54471153" w14:textId="77777777" w:rsidR="00BC27E9" w:rsidRPr="00954407" w:rsidRDefault="00BC27E9" w:rsidP="00220FA8">
            <w:pPr>
              <w:pStyle w:val="EstilodePrrafoNormal1RdeC"/>
              <w:rPr>
                <w:color w:val="auto"/>
                <w:spacing w:val="0"/>
                <w:sz w:val="18"/>
                <w:szCs w:val="18"/>
                <w:lang w:eastAsia="es-DO"/>
              </w:rPr>
            </w:pPr>
          </w:p>
          <w:p w14:paraId="4570914B" w14:textId="77777777" w:rsidR="00BC27E9" w:rsidRPr="00954407" w:rsidRDefault="00BC27E9" w:rsidP="00220FA8">
            <w:pPr>
              <w:pStyle w:val="EstilodePrrafoNormal1RdeC"/>
              <w:rPr>
                <w:color w:val="auto"/>
                <w:spacing w:val="0"/>
                <w:sz w:val="18"/>
                <w:szCs w:val="18"/>
                <w:lang w:eastAsia="es-DO"/>
              </w:rPr>
            </w:pPr>
          </w:p>
          <w:p w14:paraId="0A82B28E"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100% de lo programado</w:t>
            </w:r>
          </w:p>
        </w:tc>
        <w:tc>
          <w:tcPr>
            <w:tcW w:w="2400" w:type="dxa"/>
            <w:hideMark/>
          </w:tcPr>
          <w:p w14:paraId="5308AFED"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1.1.1.7 Promover una continua capacitación de los servicios públicos para dotarlos de las competencias requeridas para una gestión que se orienta a la obtención de resultados en beneficio de la sociedad y del desarrollo nacional y local.</w:t>
            </w:r>
          </w:p>
        </w:tc>
      </w:tr>
      <w:tr w:rsidR="00BC27E9" w:rsidRPr="00954407" w14:paraId="4572984A" w14:textId="77777777" w:rsidTr="00220FA8">
        <w:trPr>
          <w:trHeight w:val="535"/>
        </w:trPr>
        <w:tc>
          <w:tcPr>
            <w:tcW w:w="2250" w:type="dxa"/>
            <w:noWrap/>
            <w:hideMark/>
          </w:tcPr>
          <w:p w14:paraId="564CF095" w14:textId="77777777" w:rsidR="00BC27E9" w:rsidRPr="00954407" w:rsidRDefault="00BC27E9" w:rsidP="00220FA8">
            <w:pPr>
              <w:pStyle w:val="EstilodePrrafoNormal1RdeC"/>
              <w:rPr>
                <w:color w:val="auto"/>
                <w:spacing w:val="0"/>
                <w:sz w:val="18"/>
                <w:szCs w:val="18"/>
                <w:lang w:eastAsia="es-DO"/>
              </w:rPr>
            </w:pPr>
          </w:p>
          <w:p w14:paraId="60B66250"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Emisión de pasantías</w:t>
            </w:r>
          </w:p>
        </w:tc>
        <w:tc>
          <w:tcPr>
            <w:tcW w:w="2203" w:type="dxa"/>
            <w:hideMark/>
          </w:tcPr>
          <w:p w14:paraId="4FE67D44" w14:textId="77777777" w:rsidR="00BC27E9" w:rsidRPr="00954407" w:rsidRDefault="00BC27E9" w:rsidP="00220FA8">
            <w:pPr>
              <w:pStyle w:val="EstilodePrrafoNormal1RdeC"/>
              <w:rPr>
                <w:color w:val="auto"/>
                <w:spacing w:val="0"/>
                <w:sz w:val="18"/>
                <w:szCs w:val="18"/>
                <w:lang w:eastAsia="es-DO"/>
              </w:rPr>
            </w:pPr>
          </w:p>
          <w:p w14:paraId="58606A40"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25</w:t>
            </w:r>
          </w:p>
        </w:tc>
        <w:tc>
          <w:tcPr>
            <w:tcW w:w="1254" w:type="dxa"/>
            <w:hideMark/>
          </w:tcPr>
          <w:p w14:paraId="05D8FD35" w14:textId="77777777" w:rsidR="00BC27E9" w:rsidRPr="00954407" w:rsidRDefault="00BC27E9" w:rsidP="00220FA8">
            <w:pPr>
              <w:pStyle w:val="EstilodePrrafoNormal1RdeC"/>
              <w:rPr>
                <w:color w:val="auto"/>
                <w:spacing w:val="0"/>
                <w:sz w:val="18"/>
                <w:szCs w:val="18"/>
                <w:lang w:eastAsia="es-DO"/>
              </w:rPr>
            </w:pPr>
          </w:p>
          <w:p w14:paraId="70769991"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69%</w:t>
            </w:r>
          </w:p>
          <w:p w14:paraId="10EE3C2D" w14:textId="77777777" w:rsidR="00BC27E9" w:rsidRPr="00954407" w:rsidRDefault="00BC27E9" w:rsidP="00220FA8">
            <w:pPr>
              <w:pStyle w:val="EstilodePrrafoNormal1RdeC"/>
              <w:rPr>
                <w:color w:val="auto"/>
                <w:spacing w:val="0"/>
                <w:sz w:val="18"/>
                <w:szCs w:val="18"/>
                <w:lang w:eastAsia="es-DO"/>
              </w:rPr>
            </w:pPr>
          </w:p>
        </w:tc>
        <w:tc>
          <w:tcPr>
            <w:tcW w:w="2400" w:type="dxa"/>
            <w:hideMark/>
          </w:tcPr>
          <w:p w14:paraId="1E873E6D" w14:textId="77777777" w:rsidR="00BC27E9" w:rsidRPr="00954407" w:rsidRDefault="00BC27E9" w:rsidP="00220FA8">
            <w:pPr>
              <w:pStyle w:val="EstilodePrrafoNormal1RdeC"/>
              <w:rPr>
                <w:color w:val="auto"/>
                <w:spacing w:val="0"/>
                <w:sz w:val="18"/>
                <w:szCs w:val="18"/>
                <w:lang w:eastAsia="es-DO"/>
              </w:rPr>
            </w:pPr>
          </w:p>
        </w:tc>
      </w:tr>
      <w:tr w:rsidR="00BC27E9" w:rsidRPr="00954407" w14:paraId="0B84DC82" w14:textId="77777777" w:rsidTr="00220FA8">
        <w:trPr>
          <w:trHeight w:val="402"/>
        </w:trPr>
        <w:tc>
          <w:tcPr>
            <w:tcW w:w="2250" w:type="dxa"/>
            <w:noWrap/>
            <w:hideMark/>
          </w:tcPr>
          <w:p w14:paraId="58492DAA" w14:textId="77777777" w:rsidR="00BC27E9" w:rsidRPr="00954407" w:rsidRDefault="00BC27E9" w:rsidP="00220FA8">
            <w:pPr>
              <w:pStyle w:val="EstilodePrrafoNormal1RdeC"/>
              <w:rPr>
                <w:color w:val="auto"/>
                <w:spacing w:val="0"/>
                <w:sz w:val="18"/>
                <w:szCs w:val="18"/>
                <w:lang w:eastAsia="es-DO"/>
              </w:rPr>
            </w:pPr>
          </w:p>
          <w:p w14:paraId="0A69CA59" w14:textId="623DBF59"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Solicitud de </w:t>
            </w:r>
            <w:r w:rsidR="005D6D6C" w:rsidRPr="00954407">
              <w:rPr>
                <w:color w:val="auto"/>
                <w:spacing w:val="0"/>
                <w:sz w:val="18"/>
                <w:szCs w:val="18"/>
                <w:lang w:eastAsia="es-DO"/>
              </w:rPr>
              <w:t>Exenciones de</w:t>
            </w:r>
            <w:r w:rsidRPr="00954407">
              <w:rPr>
                <w:color w:val="auto"/>
                <w:spacing w:val="0"/>
                <w:sz w:val="18"/>
                <w:szCs w:val="18"/>
                <w:lang w:eastAsia="es-DO"/>
              </w:rPr>
              <w:t xml:space="preserve"> pasantías</w:t>
            </w:r>
          </w:p>
        </w:tc>
        <w:tc>
          <w:tcPr>
            <w:tcW w:w="2203" w:type="dxa"/>
            <w:hideMark/>
          </w:tcPr>
          <w:p w14:paraId="178467EA" w14:textId="77777777" w:rsidR="00BC27E9" w:rsidRPr="00954407" w:rsidRDefault="00BC27E9" w:rsidP="00220FA8">
            <w:pPr>
              <w:pStyle w:val="EstilodePrrafoNormal1RdeC"/>
              <w:rPr>
                <w:color w:val="auto"/>
                <w:spacing w:val="0"/>
                <w:sz w:val="18"/>
                <w:szCs w:val="18"/>
                <w:lang w:eastAsia="es-DO"/>
              </w:rPr>
            </w:pPr>
          </w:p>
          <w:p w14:paraId="4D933C98"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1,131</w:t>
            </w:r>
          </w:p>
        </w:tc>
        <w:tc>
          <w:tcPr>
            <w:tcW w:w="1254" w:type="dxa"/>
            <w:hideMark/>
          </w:tcPr>
          <w:p w14:paraId="24888317" w14:textId="5B6C37D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100% de las solicitudes que </w:t>
            </w:r>
            <w:r w:rsidR="005D6D6C" w:rsidRPr="00954407">
              <w:rPr>
                <w:color w:val="auto"/>
                <w:spacing w:val="0"/>
                <w:sz w:val="18"/>
                <w:szCs w:val="18"/>
                <w:lang w:eastAsia="es-DO"/>
              </w:rPr>
              <w:t>reunían</w:t>
            </w:r>
            <w:r w:rsidRPr="00954407">
              <w:rPr>
                <w:color w:val="auto"/>
                <w:spacing w:val="0"/>
                <w:sz w:val="18"/>
                <w:szCs w:val="18"/>
                <w:lang w:eastAsia="es-DO"/>
              </w:rPr>
              <w:t xml:space="preserve"> los </w:t>
            </w:r>
            <w:r w:rsidR="005D6D6C" w:rsidRPr="00954407">
              <w:rPr>
                <w:color w:val="auto"/>
                <w:spacing w:val="0"/>
                <w:sz w:val="18"/>
                <w:szCs w:val="18"/>
                <w:lang w:eastAsia="es-DO"/>
              </w:rPr>
              <w:t>requisitos</w:t>
            </w:r>
          </w:p>
        </w:tc>
        <w:tc>
          <w:tcPr>
            <w:tcW w:w="2400" w:type="dxa"/>
            <w:hideMark/>
          </w:tcPr>
          <w:p w14:paraId="2419C41A" w14:textId="77777777" w:rsidR="00BC27E9" w:rsidRPr="00954407" w:rsidRDefault="00BC27E9" w:rsidP="00220FA8">
            <w:pPr>
              <w:pStyle w:val="EstilodePrrafoNormal1RdeC"/>
              <w:rPr>
                <w:color w:val="auto"/>
                <w:spacing w:val="0"/>
                <w:sz w:val="18"/>
                <w:szCs w:val="18"/>
                <w:lang w:eastAsia="es-DO"/>
              </w:rPr>
            </w:pPr>
          </w:p>
        </w:tc>
      </w:tr>
    </w:tbl>
    <w:p w14:paraId="030C3083" w14:textId="77777777" w:rsidR="00BC27E9" w:rsidRPr="00954407" w:rsidRDefault="00BC27E9" w:rsidP="00BC27E9">
      <w:pPr>
        <w:pStyle w:val="EstilodePrrafoNormal1RdeC"/>
        <w:rPr>
          <w:color w:val="767171"/>
        </w:rPr>
      </w:pPr>
    </w:p>
    <w:p w14:paraId="05ADB76F" w14:textId="77777777" w:rsidR="00BC27E9" w:rsidRPr="00954407" w:rsidRDefault="00BC27E9" w:rsidP="00BC27E9">
      <w:pPr>
        <w:pStyle w:val="EstilodePrrafoNormal1RdeC"/>
        <w:rPr>
          <w:color w:val="767171"/>
        </w:rPr>
      </w:pPr>
    </w:p>
    <w:p w14:paraId="7462C662" w14:textId="77777777" w:rsidR="00BC27E9" w:rsidRPr="00954407" w:rsidRDefault="00BC27E9" w:rsidP="00BC27E9">
      <w:pPr>
        <w:pStyle w:val="EstilodePrrafoNormal1RdeC"/>
        <w:rPr>
          <w:color w:val="767171"/>
        </w:rPr>
      </w:pPr>
    </w:p>
    <w:p w14:paraId="0C61A31E" w14:textId="77777777" w:rsidR="00BC27E9" w:rsidRDefault="00BC27E9" w:rsidP="00BC27E9">
      <w:pPr>
        <w:pStyle w:val="EstilodePrrafoNormal1RdeC"/>
        <w:rPr>
          <w:color w:val="767171"/>
        </w:rPr>
      </w:pPr>
    </w:p>
    <w:p w14:paraId="67C69E3F" w14:textId="77777777" w:rsidR="003969B9" w:rsidRDefault="003969B9" w:rsidP="00BC27E9">
      <w:pPr>
        <w:pStyle w:val="EstilodePrrafoNormal1RdeC"/>
        <w:rPr>
          <w:color w:val="767171"/>
        </w:rPr>
      </w:pPr>
    </w:p>
    <w:p w14:paraId="44A41567" w14:textId="77777777" w:rsidR="003969B9" w:rsidRDefault="003969B9" w:rsidP="00BC27E9">
      <w:pPr>
        <w:pStyle w:val="EstilodePrrafoNormal1RdeC"/>
        <w:rPr>
          <w:color w:val="767171"/>
        </w:rPr>
      </w:pPr>
    </w:p>
    <w:p w14:paraId="581333F8" w14:textId="77777777" w:rsidR="003969B9" w:rsidRDefault="003969B9" w:rsidP="00BC27E9">
      <w:pPr>
        <w:pStyle w:val="EstilodePrrafoNormal1RdeC"/>
        <w:rPr>
          <w:color w:val="767171"/>
        </w:rPr>
      </w:pPr>
    </w:p>
    <w:p w14:paraId="4C6DCD07" w14:textId="77777777" w:rsidR="003969B9" w:rsidRDefault="003969B9" w:rsidP="00BC27E9">
      <w:pPr>
        <w:pStyle w:val="EstilodePrrafoNormal1RdeC"/>
        <w:rPr>
          <w:color w:val="767171"/>
        </w:rPr>
      </w:pPr>
    </w:p>
    <w:p w14:paraId="063F743E" w14:textId="77777777" w:rsidR="003969B9" w:rsidRDefault="003969B9" w:rsidP="00BC27E9">
      <w:pPr>
        <w:pStyle w:val="EstilodePrrafoNormal1RdeC"/>
        <w:rPr>
          <w:color w:val="767171"/>
        </w:rPr>
      </w:pPr>
    </w:p>
    <w:p w14:paraId="004B81A9" w14:textId="77777777" w:rsidR="003969B9" w:rsidRDefault="003969B9" w:rsidP="00BC27E9">
      <w:pPr>
        <w:pStyle w:val="EstilodePrrafoNormal1RdeC"/>
        <w:rPr>
          <w:color w:val="767171"/>
        </w:rPr>
      </w:pPr>
    </w:p>
    <w:p w14:paraId="4C7BC27C" w14:textId="77777777" w:rsidR="003969B9" w:rsidRDefault="003969B9" w:rsidP="00BC27E9">
      <w:pPr>
        <w:pStyle w:val="EstilodePrrafoNormal1RdeC"/>
        <w:rPr>
          <w:color w:val="767171"/>
        </w:rPr>
      </w:pPr>
    </w:p>
    <w:p w14:paraId="47D1EF77" w14:textId="77777777" w:rsidR="003969B9" w:rsidRDefault="003969B9" w:rsidP="00BC27E9">
      <w:pPr>
        <w:pStyle w:val="EstilodePrrafoNormal1RdeC"/>
        <w:rPr>
          <w:color w:val="767171"/>
        </w:rPr>
      </w:pPr>
    </w:p>
    <w:p w14:paraId="37AA24DD" w14:textId="77777777" w:rsidR="003969B9" w:rsidRDefault="003969B9" w:rsidP="00BC27E9">
      <w:pPr>
        <w:pStyle w:val="EstilodePrrafoNormal1RdeC"/>
        <w:rPr>
          <w:color w:val="767171"/>
        </w:rPr>
      </w:pPr>
    </w:p>
    <w:p w14:paraId="7A5D3DB1" w14:textId="77777777" w:rsidR="003969B9" w:rsidRPr="00954407" w:rsidRDefault="003969B9" w:rsidP="00BC27E9">
      <w:pPr>
        <w:pStyle w:val="EstilodePrrafoNormal1RdeC"/>
        <w:rPr>
          <w:color w:val="767171"/>
        </w:rPr>
      </w:pPr>
    </w:p>
    <w:p w14:paraId="18BB7477" w14:textId="77777777" w:rsidR="00BC27E9" w:rsidRPr="00954407" w:rsidRDefault="00BC27E9" w:rsidP="00BC27E9">
      <w:pPr>
        <w:pStyle w:val="EstilodePrrafoNormal1RdeC"/>
        <w:rPr>
          <w:color w:val="767171"/>
        </w:rPr>
      </w:pPr>
    </w:p>
    <w:tbl>
      <w:tblPr>
        <w:tblpPr w:leftFromText="141" w:rightFromText="141" w:vertAnchor="text" w:horzAnchor="margin" w:tblpY="139"/>
        <w:tblW w:w="7911" w:type="dxa"/>
        <w:tblCellMar>
          <w:left w:w="70" w:type="dxa"/>
          <w:right w:w="70" w:type="dxa"/>
        </w:tblCellMar>
        <w:tblLook w:val="04A0" w:firstRow="1" w:lastRow="0" w:firstColumn="1" w:lastColumn="0" w:noHBand="0" w:noVBand="1"/>
      </w:tblPr>
      <w:tblGrid>
        <w:gridCol w:w="1973"/>
        <w:gridCol w:w="2402"/>
        <w:gridCol w:w="1147"/>
        <w:gridCol w:w="2389"/>
      </w:tblGrid>
      <w:tr w:rsidR="00BC27E9" w:rsidRPr="00954407" w14:paraId="3E9DB11C" w14:textId="77777777" w:rsidTr="00220FA8">
        <w:trPr>
          <w:trHeight w:val="407"/>
        </w:trPr>
        <w:tc>
          <w:tcPr>
            <w:tcW w:w="1973"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A6FC668"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lastRenderedPageBreak/>
              <w:t>PRODUCCIÓN PÚBLICA</w:t>
            </w:r>
          </w:p>
        </w:tc>
        <w:tc>
          <w:tcPr>
            <w:tcW w:w="2402" w:type="dxa"/>
            <w:tcBorders>
              <w:top w:val="single" w:sz="4" w:space="0" w:color="auto"/>
              <w:left w:val="nil"/>
              <w:bottom w:val="single" w:sz="4" w:space="0" w:color="auto"/>
              <w:right w:val="single" w:sz="4" w:space="0" w:color="auto"/>
            </w:tcBorders>
            <w:shd w:val="clear" w:color="auto" w:fill="002060"/>
            <w:vAlign w:val="center"/>
            <w:hideMark/>
          </w:tcPr>
          <w:p w14:paraId="5D1B6111"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xml:space="preserve">   PRODUCCIÓN GENERADA          ENERO-DICIEMBRE 2025</w:t>
            </w:r>
          </w:p>
        </w:tc>
        <w:tc>
          <w:tcPr>
            <w:tcW w:w="1147" w:type="dxa"/>
            <w:tcBorders>
              <w:top w:val="single" w:sz="4" w:space="0" w:color="auto"/>
              <w:left w:val="nil"/>
              <w:bottom w:val="single" w:sz="4" w:space="0" w:color="auto"/>
              <w:right w:val="single" w:sz="4" w:space="0" w:color="auto"/>
            </w:tcBorders>
            <w:shd w:val="clear" w:color="auto" w:fill="002060"/>
            <w:vAlign w:val="center"/>
            <w:hideMark/>
          </w:tcPr>
          <w:p w14:paraId="7E67A87B"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 DE AVANCE RESPECTO A LO PLANEADO</w:t>
            </w:r>
          </w:p>
        </w:tc>
        <w:tc>
          <w:tcPr>
            <w:tcW w:w="2389" w:type="dxa"/>
            <w:tcBorders>
              <w:top w:val="single" w:sz="4" w:space="0" w:color="auto"/>
              <w:left w:val="nil"/>
              <w:bottom w:val="single" w:sz="4" w:space="0" w:color="auto"/>
              <w:right w:val="single" w:sz="4" w:space="0" w:color="auto"/>
            </w:tcBorders>
            <w:shd w:val="clear" w:color="auto" w:fill="002060"/>
            <w:vAlign w:val="center"/>
            <w:hideMark/>
          </w:tcPr>
          <w:p w14:paraId="69B778AF"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LÍNEA (S) DE ACCIÓN DE (END) A LA QUE SE VINCULA LA PRODUCCIÓN INSTITUCIONAL</w:t>
            </w:r>
          </w:p>
        </w:tc>
      </w:tr>
    </w:tbl>
    <w:p w14:paraId="42A0495A" w14:textId="77777777" w:rsidR="00BC27E9" w:rsidRPr="00954407" w:rsidRDefault="00BC27E9" w:rsidP="00BC27E9">
      <w:pPr>
        <w:pStyle w:val="EstilodePrrafoNormal1RdeC"/>
        <w:rPr>
          <w:color w:val="767171"/>
        </w:rPr>
      </w:pPr>
      <w:r w:rsidRPr="00954407">
        <w:rPr>
          <w:noProof/>
          <w:lang w:val="es-DO" w:eastAsia="es-DO" w:bidi="ar-SA"/>
        </w:rPr>
        <w:drawing>
          <wp:inline distT="0" distB="0" distL="0" distR="0" wp14:anchorId="0603F2B2" wp14:editId="60823AA1">
            <wp:extent cx="5029200" cy="2284499"/>
            <wp:effectExtent l="0" t="0" r="0" b="1905"/>
            <wp:docPr id="1398926601" name="Imagen 1398926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9200" cy="2284499"/>
                    </a:xfrm>
                    <a:prstGeom prst="rect">
                      <a:avLst/>
                    </a:prstGeom>
                    <a:noFill/>
                    <a:ln>
                      <a:noFill/>
                    </a:ln>
                  </pic:spPr>
                </pic:pic>
              </a:graphicData>
            </a:graphic>
          </wp:inline>
        </w:drawing>
      </w:r>
    </w:p>
    <w:p w14:paraId="1A2AD4CB" w14:textId="77777777" w:rsidR="00BC27E9" w:rsidRPr="00954407" w:rsidRDefault="00BC27E9" w:rsidP="00BC27E9">
      <w:pPr>
        <w:pStyle w:val="EstilodePrrafoNormal1RdeC"/>
        <w:rPr>
          <w:color w:val="767171"/>
        </w:rPr>
      </w:pPr>
    </w:p>
    <w:p w14:paraId="78323414" w14:textId="77777777" w:rsidR="00BC27E9" w:rsidRPr="00954407" w:rsidRDefault="00BC27E9" w:rsidP="00BC27E9">
      <w:pPr>
        <w:pStyle w:val="EstilodePrrafoNormal1RdeC"/>
        <w:rPr>
          <w:color w:val="767171"/>
        </w:rPr>
      </w:pPr>
    </w:p>
    <w:p w14:paraId="3904D648" w14:textId="77777777" w:rsidR="00BC27E9" w:rsidRPr="00954407" w:rsidRDefault="00BC27E9" w:rsidP="00BC27E9">
      <w:pPr>
        <w:pStyle w:val="EstilodePrrafoNormal1RdeC"/>
        <w:rPr>
          <w:color w:val="767171"/>
        </w:rPr>
      </w:pPr>
    </w:p>
    <w:p w14:paraId="099D5B1B" w14:textId="77777777" w:rsidR="00BC27E9" w:rsidRPr="00954407" w:rsidRDefault="00BC27E9" w:rsidP="00BC27E9">
      <w:pPr>
        <w:pStyle w:val="EstilodePrrafoNormal1RdeC"/>
        <w:rPr>
          <w:color w:val="767171"/>
        </w:rPr>
      </w:pPr>
    </w:p>
    <w:p w14:paraId="74BCD134" w14:textId="77777777" w:rsidR="00BC27E9" w:rsidRPr="00954407" w:rsidRDefault="00BC27E9" w:rsidP="00BC27E9">
      <w:pPr>
        <w:pStyle w:val="EstilodePrrafoNormal1RdeC"/>
        <w:rPr>
          <w:color w:val="767171"/>
        </w:rPr>
      </w:pPr>
    </w:p>
    <w:p w14:paraId="0AB2B327" w14:textId="77777777" w:rsidR="00BC27E9" w:rsidRPr="00954407" w:rsidRDefault="00BC27E9" w:rsidP="00BC27E9">
      <w:pPr>
        <w:pStyle w:val="EstilodePrrafoNormal1RdeC"/>
        <w:rPr>
          <w:color w:val="767171"/>
        </w:rPr>
      </w:pPr>
    </w:p>
    <w:p w14:paraId="048F8B01" w14:textId="77777777" w:rsidR="00BC27E9" w:rsidRPr="00954407" w:rsidRDefault="00BC27E9" w:rsidP="00BC27E9">
      <w:pPr>
        <w:pStyle w:val="EstilodePrrafoNormal1RdeC"/>
        <w:rPr>
          <w:color w:val="767171"/>
        </w:rPr>
      </w:pPr>
    </w:p>
    <w:p w14:paraId="11D462CF" w14:textId="77777777" w:rsidR="00BC27E9" w:rsidRPr="00954407" w:rsidRDefault="00BC27E9" w:rsidP="00BC27E9">
      <w:pPr>
        <w:pStyle w:val="EstilodePrrafoNormal1RdeC"/>
        <w:rPr>
          <w:color w:val="767171"/>
        </w:rPr>
      </w:pPr>
    </w:p>
    <w:p w14:paraId="1BDF5094" w14:textId="77777777" w:rsidR="00BC27E9" w:rsidRPr="00954407" w:rsidRDefault="00BC27E9" w:rsidP="00BC27E9">
      <w:pPr>
        <w:pStyle w:val="EstilodePrrafoNormal1RdeC"/>
        <w:rPr>
          <w:color w:val="767171"/>
        </w:rPr>
      </w:pPr>
    </w:p>
    <w:p w14:paraId="61230C24" w14:textId="77777777" w:rsidR="00BC27E9" w:rsidRPr="00954407" w:rsidRDefault="00BC27E9" w:rsidP="00BC27E9">
      <w:pPr>
        <w:pStyle w:val="EstilodePrrafoNormal1RdeC"/>
        <w:rPr>
          <w:color w:val="767171"/>
        </w:rPr>
      </w:pPr>
    </w:p>
    <w:p w14:paraId="18959AC5" w14:textId="77777777" w:rsidR="00BC27E9" w:rsidRPr="00954407" w:rsidRDefault="00BC27E9" w:rsidP="00BC27E9">
      <w:pPr>
        <w:pStyle w:val="EstilodePrrafoNormal1RdeC"/>
        <w:rPr>
          <w:color w:val="767171"/>
        </w:rPr>
      </w:pPr>
    </w:p>
    <w:p w14:paraId="3E5F3B4D" w14:textId="77777777" w:rsidR="00BC27E9" w:rsidRPr="00954407" w:rsidRDefault="00BC27E9" w:rsidP="00BC27E9">
      <w:pPr>
        <w:pStyle w:val="EstilodePrrafoNormal1RdeC"/>
        <w:rPr>
          <w:color w:val="767171"/>
        </w:rPr>
      </w:pPr>
    </w:p>
    <w:p w14:paraId="6672DA9A" w14:textId="77777777" w:rsidR="00BC27E9" w:rsidRPr="00954407" w:rsidRDefault="00BC27E9" w:rsidP="00BC27E9">
      <w:pPr>
        <w:pStyle w:val="EstilodePrrafoNormal1RdeC"/>
        <w:rPr>
          <w:color w:val="767171"/>
        </w:rPr>
      </w:pPr>
    </w:p>
    <w:p w14:paraId="5F3939C8" w14:textId="77777777" w:rsidR="00BC27E9" w:rsidRPr="00954407" w:rsidRDefault="00BC27E9" w:rsidP="00BC27E9">
      <w:pPr>
        <w:pStyle w:val="EstilodePrrafoNormal1RdeC"/>
        <w:rPr>
          <w:color w:val="767171"/>
        </w:rPr>
      </w:pPr>
    </w:p>
    <w:p w14:paraId="316AA6D1" w14:textId="77777777" w:rsidR="00BC27E9" w:rsidRDefault="00BC27E9" w:rsidP="00BC27E9">
      <w:pPr>
        <w:pStyle w:val="EstilodePrrafoNormal1RdeC"/>
        <w:rPr>
          <w:color w:val="767171"/>
        </w:rPr>
      </w:pPr>
    </w:p>
    <w:p w14:paraId="502EC40F" w14:textId="77777777" w:rsidR="003969B9" w:rsidRPr="00954407" w:rsidRDefault="003969B9" w:rsidP="00BC27E9">
      <w:pPr>
        <w:pStyle w:val="EstilodePrrafoNormal1RdeC"/>
        <w:rPr>
          <w:color w:val="767171"/>
        </w:rPr>
      </w:pPr>
    </w:p>
    <w:p w14:paraId="638E6EC0" w14:textId="77777777" w:rsidR="00BC27E9" w:rsidRPr="00954407" w:rsidRDefault="00BC27E9" w:rsidP="00BC27E9">
      <w:pPr>
        <w:pStyle w:val="EstilodePrrafoNormal1RdeC"/>
        <w:rPr>
          <w:color w:val="767171"/>
        </w:rPr>
      </w:pPr>
    </w:p>
    <w:p w14:paraId="6A3B98E2" w14:textId="77777777" w:rsidR="00BC27E9" w:rsidRPr="00954407" w:rsidRDefault="00BC27E9" w:rsidP="00BC27E9">
      <w:pPr>
        <w:pStyle w:val="EstilodePrrafoNormal1RdeC"/>
        <w:rPr>
          <w:color w:val="767171"/>
        </w:rPr>
      </w:pPr>
    </w:p>
    <w:p w14:paraId="0B650DD7" w14:textId="77777777" w:rsidR="00BC27E9" w:rsidRPr="00954407" w:rsidRDefault="00BC27E9" w:rsidP="00BC27E9">
      <w:pPr>
        <w:pStyle w:val="EstilodePrrafoNormal1RdeC"/>
        <w:rPr>
          <w:color w:val="767171"/>
        </w:rPr>
      </w:pPr>
    </w:p>
    <w:p w14:paraId="3ED0AE9F" w14:textId="77777777" w:rsidR="00BC27E9" w:rsidRPr="00954407" w:rsidRDefault="00BC27E9" w:rsidP="00BC27E9">
      <w:pPr>
        <w:pStyle w:val="EstilodePrrafoNormal1RdeC"/>
        <w:rPr>
          <w:color w:val="767171"/>
        </w:rPr>
      </w:pPr>
    </w:p>
    <w:p w14:paraId="66C7E878" w14:textId="77777777" w:rsidR="00BC27E9" w:rsidRPr="00954407" w:rsidRDefault="00BC27E9" w:rsidP="00BC27E9">
      <w:pPr>
        <w:pStyle w:val="EstilodePrrafoNormal1RdeC"/>
        <w:rPr>
          <w:color w:val="767171"/>
        </w:rPr>
      </w:pPr>
    </w:p>
    <w:tbl>
      <w:tblPr>
        <w:tblStyle w:val="Tablaconcuadrcula1"/>
        <w:tblW w:w="5563" w:type="pct"/>
        <w:tblInd w:w="-436" w:type="dxa"/>
        <w:tblLayout w:type="fixed"/>
        <w:tblLook w:val="04A0" w:firstRow="1" w:lastRow="0" w:firstColumn="1" w:lastColumn="0" w:noHBand="0" w:noVBand="1"/>
      </w:tblPr>
      <w:tblGrid>
        <w:gridCol w:w="1119"/>
        <w:gridCol w:w="623"/>
        <w:gridCol w:w="257"/>
        <w:gridCol w:w="216"/>
        <w:gridCol w:w="252"/>
        <w:gridCol w:w="130"/>
        <w:gridCol w:w="283"/>
        <w:gridCol w:w="431"/>
        <w:gridCol w:w="449"/>
        <w:gridCol w:w="271"/>
        <w:gridCol w:w="44"/>
        <w:gridCol w:w="316"/>
        <w:gridCol w:w="250"/>
        <w:gridCol w:w="180"/>
        <w:gridCol w:w="701"/>
        <w:gridCol w:w="32"/>
        <w:gridCol w:w="54"/>
        <w:gridCol w:w="122"/>
        <w:gridCol w:w="371"/>
        <w:gridCol w:w="475"/>
        <w:gridCol w:w="61"/>
        <w:gridCol w:w="268"/>
        <w:gridCol w:w="127"/>
        <w:gridCol w:w="419"/>
        <w:gridCol w:w="92"/>
        <w:gridCol w:w="1258"/>
      </w:tblGrid>
      <w:tr w:rsidR="00BC27E9" w:rsidRPr="00954407" w14:paraId="6D95D5AE" w14:textId="77777777" w:rsidTr="00220FA8">
        <w:trPr>
          <w:trHeight w:val="333"/>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142F62"/>
            <w:vAlign w:val="center"/>
          </w:tcPr>
          <w:p w14:paraId="1E2E3437"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Datos generales de la institución.</w:t>
            </w:r>
          </w:p>
        </w:tc>
      </w:tr>
      <w:tr w:rsidR="00BC27E9" w:rsidRPr="00954407" w14:paraId="23757E93" w14:textId="77777777" w:rsidTr="00220FA8">
        <w:trPr>
          <w:trHeight w:val="359"/>
        </w:trPr>
        <w:tc>
          <w:tcPr>
            <w:tcW w:w="1119" w:type="dxa"/>
            <w:tcBorders>
              <w:top w:val="single" w:sz="4" w:space="0" w:color="003876"/>
              <w:left w:val="single" w:sz="4" w:space="0" w:color="003876"/>
              <w:bottom w:val="single" w:sz="4" w:space="0" w:color="003876"/>
              <w:right w:val="single" w:sz="4" w:space="0" w:color="003876"/>
            </w:tcBorders>
            <w:shd w:val="clear" w:color="auto" w:fill="DEEAF6"/>
            <w:vAlign w:val="center"/>
          </w:tcPr>
          <w:p w14:paraId="28335ACA" w14:textId="77777777" w:rsidR="00BC27E9" w:rsidRPr="00954407" w:rsidRDefault="00BC27E9" w:rsidP="00220FA8">
            <w:pPr>
              <w:pStyle w:val="EstilodePrrafoNormal1RdeC"/>
              <w:rPr>
                <w:rFonts w:eastAsia="Calibri"/>
                <w:spacing w:val="-2"/>
                <w:szCs w:val="20"/>
              </w:rPr>
            </w:pPr>
            <w:r w:rsidRPr="00954407">
              <w:rPr>
                <w:rFonts w:eastAsia="Calibri"/>
                <w:spacing w:val="-2"/>
                <w:szCs w:val="20"/>
              </w:rPr>
              <w:t>Institución:</w:t>
            </w:r>
          </w:p>
        </w:tc>
        <w:tc>
          <w:tcPr>
            <w:tcW w:w="1348" w:type="dxa"/>
            <w:gridSpan w:val="4"/>
            <w:tcBorders>
              <w:top w:val="single" w:sz="4" w:space="0" w:color="003876"/>
              <w:left w:val="single" w:sz="4" w:space="0" w:color="003876"/>
              <w:bottom w:val="single" w:sz="4" w:space="0" w:color="003876"/>
              <w:right w:val="single" w:sz="4" w:space="0" w:color="003876"/>
            </w:tcBorders>
            <w:vAlign w:val="center"/>
          </w:tcPr>
          <w:p w14:paraId="552EC47C" w14:textId="77777777" w:rsidR="00BC27E9" w:rsidRPr="00954407" w:rsidRDefault="00BC27E9" w:rsidP="00220FA8">
            <w:pPr>
              <w:pStyle w:val="EstilodePrrafoNormal1RdeC"/>
              <w:rPr>
                <w:rFonts w:eastAsia="Calibri"/>
                <w:spacing w:val="0"/>
                <w:szCs w:val="20"/>
              </w:rPr>
            </w:pPr>
          </w:p>
        </w:tc>
        <w:tc>
          <w:tcPr>
            <w:tcW w:w="2354" w:type="dxa"/>
            <w:gridSpan w:val="9"/>
            <w:tcBorders>
              <w:top w:val="single" w:sz="4" w:space="0" w:color="003876"/>
              <w:left w:val="single" w:sz="4" w:space="0" w:color="003876"/>
              <w:bottom w:val="single" w:sz="4" w:space="0" w:color="003876"/>
              <w:right w:val="single" w:sz="4" w:space="0" w:color="003876"/>
            </w:tcBorders>
            <w:shd w:val="clear" w:color="auto" w:fill="DEEAF6"/>
            <w:vAlign w:val="center"/>
          </w:tcPr>
          <w:p w14:paraId="7E349F5C"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Dependencia:</w:t>
            </w:r>
          </w:p>
        </w:tc>
        <w:tc>
          <w:tcPr>
            <w:tcW w:w="909" w:type="dxa"/>
            <w:gridSpan w:val="4"/>
            <w:tcBorders>
              <w:top w:val="single" w:sz="4" w:space="0" w:color="003876"/>
              <w:left w:val="single" w:sz="4" w:space="0" w:color="003876"/>
              <w:bottom w:val="single" w:sz="4" w:space="0" w:color="003876"/>
              <w:right w:val="single" w:sz="4" w:space="0" w:color="003876"/>
            </w:tcBorders>
            <w:vAlign w:val="center"/>
          </w:tcPr>
          <w:p w14:paraId="43D29637" w14:textId="77777777" w:rsidR="00BC27E9" w:rsidRPr="00954407" w:rsidRDefault="00BC27E9" w:rsidP="00220FA8">
            <w:pPr>
              <w:pStyle w:val="EstilodePrrafoNormal1RdeC"/>
              <w:rPr>
                <w:rFonts w:eastAsia="Calibri"/>
                <w:spacing w:val="0"/>
                <w:szCs w:val="20"/>
              </w:rPr>
            </w:pPr>
          </w:p>
        </w:tc>
        <w:tc>
          <w:tcPr>
            <w:tcW w:w="907" w:type="dxa"/>
            <w:gridSpan w:val="3"/>
            <w:tcBorders>
              <w:top w:val="single" w:sz="4" w:space="0" w:color="003876"/>
              <w:left w:val="single" w:sz="4" w:space="0" w:color="003876"/>
              <w:bottom w:val="single" w:sz="4" w:space="0" w:color="003876"/>
              <w:right w:val="single" w:sz="4" w:space="0" w:color="003876"/>
            </w:tcBorders>
            <w:shd w:val="clear" w:color="auto" w:fill="DEEAF6"/>
            <w:vAlign w:val="center"/>
          </w:tcPr>
          <w:p w14:paraId="00D99752"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Sector:</w:t>
            </w:r>
          </w:p>
        </w:tc>
        <w:tc>
          <w:tcPr>
            <w:tcW w:w="2164" w:type="dxa"/>
            <w:gridSpan w:val="5"/>
            <w:tcBorders>
              <w:top w:val="single" w:sz="4" w:space="0" w:color="003876"/>
              <w:left w:val="single" w:sz="4" w:space="0" w:color="003876"/>
              <w:bottom w:val="single" w:sz="4" w:space="0" w:color="003876"/>
              <w:right w:val="single" w:sz="4" w:space="0" w:color="003876"/>
            </w:tcBorders>
            <w:vAlign w:val="center"/>
          </w:tcPr>
          <w:p w14:paraId="368EE860" w14:textId="77777777" w:rsidR="00BC27E9" w:rsidRPr="00954407" w:rsidRDefault="00BC27E9" w:rsidP="00220FA8">
            <w:pPr>
              <w:pStyle w:val="EstilodePrrafoNormal1RdeC"/>
              <w:rPr>
                <w:rFonts w:eastAsia="Calibri"/>
                <w:spacing w:val="0"/>
                <w:szCs w:val="20"/>
              </w:rPr>
            </w:pPr>
          </w:p>
        </w:tc>
      </w:tr>
      <w:tr w:rsidR="00BC27E9" w:rsidRPr="00954407" w14:paraId="36C7BCBD" w14:textId="77777777" w:rsidTr="00220FA8">
        <w:trPr>
          <w:trHeight w:val="284"/>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142F62"/>
            <w:vAlign w:val="center"/>
          </w:tcPr>
          <w:p w14:paraId="6D858838"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Servidores de carrera y cargos concursables</w:t>
            </w:r>
          </w:p>
        </w:tc>
      </w:tr>
      <w:tr w:rsidR="00BC27E9" w:rsidRPr="00954407" w14:paraId="5487A21D" w14:textId="77777777" w:rsidTr="00220FA8">
        <w:trPr>
          <w:trHeight w:val="307"/>
        </w:trPr>
        <w:tc>
          <w:tcPr>
            <w:tcW w:w="1119" w:type="dxa"/>
            <w:vMerge w:val="restart"/>
            <w:tcBorders>
              <w:top w:val="single" w:sz="4" w:space="0" w:color="003876"/>
              <w:left w:val="single" w:sz="4" w:space="0" w:color="003876"/>
              <w:bottom w:val="single" w:sz="4" w:space="0" w:color="003876"/>
              <w:right w:val="single" w:sz="4" w:space="0" w:color="003876"/>
            </w:tcBorders>
            <w:shd w:val="clear" w:color="auto" w:fill="E0E6ED"/>
            <w:vAlign w:val="center"/>
          </w:tcPr>
          <w:p w14:paraId="27A063D2"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Total de servidores, según nómina al 30/11/2025</w:t>
            </w:r>
          </w:p>
        </w:tc>
        <w:tc>
          <w:tcPr>
            <w:tcW w:w="880" w:type="dxa"/>
            <w:gridSpan w:val="2"/>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4F223BDD" w14:textId="77777777" w:rsidR="00BC27E9" w:rsidRPr="00954407" w:rsidRDefault="00BC27E9" w:rsidP="00220FA8">
            <w:pPr>
              <w:pStyle w:val="EstilodePrrafoNormal1RdeC"/>
              <w:rPr>
                <w:rFonts w:eastAsia="Calibri"/>
                <w:spacing w:val="-8"/>
                <w:sz w:val="18"/>
                <w:szCs w:val="19"/>
              </w:rPr>
            </w:pPr>
            <w:r w:rsidRPr="00954407">
              <w:rPr>
                <w:rFonts w:eastAsia="Calibri"/>
                <w:spacing w:val="-8"/>
                <w:sz w:val="18"/>
                <w:szCs w:val="19"/>
              </w:rPr>
              <w:t>Cantidad de Funcionarios de libre nombramiento</w:t>
            </w:r>
          </w:p>
        </w:tc>
        <w:tc>
          <w:tcPr>
            <w:tcW w:w="881" w:type="dxa"/>
            <w:gridSpan w:val="4"/>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6F5F7F8C" w14:textId="77777777" w:rsidR="00BC27E9" w:rsidRPr="00954407" w:rsidRDefault="00BC27E9" w:rsidP="00220FA8">
            <w:pPr>
              <w:pStyle w:val="EstilodePrrafoNormal1RdeC"/>
              <w:rPr>
                <w:rFonts w:eastAsia="Calibri"/>
                <w:spacing w:val="-8"/>
                <w:sz w:val="18"/>
                <w:szCs w:val="19"/>
              </w:rPr>
            </w:pPr>
            <w:r w:rsidRPr="00954407">
              <w:rPr>
                <w:rFonts w:eastAsia="Calibri"/>
                <w:spacing w:val="-8"/>
                <w:sz w:val="18"/>
                <w:szCs w:val="19"/>
              </w:rPr>
              <w:t>Funcionarios de confianza</w:t>
            </w:r>
          </w:p>
        </w:tc>
        <w:tc>
          <w:tcPr>
            <w:tcW w:w="880" w:type="dxa"/>
            <w:gridSpan w:val="2"/>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3DAD1E23" w14:textId="77777777" w:rsidR="00BC27E9" w:rsidRPr="00954407" w:rsidRDefault="00BC27E9" w:rsidP="00220FA8">
            <w:pPr>
              <w:pStyle w:val="EstilodePrrafoNormal1RdeC"/>
              <w:rPr>
                <w:rFonts w:eastAsia="Calibri"/>
                <w:spacing w:val="-8"/>
                <w:sz w:val="18"/>
                <w:szCs w:val="19"/>
              </w:rPr>
            </w:pPr>
            <w:r w:rsidRPr="00954407">
              <w:rPr>
                <w:rFonts w:eastAsia="Calibri"/>
                <w:spacing w:val="-8"/>
                <w:sz w:val="18"/>
                <w:szCs w:val="19"/>
              </w:rPr>
              <w:t>Servidores Estatuto Simplificado (incl. G. O. 3)</w:t>
            </w:r>
          </w:p>
        </w:tc>
        <w:tc>
          <w:tcPr>
            <w:tcW w:w="881" w:type="dxa"/>
            <w:gridSpan w:val="4"/>
            <w:vMerge w:val="restart"/>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3569FD5B" w14:textId="77777777" w:rsidR="00BC27E9" w:rsidRPr="00954407" w:rsidRDefault="00BC27E9" w:rsidP="00220FA8">
            <w:pPr>
              <w:pStyle w:val="EstilodePrrafoNormal1RdeC"/>
              <w:rPr>
                <w:rFonts w:eastAsia="Calibri"/>
                <w:spacing w:val="-8"/>
                <w:sz w:val="18"/>
                <w:szCs w:val="19"/>
              </w:rPr>
            </w:pPr>
            <w:r w:rsidRPr="00954407">
              <w:rPr>
                <w:rFonts w:eastAsia="Calibri"/>
                <w:spacing w:val="-8"/>
                <w:sz w:val="18"/>
                <w:szCs w:val="19"/>
              </w:rPr>
              <w:t>Servidores Grupo Ocupacional 2</w:t>
            </w:r>
          </w:p>
        </w:tc>
        <w:tc>
          <w:tcPr>
            <w:tcW w:w="4160" w:type="dxa"/>
            <w:gridSpan w:val="13"/>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3E296154" w14:textId="77777777" w:rsidR="00BC27E9" w:rsidRPr="00954407" w:rsidRDefault="00BC27E9" w:rsidP="00220FA8">
            <w:pPr>
              <w:pStyle w:val="EstilodePrrafoNormal1RdeC"/>
              <w:rPr>
                <w:rFonts w:eastAsia="Calibri"/>
                <w:spacing w:val="-8"/>
                <w:sz w:val="19"/>
                <w:szCs w:val="19"/>
              </w:rPr>
            </w:pPr>
            <w:r w:rsidRPr="00954407">
              <w:rPr>
                <w:rFonts w:eastAsia="Calibri"/>
                <w:spacing w:val="-8"/>
                <w:sz w:val="19"/>
                <w:szCs w:val="19"/>
              </w:rPr>
              <w:t xml:space="preserve">Servidores identificados en nómina </w:t>
            </w:r>
            <w:r w:rsidRPr="00954407">
              <w:rPr>
                <w:rFonts w:eastAsia="Calibri"/>
                <w:spacing w:val="-8"/>
                <w:sz w:val="19"/>
                <w:szCs w:val="19"/>
              </w:rPr>
              <w:br/>
              <w:t>en los G.O. 3, 4 y 5</w:t>
            </w:r>
          </w:p>
        </w:tc>
      </w:tr>
      <w:tr w:rsidR="00BC27E9" w:rsidRPr="00954407" w14:paraId="1FDE0BE8" w14:textId="77777777" w:rsidTr="00220FA8">
        <w:trPr>
          <w:trHeight w:val="1349"/>
        </w:trPr>
        <w:tc>
          <w:tcPr>
            <w:tcW w:w="1119" w:type="dxa"/>
            <w:vMerge/>
            <w:tcBorders>
              <w:top w:val="single" w:sz="4" w:space="0" w:color="003876"/>
              <w:left w:val="single" w:sz="4" w:space="0" w:color="003876"/>
              <w:bottom w:val="single" w:sz="4" w:space="0" w:color="003876"/>
              <w:right w:val="single" w:sz="4" w:space="0" w:color="003876"/>
            </w:tcBorders>
            <w:shd w:val="clear" w:color="auto" w:fill="E0E6ED"/>
            <w:vAlign w:val="center"/>
          </w:tcPr>
          <w:p w14:paraId="72632120" w14:textId="77777777" w:rsidR="00BC27E9" w:rsidRPr="00954407" w:rsidRDefault="00BC27E9" w:rsidP="00220FA8">
            <w:pPr>
              <w:pStyle w:val="EstilodePrrafoNormal1RdeC"/>
              <w:rPr>
                <w:rFonts w:eastAsia="Calibri"/>
                <w:spacing w:val="0"/>
                <w:szCs w:val="20"/>
              </w:rPr>
            </w:pPr>
          </w:p>
        </w:tc>
        <w:tc>
          <w:tcPr>
            <w:tcW w:w="880" w:type="dxa"/>
            <w:gridSpan w:val="2"/>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5FFACCB9" w14:textId="77777777" w:rsidR="00BC27E9" w:rsidRPr="00954407" w:rsidRDefault="00BC27E9" w:rsidP="00220FA8">
            <w:pPr>
              <w:pStyle w:val="EstilodePrrafoNormal1RdeC"/>
              <w:rPr>
                <w:rFonts w:eastAsia="Calibri"/>
                <w:spacing w:val="-8"/>
                <w:sz w:val="19"/>
                <w:szCs w:val="19"/>
              </w:rPr>
            </w:pPr>
          </w:p>
        </w:tc>
        <w:tc>
          <w:tcPr>
            <w:tcW w:w="881" w:type="dxa"/>
            <w:gridSpan w:val="4"/>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338CB80A" w14:textId="77777777" w:rsidR="00BC27E9" w:rsidRPr="00954407" w:rsidRDefault="00BC27E9" w:rsidP="00220FA8">
            <w:pPr>
              <w:pStyle w:val="EstilodePrrafoNormal1RdeC"/>
              <w:rPr>
                <w:rFonts w:eastAsia="Calibri"/>
                <w:spacing w:val="-8"/>
                <w:sz w:val="19"/>
                <w:szCs w:val="19"/>
              </w:rPr>
            </w:pPr>
          </w:p>
        </w:tc>
        <w:tc>
          <w:tcPr>
            <w:tcW w:w="880" w:type="dxa"/>
            <w:gridSpan w:val="2"/>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387D2183" w14:textId="77777777" w:rsidR="00BC27E9" w:rsidRPr="00954407" w:rsidRDefault="00BC27E9" w:rsidP="00220FA8">
            <w:pPr>
              <w:pStyle w:val="EstilodePrrafoNormal1RdeC"/>
              <w:rPr>
                <w:rFonts w:eastAsia="Calibri"/>
                <w:spacing w:val="-8"/>
                <w:sz w:val="19"/>
                <w:szCs w:val="19"/>
              </w:rPr>
            </w:pPr>
          </w:p>
        </w:tc>
        <w:tc>
          <w:tcPr>
            <w:tcW w:w="881" w:type="dxa"/>
            <w:gridSpan w:val="4"/>
            <w:vMerge/>
            <w:tcBorders>
              <w:top w:val="single" w:sz="4" w:space="0" w:color="003876"/>
              <w:left w:val="single" w:sz="4" w:space="0" w:color="003876"/>
              <w:bottom w:val="single" w:sz="4" w:space="0" w:color="003876"/>
              <w:right w:val="single" w:sz="4" w:space="0" w:color="003876"/>
            </w:tcBorders>
            <w:shd w:val="clear" w:color="auto" w:fill="E0E6ED"/>
            <w:tcMar>
              <w:left w:w="58" w:type="dxa"/>
              <w:right w:w="58" w:type="dxa"/>
            </w:tcMar>
            <w:vAlign w:val="center"/>
          </w:tcPr>
          <w:p w14:paraId="337B7C2D" w14:textId="77777777" w:rsidR="00BC27E9" w:rsidRPr="00954407" w:rsidRDefault="00BC27E9" w:rsidP="00220FA8">
            <w:pPr>
              <w:pStyle w:val="EstilodePrrafoNormal1RdeC"/>
              <w:rPr>
                <w:rFonts w:eastAsia="Calibri"/>
                <w:spacing w:val="-8"/>
                <w:sz w:val="19"/>
                <w:szCs w:val="19"/>
              </w:rPr>
            </w:pPr>
          </w:p>
        </w:tc>
        <w:tc>
          <w:tcPr>
            <w:tcW w:w="967" w:type="dxa"/>
            <w:gridSpan w:val="4"/>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23579F2B" w14:textId="77777777" w:rsidR="00BC27E9" w:rsidRPr="00954407" w:rsidRDefault="00BC27E9" w:rsidP="00220FA8">
            <w:pPr>
              <w:pStyle w:val="EstilodePrrafoNormal1RdeC"/>
              <w:rPr>
                <w:rFonts w:eastAsia="Calibri"/>
                <w:spacing w:val="-8"/>
                <w:sz w:val="18"/>
                <w:szCs w:val="19"/>
              </w:rPr>
            </w:pPr>
            <w:r w:rsidRPr="00954407">
              <w:rPr>
                <w:rFonts w:eastAsia="Calibri"/>
                <w:spacing w:val="-8"/>
                <w:sz w:val="18"/>
                <w:szCs w:val="19"/>
              </w:rPr>
              <w:t xml:space="preserve">Servidores Grupo Ocupacional </w:t>
            </w:r>
            <w:r w:rsidRPr="00954407">
              <w:rPr>
                <w:rFonts w:eastAsia="Calibri"/>
                <w:spacing w:val="-8"/>
                <w:sz w:val="18"/>
                <w:szCs w:val="19"/>
              </w:rPr>
              <w:br/>
              <w:t>3</w:t>
            </w:r>
          </w:p>
        </w:tc>
        <w:tc>
          <w:tcPr>
            <w:tcW w:w="968" w:type="dxa"/>
            <w:gridSpan w:val="3"/>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7381FFC5" w14:textId="77777777" w:rsidR="00BC27E9" w:rsidRPr="00954407" w:rsidRDefault="00BC27E9" w:rsidP="00220FA8">
            <w:pPr>
              <w:pStyle w:val="EstilodePrrafoNormal1RdeC"/>
              <w:rPr>
                <w:rFonts w:eastAsia="Calibri"/>
                <w:spacing w:val="-8"/>
                <w:sz w:val="18"/>
                <w:szCs w:val="19"/>
              </w:rPr>
            </w:pPr>
            <w:r w:rsidRPr="00954407">
              <w:rPr>
                <w:rFonts w:eastAsia="Calibri"/>
                <w:spacing w:val="-8"/>
                <w:sz w:val="18"/>
                <w:szCs w:val="19"/>
              </w:rPr>
              <w:t xml:space="preserve">Servidores Grupo Ocupacional </w:t>
            </w:r>
            <w:r w:rsidRPr="00954407">
              <w:rPr>
                <w:rFonts w:eastAsia="Calibri"/>
                <w:spacing w:val="-8"/>
                <w:sz w:val="18"/>
                <w:szCs w:val="19"/>
              </w:rPr>
              <w:br/>
              <w:t>4</w:t>
            </w:r>
          </w:p>
        </w:tc>
        <w:tc>
          <w:tcPr>
            <w:tcW w:w="967" w:type="dxa"/>
            <w:gridSpan w:val="5"/>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5D3E2FE3" w14:textId="77777777" w:rsidR="00BC27E9" w:rsidRPr="00954407" w:rsidRDefault="00BC27E9" w:rsidP="00220FA8">
            <w:pPr>
              <w:pStyle w:val="EstilodePrrafoNormal1RdeC"/>
              <w:rPr>
                <w:rFonts w:eastAsia="Calibri"/>
                <w:spacing w:val="-8"/>
                <w:sz w:val="18"/>
                <w:szCs w:val="19"/>
              </w:rPr>
            </w:pPr>
            <w:r w:rsidRPr="00954407">
              <w:rPr>
                <w:rFonts w:eastAsia="Calibri"/>
                <w:spacing w:val="-8"/>
                <w:sz w:val="18"/>
                <w:szCs w:val="19"/>
              </w:rPr>
              <w:t xml:space="preserve">Servidores Grupo Ocupacional </w:t>
            </w:r>
            <w:r w:rsidRPr="00954407">
              <w:rPr>
                <w:rFonts w:eastAsia="Calibri"/>
                <w:spacing w:val="-8"/>
                <w:sz w:val="18"/>
                <w:szCs w:val="19"/>
              </w:rPr>
              <w:br/>
              <w:t>5</w:t>
            </w:r>
          </w:p>
        </w:tc>
        <w:tc>
          <w:tcPr>
            <w:tcW w:w="1258" w:type="dxa"/>
            <w:tcBorders>
              <w:top w:val="single" w:sz="4" w:space="0" w:color="003876"/>
              <w:left w:val="single" w:sz="4" w:space="0" w:color="003876"/>
              <w:bottom w:val="single" w:sz="4" w:space="0" w:color="003876"/>
              <w:right w:val="single" w:sz="4" w:space="0" w:color="003876"/>
            </w:tcBorders>
            <w:shd w:val="clear" w:color="auto" w:fill="E0E6ED"/>
            <w:tcMar>
              <w:left w:w="72" w:type="dxa"/>
              <w:right w:w="72" w:type="dxa"/>
            </w:tcMar>
            <w:vAlign w:val="center"/>
          </w:tcPr>
          <w:p w14:paraId="35BFF31A" w14:textId="77777777" w:rsidR="00BC27E9" w:rsidRPr="00954407" w:rsidRDefault="00BC27E9" w:rsidP="00220FA8">
            <w:pPr>
              <w:pStyle w:val="EstilodePrrafoNormal1RdeC"/>
              <w:rPr>
                <w:rFonts w:eastAsia="Calibri"/>
                <w:spacing w:val="-8"/>
                <w:sz w:val="18"/>
                <w:szCs w:val="19"/>
              </w:rPr>
            </w:pPr>
            <w:r w:rsidRPr="00954407">
              <w:rPr>
                <w:rFonts w:eastAsia="Calibri"/>
                <w:spacing w:val="-8"/>
                <w:sz w:val="18"/>
                <w:szCs w:val="19"/>
              </w:rPr>
              <w:t>Servidores de Carrera especial</w:t>
            </w:r>
          </w:p>
        </w:tc>
      </w:tr>
      <w:tr w:rsidR="00BC27E9" w:rsidRPr="00954407" w14:paraId="2C736389" w14:textId="77777777" w:rsidTr="00220FA8">
        <w:trPr>
          <w:trHeight w:val="404"/>
        </w:trPr>
        <w:tc>
          <w:tcPr>
            <w:tcW w:w="1119" w:type="dxa"/>
            <w:tcBorders>
              <w:top w:val="single" w:sz="4" w:space="0" w:color="003876"/>
              <w:left w:val="single" w:sz="4" w:space="0" w:color="003876"/>
              <w:bottom w:val="single" w:sz="4" w:space="0" w:color="003876"/>
              <w:right w:val="single" w:sz="4" w:space="0" w:color="003876"/>
            </w:tcBorders>
            <w:vAlign w:val="center"/>
          </w:tcPr>
          <w:p w14:paraId="247B867E"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6,779</w:t>
            </w:r>
          </w:p>
        </w:tc>
        <w:tc>
          <w:tcPr>
            <w:tcW w:w="880" w:type="dxa"/>
            <w:gridSpan w:val="2"/>
            <w:tcBorders>
              <w:top w:val="single" w:sz="4" w:space="0" w:color="003876"/>
              <w:left w:val="single" w:sz="4" w:space="0" w:color="003876"/>
              <w:bottom w:val="single" w:sz="4" w:space="0" w:color="003876"/>
              <w:right w:val="single" w:sz="4" w:space="0" w:color="003876"/>
            </w:tcBorders>
            <w:tcMar>
              <w:left w:w="58" w:type="dxa"/>
              <w:right w:w="58" w:type="dxa"/>
            </w:tcMar>
            <w:vAlign w:val="center"/>
          </w:tcPr>
          <w:p w14:paraId="31E366FE"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18</w:t>
            </w:r>
          </w:p>
        </w:tc>
        <w:tc>
          <w:tcPr>
            <w:tcW w:w="881" w:type="dxa"/>
            <w:gridSpan w:val="4"/>
            <w:tcBorders>
              <w:top w:val="single" w:sz="4" w:space="0" w:color="003876"/>
              <w:left w:val="single" w:sz="4" w:space="0" w:color="003876"/>
              <w:bottom w:val="single" w:sz="4" w:space="0" w:color="003876"/>
              <w:right w:val="single" w:sz="4" w:space="0" w:color="003876"/>
            </w:tcBorders>
            <w:tcMar>
              <w:left w:w="58" w:type="dxa"/>
              <w:right w:w="58" w:type="dxa"/>
            </w:tcMar>
            <w:vAlign w:val="center"/>
          </w:tcPr>
          <w:p w14:paraId="7BF2E23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75</w:t>
            </w:r>
          </w:p>
        </w:tc>
        <w:tc>
          <w:tcPr>
            <w:tcW w:w="880" w:type="dxa"/>
            <w:gridSpan w:val="2"/>
            <w:tcBorders>
              <w:top w:val="single" w:sz="4" w:space="0" w:color="003876"/>
              <w:left w:val="single" w:sz="4" w:space="0" w:color="003876"/>
              <w:bottom w:val="single" w:sz="4" w:space="0" w:color="003876"/>
              <w:right w:val="single" w:sz="4" w:space="0" w:color="003876"/>
            </w:tcBorders>
            <w:tcMar>
              <w:left w:w="58" w:type="dxa"/>
              <w:right w:w="58" w:type="dxa"/>
            </w:tcMar>
            <w:vAlign w:val="center"/>
          </w:tcPr>
          <w:p w14:paraId="2FDDE7F9"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2666</w:t>
            </w:r>
          </w:p>
        </w:tc>
        <w:tc>
          <w:tcPr>
            <w:tcW w:w="881" w:type="dxa"/>
            <w:gridSpan w:val="4"/>
            <w:tcBorders>
              <w:top w:val="single" w:sz="4" w:space="0" w:color="003876"/>
              <w:left w:val="single" w:sz="4" w:space="0" w:color="003876"/>
              <w:bottom w:val="single" w:sz="4" w:space="0" w:color="003876"/>
              <w:right w:val="single" w:sz="4" w:space="0" w:color="003876"/>
            </w:tcBorders>
            <w:tcMar>
              <w:left w:w="58" w:type="dxa"/>
              <w:right w:w="58" w:type="dxa"/>
            </w:tcMar>
            <w:vAlign w:val="center"/>
          </w:tcPr>
          <w:p w14:paraId="6F18FCB8"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1904</w:t>
            </w:r>
          </w:p>
        </w:tc>
        <w:tc>
          <w:tcPr>
            <w:tcW w:w="967" w:type="dxa"/>
            <w:gridSpan w:val="4"/>
            <w:tcBorders>
              <w:top w:val="single" w:sz="4" w:space="0" w:color="003876"/>
              <w:left w:val="single" w:sz="4" w:space="0" w:color="003876"/>
              <w:bottom w:val="single" w:sz="4" w:space="0" w:color="003876"/>
              <w:right w:val="single" w:sz="4" w:space="0" w:color="003876"/>
            </w:tcBorders>
            <w:vAlign w:val="center"/>
          </w:tcPr>
          <w:p w14:paraId="2CA400B4"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543</w:t>
            </w:r>
          </w:p>
        </w:tc>
        <w:tc>
          <w:tcPr>
            <w:tcW w:w="968" w:type="dxa"/>
            <w:gridSpan w:val="3"/>
            <w:tcBorders>
              <w:top w:val="single" w:sz="4" w:space="0" w:color="003876"/>
              <w:left w:val="single" w:sz="4" w:space="0" w:color="003876"/>
              <w:bottom w:val="single" w:sz="4" w:space="0" w:color="003876"/>
              <w:right w:val="single" w:sz="4" w:space="0" w:color="003876"/>
            </w:tcBorders>
            <w:vAlign w:val="center"/>
          </w:tcPr>
          <w:p w14:paraId="2ABBB58F"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1319</w:t>
            </w:r>
          </w:p>
        </w:tc>
        <w:tc>
          <w:tcPr>
            <w:tcW w:w="967" w:type="dxa"/>
            <w:gridSpan w:val="5"/>
            <w:tcBorders>
              <w:top w:val="single" w:sz="4" w:space="0" w:color="003876"/>
              <w:left w:val="single" w:sz="4" w:space="0" w:color="003876"/>
              <w:bottom w:val="single" w:sz="4" w:space="0" w:color="003876"/>
              <w:right w:val="single" w:sz="4" w:space="0" w:color="003876"/>
            </w:tcBorders>
            <w:vAlign w:val="center"/>
          </w:tcPr>
          <w:p w14:paraId="7E310351"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254</w:t>
            </w:r>
          </w:p>
        </w:tc>
        <w:tc>
          <w:tcPr>
            <w:tcW w:w="1258" w:type="dxa"/>
            <w:tcBorders>
              <w:top w:val="single" w:sz="4" w:space="0" w:color="003876"/>
              <w:left w:val="single" w:sz="4" w:space="0" w:color="003876"/>
              <w:bottom w:val="single" w:sz="4" w:space="0" w:color="003876"/>
              <w:right w:val="single" w:sz="4" w:space="0" w:color="003876"/>
            </w:tcBorders>
            <w:vAlign w:val="center"/>
          </w:tcPr>
          <w:p w14:paraId="3959287F"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r>
      <w:tr w:rsidR="00BC27E9" w:rsidRPr="00954407" w14:paraId="4C691011" w14:textId="77777777" w:rsidTr="00220FA8">
        <w:trPr>
          <w:trHeight w:val="2690"/>
        </w:trPr>
        <w:tc>
          <w:tcPr>
            <w:tcW w:w="1119" w:type="dxa"/>
            <w:tcBorders>
              <w:top w:val="single" w:sz="4" w:space="0" w:color="003876"/>
              <w:left w:val="single" w:sz="4" w:space="0" w:color="003876"/>
              <w:bottom w:val="single" w:sz="4" w:space="0" w:color="003876"/>
              <w:right w:val="single" w:sz="4" w:space="0" w:color="003876"/>
            </w:tcBorders>
            <w:shd w:val="clear" w:color="auto" w:fill="EDEDED"/>
            <w:vAlign w:val="center"/>
          </w:tcPr>
          <w:p w14:paraId="61BE389D"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Total de plazas de carrera </w:t>
            </w:r>
            <w:r w:rsidRPr="00954407">
              <w:rPr>
                <w:rFonts w:eastAsia="Calibri"/>
                <w:spacing w:val="0"/>
                <w:sz w:val="18"/>
                <w:szCs w:val="18"/>
              </w:rPr>
              <w:t>(sumatoria de todos los servidores identificados en nómina en los grupos 3, 4 y 5</w:t>
            </w:r>
            <w:r w:rsidRPr="00954407">
              <w:rPr>
                <w:rFonts w:eastAsia="Calibri"/>
                <w:spacing w:val="0"/>
                <w:szCs w:val="20"/>
              </w:rPr>
              <w:t>)</w:t>
            </w:r>
          </w:p>
        </w:tc>
        <w:tc>
          <w:tcPr>
            <w:tcW w:w="7682" w:type="dxa"/>
            <w:gridSpan w:val="25"/>
            <w:tcBorders>
              <w:top w:val="single" w:sz="4" w:space="0" w:color="003876"/>
              <w:left w:val="single" w:sz="4" w:space="0" w:color="003876"/>
              <w:bottom w:val="single" w:sz="4" w:space="0" w:color="003876"/>
              <w:right w:val="single" w:sz="4" w:space="0" w:color="003876"/>
            </w:tcBorders>
            <w:shd w:val="clear" w:color="auto" w:fill="47A8EA"/>
            <w:vAlign w:val="center"/>
          </w:tcPr>
          <w:p w14:paraId="598EC191" w14:textId="77777777" w:rsidR="00BC27E9" w:rsidRPr="00954407" w:rsidRDefault="00BC27E9" w:rsidP="00220FA8">
            <w:pPr>
              <w:pStyle w:val="EstilodePrrafoNormal1RdeC"/>
              <w:rPr>
                <w:rFonts w:eastAsia="Calibri"/>
                <w:spacing w:val="0"/>
                <w:sz w:val="22"/>
              </w:rPr>
            </w:pPr>
            <w:r w:rsidRPr="00954407">
              <w:rPr>
                <w:rFonts w:eastAsia="Calibri"/>
                <w:spacing w:val="0"/>
                <w:sz w:val="22"/>
              </w:rPr>
              <w:t>De los cuales son servidores de carrera:</w:t>
            </w:r>
          </w:p>
          <w:p w14:paraId="54A4AC0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(Introducir debajo la cantidad de servidores incorporados en carrera administrativa, que se desempeñan en cada grupo ocupacional, y de los que ocupan cargos de confianza y de libre nombramiento y remoción según corresponda) y </w:t>
            </w:r>
          </w:p>
        </w:tc>
      </w:tr>
      <w:tr w:rsidR="00BC27E9" w:rsidRPr="00954407" w14:paraId="624F4733" w14:textId="77777777" w:rsidTr="00220FA8">
        <w:trPr>
          <w:trHeight w:val="1475"/>
        </w:trPr>
        <w:tc>
          <w:tcPr>
            <w:tcW w:w="1119" w:type="dxa"/>
            <w:vMerge w:val="restart"/>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59A2F7E"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2,116</w:t>
            </w:r>
          </w:p>
        </w:tc>
        <w:tc>
          <w:tcPr>
            <w:tcW w:w="1096"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371CF461" w14:textId="77777777" w:rsidR="00BC27E9" w:rsidRPr="00954407" w:rsidRDefault="00BC27E9" w:rsidP="00220FA8">
            <w:pPr>
              <w:pStyle w:val="EstilodePrrafoNormal1RdeC"/>
              <w:rPr>
                <w:rFonts w:eastAsia="Calibri"/>
                <w:spacing w:val="-12"/>
                <w:sz w:val="18"/>
                <w:szCs w:val="20"/>
              </w:rPr>
            </w:pPr>
            <w:r w:rsidRPr="00954407">
              <w:rPr>
                <w:rFonts w:eastAsia="Calibri"/>
                <w:spacing w:val="-12"/>
                <w:sz w:val="18"/>
                <w:szCs w:val="20"/>
              </w:rPr>
              <w:t xml:space="preserve">Servidores Grupo Ocupacional </w:t>
            </w:r>
            <w:r w:rsidRPr="00954407">
              <w:rPr>
                <w:rFonts w:eastAsia="Calibri"/>
                <w:spacing w:val="-12"/>
                <w:sz w:val="18"/>
                <w:szCs w:val="20"/>
              </w:rPr>
              <w:br/>
              <w:t xml:space="preserve">1 </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6CD7ED99" w14:textId="77777777" w:rsidR="00BC27E9" w:rsidRPr="00954407" w:rsidRDefault="00BC27E9" w:rsidP="00220FA8">
            <w:pPr>
              <w:pStyle w:val="EstilodePrrafoNormal1RdeC"/>
              <w:rPr>
                <w:rFonts w:eastAsia="Calibri"/>
                <w:spacing w:val="-12"/>
                <w:sz w:val="18"/>
                <w:szCs w:val="20"/>
              </w:rPr>
            </w:pPr>
            <w:r w:rsidRPr="00954407">
              <w:rPr>
                <w:rFonts w:eastAsia="Calibri"/>
                <w:spacing w:val="-12"/>
                <w:sz w:val="18"/>
                <w:szCs w:val="20"/>
              </w:rPr>
              <w:t xml:space="preserve">Servidores Grupo Ocupacional </w:t>
            </w:r>
            <w:r w:rsidRPr="00954407">
              <w:rPr>
                <w:rFonts w:eastAsia="Calibri"/>
                <w:spacing w:val="-12"/>
                <w:sz w:val="18"/>
                <w:szCs w:val="20"/>
              </w:rPr>
              <w:br/>
              <w:t>2</w:t>
            </w:r>
          </w:p>
        </w:tc>
        <w:tc>
          <w:tcPr>
            <w:tcW w:w="108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32C307E9" w14:textId="77777777" w:rsidR="00BC27E9" w:rsidRPr="00954407" w:rsidRDefault="00BC27E9" w:rsidP="00220FA8">
            <w:pPr>
              <w:pStyle w:val="EstilodePrrafoNormal1RdeC"/>
              <w:rPr>
                <w:rFonts w:eastAsia="Calibri"/>
                <w:spacing w:val="-12"/>
                <w:sz w:val="18"/>
                <w:szCs w:val="20"/>
              </w:rPr>
            </w:pPr>
            <w:r w:rsidRPr="00954407">
              <w:rPr>
                <w:rFonts w:eastAsia="Calibri"/>
                <w:spacing w:val="-12"/>
                <w:sz w:val="18"/>
                <w:szCs w:val="20"/>
              </w:rPr>
              <w:t xml:space="preserve">Servidores Grupo Ocupacional </w:t>
            </w:r>
            <w:r w:rsidRPr="00954407">
              <w:rPr>
                <w:rFonts w:eastAsia="Calibri"/>
                <w:spacing w:val="-12"/>
                <w:sz w:val="18"/>
                <w:szCs w:val="20"/>
              </w:rPr>
              <w:br/>
              <w:t>III</w:t>
            </w:r>
          </w:p>
        </w:tc>
        <w:tc>
          <w:tcPr>
            <w:tcW w:w="1131"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7F133CE6" w14:textId="77777777" w:rsidR="00BC27E9" w:rsidRPr="00954407" w:rsidRDefault="00BC27E9" w:rsidP="00220FA8">
            <w:pPr>
              <w:pStyle w:val="EstilodePrrafoNormal1RdeC"/>
              <w:rPr>
                <w:rFonts w:eastAsia="Calibri"/>
                <w:spacing w:val="-10"/>
                <w:szCs w:val="20"/>
              </w:rPr>
            </w:pPr>
            <w:r w:rsidRPr="00954407">
              <w:rPr>
                <w:rFonts w:eastAsia="Calibri"/>
                <w:spacing w:val="-10"/>
                <w:szCs w:val="20"/>
              </w:rPr>
              <w:t xml:space="preserve">Servidores Grupo Ocupacional </w:t>
            </w:r>
            <w:r w:rsidRPr="00954407">
              <w:rPr>
                <w:rFonts w:eastAsia="Calibri"/>
                <w:spacing w:val="-10"/>
                <w:szCs w:val="20"/>
              </w:rPr>
              <w:br/>
              <w:t>IV</w:t>
            </w:r>
          </w:p>
        </w:tc>
        <w:tc>
          <w:tcPr>
            <w:tcW w:w="1115" w:type="dxa"/>
            <w:gridSpan w:val="6"/>
            <w:tcBorders>
              <w:top w:val="single" w:sz="4" w:space="0" w:color="003876"/>
              <w:left w:val="single" w:sz="4" w:space="0" w:color="003876"/>
              <w:bottom w:val="single" w:sz="4" w:space="0" w:color="003876"/>
              <w:right w:val="single" w:sz="4" w:space="0" w:color="003876"/>
            </w:tcBorders>
            <w:shd w:val="clear" w:color="auto" w:fill="FFFFFF" w:themeFill="background1"/>
            <w:tcMar>
              <w:left w:w="72" w:type="dxa"/>
              <w:right w:w="72" w:type="dxa"/>
            </w:tcMar>
            <w:vAlign w:val="center"/>
          </w:tcPr>
          <w:p w14:paraId="201439CB" w14:textId="77777777" w:rsidR="00BC27E9" w:rsidRPr="00954407" w:rsidRDefault="00BC27E9" w:rsidP="00220FA8">
            <w:pPr>
              <w:pStyle w:val="EstilodePrrafoNormal1RdeC"/>
              <w:rPr>
                <w:rFonts w:eastAsia="Calibri"/>
                <w:spacing w:val="-10"/>
                <w:szCs w:val="20"/>
              </w:rPr>
            </w:pPr>
            <w:r w:rsidRPr="00954407">
              <w:rPr>
                <w:rFonts w:eastAsia="Calibri"/>
                <w:spacing w:val="-10"/>
                <w:szCs w:val="20"/>
              </w:rPr>
              <w:t>Servidores Grupo Ocupacional V</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42F9EC80"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Total, de plazas</w:t>
            </w:r>
          </w:p>
          <w:p w14:paraId="08F2B67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 concursables </w:t>
            </w:r>
            <w:r w:rsidRPr="00954407">
              <w:rPr>
                <w:rFonts w:eastAsia="Calibri"/>
                <w:spacing w:val="0"/>
                <w:sz w:val="16"/>
                <w:szCs w:val="16"/>
              </w:rPr>
              <w:t xml:space="preserve">(sumatoria de los servidores incorporados en carrera que se desempeñan en los grupos ocupacionales 3, 4 y 5) </w:t>
            </w:r>
          </w:p>
        </w:tc>
      </w:tr>
      <w:tr w:rsidR="00BC27E9" w:rsidRPr="00954407" w14:paraId="57621734" w14:textId="77777777" w:rsidTr="00220FA8">
        <w:trPr>
          <w:trHeight w:val="540"/>
        </w:trPr>
        <w:tc>
          <w:tcPr>
            <w:tcW w:w="1119" w:type="dxa"/>
            <w:vMerge/>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166B6A6A" w14:textId="77777777" w:rsidR="00BC27E9" w:rsidRPr="00954407" w:rsidRDefault="00BC27E9" w:rsidP="00220FA8">
            <w:pPr>
              <w:pStyle w:val="EstilodePrrafoNormal1RdeC"/>
              <w:rPr>
                <w:rFonts w:eastAsia="Calibri"/>
                <w:spacing w:val="0"/>
                <w:szCs w:val="20"/>
              </w:rPr>
            </w:pPr>
          </w:p>
        </w:tc>
        <w:tc>
          <w:tcPr>
            <w:tcW w:w="1096"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1DE13CA"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85</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2FA9F776"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257</w:t>
            </w:r>
          </w:p>
        </w:tc>
        <w:tc>
          <w:tcPr>
            <w:tcW w:w="108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268743DC"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76</w:t>
            </w:r>
          </w:p>
        </w:tc>
        <w:tc>
          <w:tcPr>
            <w:tcW w:w="1131"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2E43082B"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210</w:t>
            </w:r>
          </w:p>
        </w:tc>
        <w:tc>
          <w:tcPr>
            <w:tcW w:w="1115" w:type="dxa"/>
            <w:gridSpan w:val="6"/>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5C9D2AC4"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52</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147E968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338</w:t>
            </w:r>
          </w:p>
        </w:tc>
      </w:tr>
      <w:tr w:rsidR="00BC27E9" w:rsidRPr="00954407" w14:paraId="35C213AC" w14:textId="77777777" w:rsidTr="00220FA8">
        <w:trPr>
          <w:trHeight w:val="2051"/>
        </w:trPr>
        <w:tc>
          <w:tcPr>
            <w:tcW w:w="1119" w:type="dxa"/>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69211562" w14:textId="77777777" w:rsidR="00BC27E9" w:rsidRPr="00954407" w:rsidRDefault="00BC27E9" w:rsidP="00220FA8">
            <w:pPr>
              <w:pStyle w:val="EstilodePrrafoNormal1RdeC"/>
              <w:rPr>
                <w:rFonts w:eastAsia="Calibri"/>
                <w:spacing w:val="-4"/>
                <w:sz w:val="18"/>
                <w:szCs w:val="18"/>
              </w:rPr>
            </w:pPr>
            <w:r w:rsidRPr="00954407">
              <w:rPr>
                <w:rFonts w:eastAsia="Calibri"/>
                <w:spacing w:val="-4"/>
                <w:sz w:val="18"/>
                <w:szCs w:val="18"/>
              </w:rPr>
              <w:lastRenderedPageBreak/>
              <w:t>Cantidad de Servidores de carrera incorporados por evaluación interna hasta enero 2016</w:t>
            </w:r>
          </w:p>
        </w:tc>
        <w:tc>
          <w:tcPr>
            <w:tcW w:w="1096"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353E353B" w14:textId="77777777" w:rsidR="00BC27E9" w:rsidRPr="00954407" w:rsidRDefault="00BC27E9" w:rsidP="00220FA8">
            <w:pPr>
              <w:pStyle w:val="EstilodePrrafoNormal1RdeC"/>
              <w:rPr>
                <w:rFonts w:eastAsia="Calibri"/>
                <w:spacing w:val="-4"/>
                <w:sz w:val="18"/>
                <w:szCs w:val="18"/>
              </w:rPr>
            </w:pPr>
            <w:r w:rsidRPr="00954407">
              <w:rPr>
                <w:rFonts w:eastAsia="Calibri"/>
                <w:spacing w:val="-4"/>
                <w:sz w:val="18"/>
                <w:szCs w:val="18"/>
              </w:rPr>
              <w:t>Cantidad de Servidores de carrera incorporados por concurso hasta la fecha</w:t>
            </w:r>
          </w:p>
          <w:p w14:paraId="2E8CF01A" w14:textId="77777777" w:rsidR="00BC27E9" w:rsidRPr="00954407" w:rsidRDefault="00BC27E9" w:rsidP="00220FA8">
            <w:pPr>
              <w:pStyle w:val="EstilodePrrafoNormal1RdeC"/>
              <w:rPr>
                <w:rFonts w:eastAsia="Calibri"/>
                <w:spacing w:val="-4"/>
                <w:sz w:val="18"/>
                <w:szCs w:val="18"/>
              </w:rPr>
            </w:pP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6FE3DCD9" w14:textId="77777777" w:rsidR="00BC27E9" w:rsidRPr="00954407" w:rsidRDefault="00BC27E9" w:rsidP="00220FA8">
            <w:pPr>
              <w:pStyle w:val="EstilodePrrafoNormal1RdeC"/>
              <w:rPr>
                <w:rFonts w:eastAsia="Calibri"/>
                <w:spacing w:val="-4"/>
                <w:sz w:val="18"/>
                <w:szCs w:val="18"/>
              </w:rPr>
            </w:pPr>
            <w:r w:rsidRPr="00954407">
              <w:rPr>
                <w:rFonts w:eastAsia="Calibri"/>
                <w:spacing w:val="-4"/>
                <w:sz w:val="18"/>
                <w:szCs w:val="18"/>
              </w:rPr>
              <w:t>Total, histórico de incorporados por concurso y por evaluación interna en la institución</w:t>
            </w:r>
          </w:p>
        </w:tc>
        <w:tc>
          <w:tcPr>
            <w:tcW w:w="108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tcMar>
              <w:left w:w="58" w:type="dxa"/>
              <w:right w:w="58" w:type="dxa"/>
            </w:tcMar>
            <w:vAlign w:val="center"/>
          </w:tcPr>
          <w:p w14:paraId="139C7502" w14:textId="77777777" w:rsidR="00BC27E9" w:rsidRPr="00954407" w:rsidRDefault="00BC27E9" w:rsidP="00220FA8">
            <w:pPr>
              <w:pStyle w:val="EstilodePrrafoNormal1RdeC"/>
              <w:rPr>
                <w:rFonts w:eastAsia="Calibri"/>
                <w:spacing w:val="-4"/>
                <w:sz w:val="18"/>
                <w:szCs w:val="18"/>
              </w:rPr>
            </w:pPr>
            <w:r w:rsidRPr="00954407">
              <w:rPr>
                <w:rFonts w:eastAsia="Calibri"/>
                <w:spacing w:val="-4"/>
                <w:sz w:val="18"/>
                <w:szCs w:val="18"/>
              </w:rPr>
              <w:t>Total de servidores de carrera activos en la institución.</w:t>
            </w:r>
          </w:p>
        </w:tc>
        <w:tc>
          <w:tcPr>
            <w:tcW w:w="2246" w:type="dxa"/>
            <w:gridSpan w:val="9"/>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4419116" w14:textId="77777777" w:rsidR="00BC27E9" w:rsidRPr="00954407" w:rsidRDefault="00BC27E9" w:rsidP="00220FA8">
            <w:pPr>
              <w:pStyle w:val="EstilodePrrafoNormal1RdeC"/>
              <w:rPr>
                <w:rFonts w:eastAsia="Calibri"/>
                <w:spacing w:val="-4"/>
                <w:sz w:val="18"/>
                <w:szCs w:val="18"/>
              </w:rPr>
            </w:pPr>
            <w:r w:rsidRPr="00954407">
              <w:rPr>
                <w:rFonts w:eastAsia="Calibri"/>
                <w:spacing w:val="-4"/>
                <w:sz w:val="18"/>
                <w:szCs w:val="18"/>
              </w:rPr>
              <w:t>Total, de servidores de Carreras Inactivos en la Institución a la fecha.</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1267DE26" w14:textId="77777777" w:rsidR="00BC27E9" w:rsidRPr="00954407" w:rsidRDefault="00BC27E9" w:rsidP="00220FA8">
            <w:pPr>
              <w:pStyle w:val="EstilodePrrafoNormal1RdeC"/>
              <w:rPr>
                <w:rFonts w:eastAsia="Calibri"/>
                <w:spacing w:val="-4"/>
                <w:sz w:val="18"/>
                <w:szCs w:val="18"/>
              </w:rPr>
            </w:pPr>
            <w:r w:rsidRPr="00954407">
              <w:rPr>
                <w:rFonts w:eastAsia="Calibri"/>
                <w:spacing w:val="-4"/>
                <w:sz w:val="18"/>
                <w:szCs w:val="18"/>
              </w:rPr>
              <w:t>Total de servidores incorporados a carrera administrativa por concursos durante el intervalo de un año.</w:t>
            </w:r>
          </w:p>
        </w:tc>
      </w:tr>
      <w:tr w:rsidR="00BC27E9" w:rsidRPr="00954407" w14:paraId="2DD2D112" w14:textId="77777777" w:rsidTr="00220FA8">
        <w:trPr>
          <w:trHeight w:val="79"/>
        </w:trPr>
        <w:tc>
          <w:tcPr>
            <w:tcW w:w="1119" w:type="dxa"/>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71798C57"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1,614</w:t>
            </w:r>
          </w:p>
        </w:tc>
        <w:tc>
          <w:tcPr>
            <w:tcW w:w="1096" w:type="dxa"/>
            <w:gridSpan w:val="3"/>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5F09E428"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04</w:t>
            </w:r>
          </w:p>
        </w:tc>
        <w:tc>
          <w:tcPr>
            <w:tcW w:w="1096"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1982CACB"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1,617</w:t>
            </w:r>
          </w:p>
        </w:tc>
        <w:tc>
          <w:tcPr>
            <w:tcW w:w="1080" w:type="dxa"/>
            <w:gridSpan w:val="4"/>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49AA95AD" w14:textId="77777777" w:rsidR="00BC27E9" w:rsidRPr="00954407" w:rsidRDefault="00BC27E9" w:rsidP="00220FA8">
            <w:pPr>
              <w:pStyle w:val="EstilodePrrafoNormal1RdeC"/>
              <w:rPr>
                <w:rFonts w:eastAsia="Calibri"/>
                <w:spacing w:val="0"/>
                <w:sz w:val="18"/>
                <w:szCs w:val="18"/>
              </w:rPr>
            </w:pPr>
            <w:r w:rsidRPr="00954407">
              <w:rPr>
                <w:rFonts w:eastAsia="Calibri"/>
                <w:spacing w:val="0"/>
                <w:szCs w:val="20"/>
              </w:rPr>
              <w:t>680</w:t>
            </w:r>
          </w:p>
        </w:tc>
        <w:tc>
          <w:tcPr>
            <w:tcW w:w="2246" w:type="dxa"/>
            <w:gridSpan w:val="9"/>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303CF613"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937</w:t>
            </w:r>
          </w:p>
        </w:tc>
        <w:tc>
          <w:tcPr>
            <w:tcW w:w="2164" w:type="dxa"/>
            <w:gridSpan w:val="5"/>
            <w:tcBorders>
              <w:top w:val="single" w:sz="4" w:space="0" w:color="003876"/>
              <w:left w:val="single" w:sz="4" w:space="0" w:color="003876"/>
              <w:bottom w:val="single" w:sz="4" w:space="0" w:color="003876"/>
              <w:right w:val="single" w:sz="4" w:space="0" w:color="003876"/>
            </w:tcBorders>
            <w:shd w:val="clear" w:color="auto" w:fill="FFFFFF" w:themeFill="background1"/>
            <w:vAlign w:val="center"/>
          </w:tcPr>
          <w:p w14:paraId="2DB903C8"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r>
      <w:tr w:rsidR="00BC27E9" w:rsidRPr="00954407" w14:paraId="49E6CC3B" w14:textId="77777777" w:rsidTr="00220FA8">
        <w:trPr>
          <w:trHeight w:val="323"/>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FFFFFF"/>
            <w:vAlign w:val="center"/>
          </w:tcPr>
          <w:p w14:paraId="0BAB68F9"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Observaciones: </w:t>
            </w:r>
          </w:p>
        </w:tc>
      </w:tr>
      <w:tr w:rsidR="00BC27E9" w:rsidRPr="00954407" w14:paraId="4C04C617" w14:textId="77777777" w:rsidTr="00220FA8">
        <w:trPr>
          <w:trHeight w:val="191"/>
        </w:trPr>
        <w:tc>
          <w:tcPr>
            <w:tcW w:w="8801" w:type="dxa"/>
            <w:gridSpan w:val="26"/>
            <w:tcBorders>
              <w:top w:val="single" w:sz="4" w:space="0" w:color="003876"/>
              <w:left w:val="single" w:sz="4" w:space="0" w:color="003876"/>
              <w:bottom w:val="single" w:sz="4" w:space="0" w:color="003876"/>
              <w:right w:val="single" w:sz="4" w:space="0" w:color="003876"/>
            </w:tcBorders>
            <w:shd w:val="clear" w:color="auto" w:fill="142F62"/>
            <w:vAlign w:val="center"/>
          </w:tcPr>
          <w:p w14:paraId="3635E0F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Incorporación de cargos clave</w:t>
            </w:r>
          </w:p>
        </w:tc>
      </w:tr>
      <w:tr w:rsidR="00BC27E9" w:rsidRPr="00954407" w14:paraId="3C900313" w14:textId="77777777" w:rsidTr="00220FA8">
        <w:trPr>
          <w:trHeight w:val="280"/>
        </w:trPr>
        <w:tc>
          <w:tcPr>
            <w:tcW w:w="4821" w:type="dxa"/>
            <w:gridSpan w:val="14"/>
            <w:vMerge w:val="restart"/>
            <w:tcBorders>
              <w:top w:val="single" w:sz="4" w:space="0" w:color="003876"/>
              <w:left w:val="single" w:sz="4" w:space="0" w:color="003876"/>
              <w:bottom w:val="single" w:sz="4" w:space="0" w:color="003876"/>
              <w:right w:val="single" w:sz="4" w:space="0" w:color="003876"/>
            </w:tcBorders>
            <w:shd w:val="clear" w:color="auto" w:fill="47A8EA"/>
            <w:vAlign w:val="center"/>
          </w:tcPr>
          <w:p w14:paraId="6E303014"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Cargos</w:t>
            </w:r>
          </w:p>
        </w:tc>
        <w:tc>
          <w:tcPr>
            <w:tcW w:w="2084" w:type="dxa"/>
            <w:gridSpan w:val="8"/>
            <w:tcBorders>
              <w:top w:val="single" w:sz="4" w:space="0" w:color="003876"/>
              <w:left w:val="single" w:sz="4" w:space="0" w:color="003876"/>
              <w:bottom w:val="single" w:sz="4" w:space="0" w:color="003876"/>
              <w:right w:val="single" w:sz="4" w:space="0" w:color="003876"/>
            </w:tcBorders>
            <w:shd w:val="clear" w:color="auto" w:fill="47A8EA"/>
            <w:vAlign w:val="center"/>
          </w:tcPr>
          <w:p w14:paraId="49B1534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     Incorporado</w:t>
            </w:r>
          </w:p>
        </w:tc>
        <w:tc>
          <w:tcPr>
            <w:tcW w:w="1896" w:type="dxa"/>
            <w:gridSpan w:val="4"/>
            <w:tcBorders>
              <w:top w:val="single" w:sz="4" w:space="0" w:color="003876"/>
              <w:left w:val="single" w:sz="4" w:space="0" w:color="003876"/>
              <w:bottom w:val="single" w:sz="4" w:space="0" w:color="003876"/>
              <w:right w:val="single" w:sz="4" w:space="0" w:color="003876"/>
            </w:tcBorders>
            <w:shd w:val="clear" w:color="auto" w:fill="47A8EA"/>
            <w:vAlign w:val="center"/>
          </w:tcPr>
          <w:p w14:paraId="32D550F8"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No incorporado</w:t>
            </w:r>
          </w:p>
        </w:tc>
      </w:tr>
      <w:tr w:rsidR="00BC27E9" w:rsidRPr="00954407" w14:paraId="13FC73CC" w14:textId="77777777" w:rsidTr="00220FA8">
        <w:trPr>
          <w:trHeight w:val="87"/>
        </w:trPr>
        <w:tc>
          <w:tcPr>
            <w:tcW w:w="4821" w:type="dxa"/>
            <w:gridSpan w:val="14"/>
            <w:vMerge/>
            <w:tcBorders>
              <w:top w:val="single" w:sz="4" w:space="0" w:color="003876"/>
              <w:left w:val="single" w:sz="4" w:space="0" w:color="003876"/>
              <w:bottom w:val="single" w:sz="4" w:space="0" w:color="003876"/>
              <w:right w:val="single" w:sz="4" w:space="0" w:color="003876"/>
            </w:tcBorders>
            <w:shd w:val="clear" w:color="auto" w:fill="DEEAF6"/>
            <w:vAlign w:val="center"/>
          </w:tcPr>
          <w:p w14:paraId="7BD2C697" w14:textId="77777777" w:rsidR="00BC27E9" w:rsidRPr="00954407" w:rsidRDefault="00BC27E9" w:rsidP="00220FA8">
            <w:pPr>
              <w:pStyle w:val="EstilodePrrafoNormal1RdeC"/>
              <w:rPr>
                <w:rFonts w:eastAsia="Calibri"/>
                <w:spacing w:val="0"/>
                <w:szCs w:val="20"/>
              </w:rPr>
            </w:pPr>
          </w:p>
        </w:tc>
        <w:tc>
          <w:tcPr>
            <w:tcW w:w="2084" w:type="dxa"/>
            <w:gridSpan w:val="8"/>
            <w:tcBorders>
              <w:top w:val="single" w:sz="4" w:space="0" w:color="003876"/>
              <w:left w:val="single" w:sz="4" w:space="0" w:color="003876"/>
              <w:bottom w:val="single" w:sz="4" w:space="0" w:color="003876"/>
              <w:right w:val="single" w:sz="4" w:space="0" w:color="003876"/>
            </w:tcBorders>
            <w:shd w:val="clear" w:color="auto" w:fill="47A8EA"/>
            <w:vAlign w:val="center"/>
          </w:tcPr>
          <w:p w14:paraId="60199520" w14:textId="77777777" w:rsidR="00BC27E9" w:rsidRPr="00954407" w:rsidRDefault="00BC27E9" w:rsidP="00220FA8">
            <w:pPr>
              <w:pStyle w:val="EstilodePrrafoNormal1RdeC"/>
              <w:rPr>
                <w:rFonts w:eastAsia="Calibri"/>
                <w:spacing w:val="0"/>
                <w:szCs w:val="20"/>
              </w:rPr>
            </w:pPr>
          </w:p>
        </w:tc>
        <w:tc>
          <w:tcPr>
            <w:tcW w:w="1896" w:type="dxa"/>
            <w:gridSpan w:val="4"/>
            <w:tcBorders>
              <w:top w:val="single" w:sz="4" w:space="0" w:color="003876"/>
              <w:left w:val="single" w:sz="4" w:space="0" w:color="003876"/>
              <w:bottom w:val="single" w:sz="4" w:space="0" w:color="003876"/>
              <w:right w:val="single" w:sz="4" w:space="0" w:color="003876"/>
            </w:tcBorders>
            <w:shd w:val="clear" w:color="auto" w:fill="47A8EA"/>
            <w:vAlign w:val="center"/>
          </w:tcPr>
          <w:p w14:paraId="507AD9A5" w14:textId="77777777" w:rsidR="00BC27E9" w:rsidRPr="00954407" w:rsidRDefault="00BC27E9" w:rsidP="00220FA8">
            <w:pPr>
              <w:pStyle w:val="EstilodePrrafoNormal1RdeC"/>
              <w:rPr>
                <w:rFonts w:eastAsia="Calibri"/>
                <w:spacing w:val="0"/>
                <w:szCs w:val="20"/>
              </w:rPr>
            </w:pPr>
          </w:p>
        </w:tc>
      </w:tr>
      <w:tr w:rsidR="00BC27E9" w:rsidRPr="00954407" w14:paraId="0AE9FD3A" w14:textId="77777777" w:rsidTr="00220FA8">
        <w:trPr>
          <w:trHeight w:val="529"/>
        </w:trPr>
        <w:tc>
          <w:tcPr>
            <w:tcW w:w="4821" w:type="dxa"/>
            <w:gridSpan w:val="14"/>
            <w:tcBorders>
              <w:top w:val="single" w:sz="4" w:space="0" w:color="003876"/>
              <w:left w:val="single" w:sz="4" w:space="0" w:color="003876"/>
              <w:bottom w:val="single" w:sz="4" w:space="0" w:color="003876"/>
              <w:right w:val="single" w:sz="4" w:space="0" w:color="003876"/>
            </w:tcBorders>
            <w:shd w:val="clear" w:color="auto" w:fill="E0E6ED"/>
            <w:vAlign w:val="center"/>
          </w:tcPr>
          <w:p w14:paraId="56F31F51"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Director (a) o Encargado (a) de Recursos Humanos</w:t>
            </w:r>
          </w:p>
        </w:tc>
        <w:tc>
          <w:tcPr>
            <w:tcW w:w="2084" w:type="dxa"/>
            <w:gridSpan w:val="8"/>
            <w:tcBorders>
              <w:top w:val="single" w:sz="4" w:space="0" w:color="003876"/>
              <w:left w:val="single" w:sz="4" w:space="0" w:color="003876"/>
              <w:bottom w:val="single" w:sz="4" w:space="0" w:color="003876"/>
              <w:right w:val="single" w:sz="4" w:space="0" w:color="003876"/>
            </w:tcBorders>
            <w:vAlign w:val="center"/>
          </w:tcPr>
          <w:p w14:paraId="480547D5"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N/A</w:t>
            </w:r>
          </w:p>
        </w:tc>
        <w:tc>
          <w:tcPr>
            <w:tcW w:w="1896" w:type="dxa"/>
            <w:gridSpan w:val="4"/>
            <w:tcBorders>
              <w:top w:val="single" w:sz="4" w:space="0" w:color="003876"/>
              <w:left w:val="single" w:sz="4" w:space="0" w:color="003876"/>
              <w:bottom w:val="single" w:sz="4" w:space="0" w:color="003876"/>
              <w:right w:val="single" w:sz="4" w:space="0" w:color="003876"/>
            </w:tcBorders>
            <w:vAlign w:val="center"/>
          </w:tcPr>
          <w:p w14:paraId="0DA19551"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r>
      <w:tr w:rsidR="00BC27E9" w:rsidRPr="00954407" w14:paraId="1B115E7D" w14:textId="77777777" w:rsidTr="00220FA8">
        <w:trPr>
          <w:trHeight w:val="529"/>
        </w:trPr>
        <w:tc>
          <w:tcPr>
            <w:tcW w:w="4821" w:type="dxa"/>
            <w:gridSpan w:val="14"/>
            <w:tcBorders>
              <w:top w:val="single" w:sz="4" w:space="0" w:color="003876"/>
              <w:left w:val="single" w:sz="4" w:space="0" w:color="003876"/>
              <w:bottom w:val="single" w:sz="4" w:space="0" w:color="003876"/>
              <w:right w:val="single" w:sz="4" w:space="0" w:color="003876"/>
            </w:tcBorders>
            <w:shd w:val="clear" w:color="auto" w:fill="E0E6ED"/>
            <w:vAlign w:val="center"/>
          </w:tcPr>
          <w:p w14:paraId="4DA44168"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Director (a) o Encargado (a) de Tecnologías de la Información y Comunicaciones</w:t>
            </w:r>
          </w:p>
        </w:tc>
        <w:tc>
          <w:tcPr>
            <w:tcW w:w="2084" w:type="dxa"/>
            <w:gridSpan w:val="8"/>
            <w:tcBorders>
              <w:top w:val="single" w:sz="4" w:space="0" w:color="003876"/>
              <w:left w:val="single" w:sz="4" w:space="0" w:color="003876"/>
              <w:bottom w:val="single" w:sz="4" w:space="0" w:color="003876"/>
              <w:right w:val="single" w:sz="4" w:space="0" w:color="003876"/>
            </w:tcBorders>
            <w:vAlign w:val="center"/>
          </w:tcPr>
          <w:p w14:paraId="316E1A7C"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N/A</w:t>
            </w:r>
          </w:p>
        </w:tc>
        <w:tc>
          <w:tcPr>
            <w:tcW w:w="1896" w:type="dxa"/>
            <w:gridSpan w:val="4"/>
            <w:tcBorders>
              <w:top w:val="single" w:sz="4" w:space="0" w:color="003876"/>
              <w:left w:val="single" w:sz="4" w:space="0" w:color="003876"/>
              <w:bottom w:val="single" w:sz="4" w:space="0" w:color="003876"/>
              <w:right w:val="single" w:sz="4" w:space="0" w:color="003876"/>
            </w:tcBorders>
            <w:vAlign w:val="center"/>
          </w:tcPr>
          <w:p w14:paraId="67FAC982"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r>
      <w:tr w:rsidR="00BC27E9" w:rsidRPr="00954407" w14:paraId="1E6D505A" w14:textId="77777777" w:rsidTr="00220FA8">
        <w:trPr>
          <w:trHeight w:val="529"/>
        </w:trPr>
        <w:tc>
          <w:tcPr>
            <w:tcW w:w="4821" w:type="dxa"/>
            <w:gridSpan w:val="14"/>
            <w:tcBorders>
              <w:top w:val="single" w:sz="4" w:space="0" w:color="003876"/>
              <w:left w:val="single" w:sz="4" w:space="0" w:color="003876"/>
              <w:bottom w:val="single" w:sz="4" w:space="0" w:color="003876"/>
              <w:right w:val="single" w:sz="4" w:space="0" w:color="003876"/>
            </w:tcBorders>
            <w:shd w:val="clear" w:color="auto" w:fill="E0E6ED"/>
            <w:vAlign w:val="center"/>
          </w:tcPr>
          <w:p w14:paraId="0462A839"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Director (a) o Encargado (a) Administrativo-Financiero</w:t>
            </w:r>
          </w:p>
        </w:tc>
        <w:tc>
          <w:tcPr>
            <w:tcW w:w="2084" w:type="dxa"/>
            <w:gridSpan w:val="8"/>
            <w:tcBorders>
              <w:top w:val="single" w:sz="4" w:space="0" w:color="003876"/>
              <w:left w:val="single" w:sz="4" w:space="0" w:color="003876"/>
              <w:bottom w:val="single" w:sz="4" w:space="0" w:color="003876"/>
              <w:right w:val="single" w:sz="4" w:space="0" w:color="003876"/>
            </w:tcBorders>
            <w:vAlign w:val="center"/>
          </w:tcPr>
          <w:p w14:paraId="57DC38C5"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N/A</w:t>
            </w:r>
          </w:p>
        </w:tc>
        <w:tc>
          <w:tcPr>
            <w:tcW w:w="1896" w:type="dxa"/>
            <w:gridSpan w:val="4"/>
            <w:tcBorders>
              <w:top w:val="single" w:sz="4" w:space="0" w:color="003876"/>
              <w:left w:val="single" w:sz="4" w:space="0" w:color="003876"/>
              <w:bottom w:val="single" w:sz="4" w:space="0" w:color="003876"/>
              <w:right w:val="single" w:sz="4" w:space="0" w:color="003876"/>
            </w:tcBorders>
            <w:vAlign w:val="center"/>
          </w:tcPr>
          <w:p w14:paraId="367AC1E5"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r>
      <w:tr w:rsidR="00BC27E9" w:rsidRPr="00954407" w14:paraId="1444B731" w14:textId="77777777" w:rsidTr="00220FA8">
        <w:trPr>
          <w:trHeight w:val="529"/>
        </w:trPr>
        <w:tc>
          <w:tcPr>
            <w:tcW w:w="4821" w:type="dxa"/>
            <w:gridSpan w:val="14"/>
            <w:tcBorders>
              <w:top w:val="single" w:sz="4" w:space="0" w:color="003876"/>
              <w:left w:val="single" w:sz="4" w:space="0" w:color="003876"/>
              <w:bottom w:val="single" w:sz="4" w:space="0" w:color="003876"/>
              <w:right w:val="single" w:sz="4" w:space="0" w:color="003876"/>
            </w:tcBorders>
            <w:shd w:val="clear" w:color="auto" w:fill="E0E6ED"/>
            <w:vAlign w:val="center"/>
          </w:tcPr>
          <w:p w14:paraId="62B03E39"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Encargado (a) de Compras</w:t>
            </w:r>
          </w:p>
        </w:tc>
        <w:tc>
          <w:tcPr>
            <w:tcW w:w="2084" w:type="dxa"/>
            <w:gridSpan w:val="8"/>
            <w:tcBorders>
              <w:top w:val="single" w:sz="4" w:space="0" w:color="003876"/>
              <w:left w:val="single" w:sz="4" w:space="0" w:color="003876"/>
              <w:bottom w:val="single" w:sz="4" w:space="0" w:color="003876"/>
              <w:right w:val="single" w:sz="4" w:space="0" w:color="003876"/>
            </w:tcBorders>
            <w:vAlign w:val="center"/>
          </w:tcPr>
          <w:p w14:paraId="1E4FED05"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N/A</w:t>
            </w:r>
          </w:p>
        </w:tc>
        <w:tc>
          <w:tcPr>
            <w:tcW w:w="1896" w:type="dxa"/>
            <w:gridSpan w:val="4"/>
            <w:tcBorders>
              <w:top w:val="single" w:sz="4" w:space="0" w:color="003876"/>
              <w:left w:val="single" w:sz="4" w:space="0" w:color="003876"/>
              <w:bottom w:val="single" w:sz="4" w:space="0" w:color="003876"/>
              <w:right w:val="single" w:sz="4" w:space="0" w:color="003876"/>
            </w:tcBorders>
            <w:vAlign w:val="center"/>
          </w:tcPr>
          <w:p w14:paraId="7B44AA43"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r>
      <w:tr w:rsidR="00BC27E9" w:rsidRPr="00954407" w14:paraId="1932A1EA" w14:textId="77777777" w:rsidTr="00220FA8">
        <w:trPr>
          <w:trHeight w:val="276"/>
        </w:trPr>
        <w:tc>
          <w:tcPr>
            <w:tcW w:w="8801" w:type="dxa"/>
            <w:gridSpan w:val="26"/>
            <w:tcBorders>
              <w:top w:val="single" w:sz="4" w:space="0" w:color="003876"/>
              <w:left w:val="single" w:sz="4" w:space="0" w:color="003876"/>
              <w:bottom w:val="single" w:sz="4" w:space="0" w:color="003876"/>
              <w:right w:val="single" w:sz="4" w:space="0" w:color="003876"/>
            </w:tcBorders>
            <w:vAlign w:val="center"/>
          </w:tcPr>
          <w:p w14:paraId="2B34872D"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Observaciones:</w:t>
            </w:r>
          </w:p>
        </w:tc>
      </w:tr>
      <w:tr w:rsidR="00BC27E9" w:rsidRPr="00954407" w14:paraId="5F34156B" w14:textId="77777777" w:rsidTr="00220FA8">
        <w:trPr>
          <w:trHeight w:val="87"/>
        </w:trPr>
        <w:tc>
          <w:tcPr>
            <w:tcW w:w="8801" w:type="dxa"/>
            <w:gridSpan w:val="26"/>
            <w:tcBorders>
              <w:top w:val="single" w:sz="4" w:space="0" w:color="003876"/>
              <w:bottom w:val="single" w:sz="4" w:space="0" w:color="003876"/>
            </w:tcBorders>
            <w:shd w:val="clear" w:color="auto" w:fill="142F62"/>
            <w:vAlign w:val="center"/>
          </w:tcPr>
          <w:p w14:paraId="467A5C4F"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Movilidad de los servidores de carrera</w:t>
            </w:r>
          </w:p>
        </w:tc>
      </w:tr>
      <w:tr w:rsidR="00BC27E9" w:rsidRPr="00954407" w14:paraId="4F759DC5" w14:textId="77777777" w:rsidTr="00220FA8">
        <w:trPr>
          <w:trHeight w:val="786"/>
        </w:trPr>
        <w:tc>
          <w:tcPr>
            <w:tcW w:w="1119" w:type="dxa"/>
            <w:tcBorders>
              <w:top w:val="single" w:sz="4" w:space="0" w:color="003876"/>
              <w:bottom w:val="single" w:sz="4" w:space="0" w:color="003876"/>
            </w:tcBorders>
            <w:shd w:val="clear" w:color="auto" w:fill="47A8EA"/>
            <w:vAlign w:val="center"/>
          </w:tcPr>
          <w:p w14:paraId="6C269817"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 xml:space="preserve">Movimientos </w:t>
            </w:r>
          </w:p>
        </w:tc>
        <w:tc>
          <w:tcPr>
            <w:tcW w:w="1478" w:type="dxa"/>
            <w:gridSpan w:val="5"/>
            <w:tcBorders>
              <w:top w:val="single" w:sz="4" w:space="0" w:color="003876"/>
              <w:bottom w:val="single" w:sz="4" w:space="0" w:color="003876"/>
            </w:tcBorders>
            <w:shd w:val="clear" w:color="auto" w:fill="47A8EA"/>
            <w:vAlign w:val="center"/>
          </w:tcPr>
          <w:p w14:paraId="1FA58B9D"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Cantidad de Movimientos realizados por la institución a la fecha (intervalo de un año).</w:t>
            </w:r>
          </w:p>
        </w:tc>
        <w:tc>
          <w:tcPr>
            <w:tcW w:w="1478" w:type="dxa"/>
            <w:gridSpan w:val="5"/>
            <w:tcBorders>
              <w:top w:val="single" w:sz="4" w:space="0" w:color="003876"/>
              <w:bottom w:val="single" w:sz="4" w:space="0" w:color="003876"/>
            </w:tcBorders>
            <w:shd w:val="clear" w:color="auto" w:fill="47A8EA"/>
            <w:vAlign w:val="center"/>
          </w:tcPr>
          <w:p w14:paraId="2CE9D72F"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Cantidad de Movimientos a la fecha aprobados por el MAP.</w:t>
            </w:r>
          </w:p>
        </w:tc>
        <w:tc>
          <w:tcPr>
            <w:tcW w:w="1479" w:type="dxa"/>
            <w:gridSpan w:val="5"/>
            <w:tcBorders>
              <w:top w:val="single" w:sz="4" w:space="0" w:color="003876"/>
              <w:bottom w:val="single" w:sz="4" w:space="0" w:color="003876"/>
            </w:tcBorders>
            <w:shd w:val="clear" w:color="auto" w:fill="47A8EA"/>
            <w:vAlign w:val="center"/>
          </w:tcPr>
          <w:p w14:paraId="21F0F50D"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 xml:space="preserve">Movimientos </w:t>
            </w:r>
          </w:p>
        </w:tc>
        <w:tc>
          <w:tcPr>
            <w:tcW w:w="1478" w:type="dxa"/>
            <w:gridSpan w:val="7"/>
            <w:tcBorders>
              <w:top w:val="single" w:sz="4" w:space="0" w:color="003876"/>
              <w:bottom w:val="single" w:sz="4" w:space="0" w:color="003876"/>
            </w:tcBorders>
            <w:shd w:val="clear" w:color="auto" w:fill="47A8EA"/>
            <w:vAlign w:val="center"/>
          </w:tcPr>
          <w:p w14:paraId="33F5B86F"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 xml:space="preserve">Cantidad de Movimientos realizados por la institución a la fecha (intervalo de un año). </w:t>
            </w:r>
          </w:p>
        </w:tc>
        <w:tc>
          <w:tcPr>
            <w:tcW w:w="1769" w:type="dxa"/>
            <w:gridSpan w:val="3"/>
            <w:tcBorders>
              <w:top w:val="single" w:sz="4" w:space="0" w:color="003876"/>
              <w:bottom w:val="single" w:sz="4" w:space="0" w:color="003876"/>
            </w:tcBorders>
            <w:shd w:val="clear" w:color="auto" w:fill="47A8EA"/>
            <w:vAlign w:val="center"/>
          </w:tcPr>
          <w:p w14:paraId="74B14374" w14:textId="77777777" w:rsidR="00BC27E9" w:rsidRPr="00954407" w:rsidRDefault="00BC27E9" w:rsidP="00220FA8">
            <w:pPr>
              <w:pStyle w:val="EstilodePrrafoNormal1RdeC"/>
              <w:rPr>
                <w:rFonts w:eastAsia="Calibri"/>
                <w:spacing w:val="0"/>
                <w:sz w:val="18"/>
                <w:szCs w:val="18"/>
              </w:rPr>
            </w:pPr>
            <w:r w:rsidRPr="00954407">
              <w:rPr>
                <w:rFonts w:eastAsia="Calibri"/>
                <w:spacing w:val="0"/>
                <w:sz w:val="18"/>
                <w:szCs w:val="18"/>
              </w:rPr>
              <w:t>Cantidad de Movimientos a la fecha, aprobados por el MAP.</w:t>
            </w:r>
          </w:p>
        </w:tc>
      </w:tr>
      <w:tr w:rsidR="00BC27E9" w:rsidRPr="00954407" w14:paraId="75281877" w14:textId="77777777" w:rsidTr="00220FA8">
        <w:trPr>
          <w:trHeight w:val="471"/>
        </w:trPr>
        <w:tc>
          <w:tcPr>
            <w:tcW w:w="1119" w:type="dxa"/>
            <w:tcBorders>
              <w:top w:val="single" w:sz="4" w:space="0" w:color="003876"/>
              <w:bottom w:val="single" w:sz="4" w:space="0" w:color="003876"/>
            </w:tcBorders>
            <w:shd w:val="clear" w:color="auto" w:fill="E0E6ED"/>
            <w:vAlign w:val="center"/>
          </w:tcPr>
          <w:p w14:paraId="6E32664E"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Traslado</w:t>
            </w:r>
          </w:p>
        </w:tc>
        <w:tc>
          <w:tcPr>
            <w:tcW w:w="1478" w:type="dxa"/>
            <w:gridSpan w:val="5"/>
            <w:tcBorders>
              <w:top w:val="single" w:sz="4" w:space="0" w:color="003876"/>
              <w:bottom w:val="single" w:sz="4" w:space="0" w:color="003876"/>
            </w:tcBorders>
            <w:vAlign w:val="center"/>
          </w:tcPr>
          <w:p w14:paraId="1E8BB314"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27</w:t>
            </w:r>
          </w:p>
        </w:tc>
        <w:tc>
          <w:tcPr>
            <w:tcW w:w="1478" w:type="dxa"/>
            <w:gridSpan w:val="5"/>
            <w:tcBorders>
              <w:top w:val="single" w:sz="4" w:space="0" w:color="003876"/>
              <w:bottom w:val="single" w:sz="4" w:space="0" w:color="003876"/>
            </w:tcBorders>
            <w:vAlign w:val="center"/>
          </w:tcPr>
          <w:p w14:paraId="7061B9BD"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27</w:t>
            </w:r>
          </w:p>
        </w:tc>
        <w:tc>
          <w:tcPr>
            <w:tcW w:w="1479" w:type="dxa"/>
            <w:gridSpan w:val="5"/>
            <w:tcBorders>
              <w:top w:val="single" w:sz="4" w:space="0" w:color="003876"/>
              <w:bottom w:val="single" w:sz="4" w:space="0" w:color="003876"/>
            </w:tcBorders>
            <w:shd w:val="clear" w:color="auto" w:fill="E0E6ED"/>
            <w:vAlign w:val="center"/>
          </w:tcPr>
          <w:p w14:paraId="701F7FB1"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Licencia para estudios</w:t>
            </w:r>
          </w:p>
        </w:tc>
        <w:tc>
          <w:tcPr>
            <w:tcW w:w="1478" w:type="dxa"/>
            <w:gridSpan w:val="7"/>
            <w:tcBorders>
              <w:top w:val="single" w:sz="4" w:space="0" w:color="003876"/>
              <w:bottom w:val="single" w:sz="4" w:space="0" w:color="003876"/>
            </w:tcBorders>
            <w:vAlign w:val="center"/>
          </w:tcPr>
          <w:p w14:paraId="0372A935"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c>
          <w:tcPr>
            <w:tcW w:w="1769" w:type="dxa"/>
            <w:gridSpan w:val="3"/>
            <w:tcBorders>
              <w:top w:val="single" w:sz="4" w:space="0" w:color="003876"/>
              <w:bottom w:val="single" w:sz="4" w:space="0" w:color="003876"/>
            </w:tcBorders>
            <w:vAlign w:val="center"/>
          </w:tcPr>
          <w:p w14:paraId="60D20C20"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r>
      <w:tr w:rsidR="00BC27E9" w:rsidRPr="00954407" w14:paraId="655EA777" w14:textId="77777777" w:rsidTr="00220FA8">
        <w:trPr>
          <w:trHeight w:val="190"/>
        </w:trPr>
        <w:tc>
          <w:tcPr>
            <w:tcW w:w="1119" w:type="dxa"/>
            <w:tcBorders>
              <w:top w:val="single" w:sz="4" w:space="0" w:color="003876"/>
              <w:bottom w:val="single" w:sz="4" w:space="0" w:color="003876"/>
            </w:tcBorders>
            <w:shd w:val="clear" w:color="auto" w:fill="E0E6ED"/>
            <w:vAlign w:val="center"/>
          </w:tcPr>
          <w:p w14:paraId="1E3F7C34"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Comisión de servicio</w:t>
            </w:r>
          </w:p>
        </w:tc>
        <w:tc>
          <w:tcPr>
            <w:tcW w:w="1478" w:type="dxa"/>
            <w:gridSpan w:val="5"/>
            <w:tcBorders>
              <w:top w:val="single" w:sz="4" w:space="0" w:color="003876"/>
              <w:bottom w:val="single" w:sz="4" w:space="0" w:color="003876"/>
            </w:tcBorders>
            <w:vAlign w:val="center"/>
          </w:tcPr>
          <w:p w14:paraId="048C8AD2"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01</w:t>
            </w:r>
          </w:p>
        </w:tc>
        <w:tc>
          <w:tcPr>
            <w:tcW w:w="1478" w:type="dxa"/>
            <w:gridSpan w:val="5"/>
            <w:tcBorders>
              <w:top w:val="single" w:sz="4" w:space="0" w:color="003876"/>
              <w:bottom w:val="single" w:sz="4" w:space="0" w:color="003876"/>
            </w:tcBorders>
            <w:vAlign w:val="center"/>
          </w:tcPr>
          <w:p w14:paraId="1EB6490C"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01</w:t>
            </w:r>
          </w:p>
        </w:tc>
        <w:tc>
          <w:tcPr>
            <w:tcW w:w="1479" w:type="dxa"/>
            <w:gridSpan w:val="5"/>
            <w:tcBorders>
              <w:top w:val="single" w:sz="4" w:space="0" w:color="003876"/>
              <w:bottom w:val="single" w:sz="4" w:space="0" w:color="003876"/>
            </w:tcBorders>
            <w:shd w:val="clear" w:color="auto" w:fill="E0E6ED"/>
            <w:vAlign w:val="center"/>
          </w:tcPr>
          <w:p w14:paraId="521D1206"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Renuncia</w:t>
            </w:r>
          </w:p>
        </w:tc>
        <w:tc>
          <w:tcPr>
            <w:tcW w:w="1478" w:type="dxa"/>
            <w:gridSpan w:val="7"/>
            <w:tcBorders>
              <w:top w:val="single" w:sz="4" w:space="0" w:color="003876"/>
              <w:bottom w:val="single" w:sz="4" w:space="0" w:color="003876"/>
            </w:tcBorders>
            <w:vAlign w:val="center"/>
          </w:tcPr>
          <w:p w14:paraId="404940A7"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1</w:t>
            </w:r>
          </w:p>
        </w:tc>
        <w:tc>
          <w:tcPr>
            <w:tcW w:w="1769" w:type="dxa"/>
            <w:gridSpan w:val="3"/>
            <w:tcBorders>
              <w:top w:val="single" w:sz="4" w:space="0" w:color="003876"/>
              <w:bottom w:val="single" w:sz="4" w:space="0" w:color="003876"/>
            </w:tcBorders>
            <w:vAlign w:val="center"/>
          </w:tcPr>
          <w:p w14:paraId="554223A7"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1</w:t>
            </w:r>
          </w:p>
        </w:tc>
      </w:tr>
      <w:tr w:rsidR="00BC27E9" w:rsidRPr="00954407" w14:paraId="4C4D1C36" w14:textId="77777777" w:rsidTr="00220FA8">
        <w:trPr>
          <w:trHeight w:val="295"/>
        </w:trPr>
        <w:tc>
          <w:tcPr>
            <w:tcW w:w="1119" w:type="dxa"/>
            <w:tcBorders>
              <w:top w:val="single" w:sz="4" w:space="0" w:color="003876"/>
              <w:bottom w:val="single" w:sz="4" w:space="0" w:color="003876"/>
            </w:tcBorders>
            <w:shd w:val="clear" w:color="auto" w:fill="E0E6ED"/>
            <w:vAlign w:val="center"/>
          </w:tcPr>
          <w:p w14:paraId="7B4B6C59"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Ascenso</w:t>
            </w:r>
          </w:p>
        </w:tc>
        <w:tc>
          <w:tcPr>
            <w:tcW w:w="1478" w:type="dxa"/>
            <w:gridSpan w:val="5"/>
            <w:tcBorders>
              <w:top w:val="single" w:sz="4" w:space="0" w:color="003876"/>
              <w:bottom w:val="single" w:sz="4" w:space="0" w:color="003876"/>
            </w:tcBorders>
            <w:vAlign w:val="center"/>
          </w:tcPr>
          <w:p w14:paraId="178896A8"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c>
          <w:tcPr>
            <w:tcW w:w="1478" w:type="dxa"/>
            <w:gridSpan w:val="5"/>
            <w:tcBorders>
              <w:top w:val="single" w:sz="4" w:space="0" w:color="003876"/>
              <w:bottom w:val="single" w:sz="4" w:space="0" w:color="003876"/>
            </w:tcBorders>
            <w:vAlign w:val="center"/>
          </w:tcPr>
          <w:p w14:paraId="6E087C7A" w14:textId="77777777" w:rsidR="00BC27E9" w:rsidRPr="00954407" w:rsidRDefault="00BC27E9" w:rsidP="00220FA8">
            <w:pPr>
              <w:pStyle w:val="EstilodePrrafoNormal1RdeC"/>
              <w:rPr>
                <w:rFonts w:eastAsia="Calibri"/>
                <w:spacing w:val="0"/>
                <w:szCs w:val="20"/>
              </w:rPr>
            </w:pPr>
          </w:p>
        </w:tc>
        <w:tc>
          <w:tcPr>
            <w:tcW w:w="1479" w:type="dxa"/>
            <w:gridSpan w:val="5"/>
            <w:tcBorders>
              <w:top w:val="single" w:sz="4" w:space="0" w:color="003876"/>
              <w:bottom w:val="single" w:sz="4" w:space="0" w:color="003876"/>
            </w:tcBorders>
            <w:shd w:val="clear" w:color="auto" w:fill="E0E6ED"/>
            <w:vAlign w:val="center"/>
          </w:tcPr>
          <w:p w14:paraId="569C3F2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Destitución</w:t>
            </w:r>
          </w:p>
        </w:tc>
        <w:tc>
          <w:tcPr>
            <w:tcW w:w="1478" w:type="dxa"/>
            <w:gridSpan w:val="7"/>
            <w:tcBorders>
              <w:top w:val="single" w:sz="4" w:space="0" w:color="003876"/>
              <w:bottom w:val="single" w:sz="4" w:space="0" w:color="003876"/>
            </w:tcBorders>
            <w:vAlign w:val="center"/>
          </w:tcPr>
          <w:p w14:paraId="43302F5C"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c>
          <w:tcPr>
            <w:tcW w:w="1769" w:type="dxa"/>
            <w:gridSpan w:val="3"/>
            <w:tcBorders>
              <w:top w:val="single" w:sz="4" w:space="0" w:color="003876"/>
              <w:bottom w:val="single" w:sz="4" w:space="0" w:color="003876"/>
            </w:tcBorders>
            <w:vAlign w:val="center"/>
          </w:tcPr>
          <w:p w14:paraId="2A95B4FD"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r>
      <w:tr w:rsidR="00BC27E9" w:rsidRPr="00954407" w14:paraId="641AA9FF" w14:textId="77777777" w:rsidTr="00220FA8">
        <w:trPr>
          <w:trHeight w:val="245"/>
        </w:trPr>
        <w:tc>
          <w:tcPr>
            <w:tcW w:w="1119" w:type="dxa"/>
            <w:tcBorders>
              <w:top w:val="single" w:sz="4" w:space="0" w:color="003876"/>
              <w:bottom w:val="single" w:sz="4" w:space="0" w:color="003876"/>
            </w:tcBorders>
            <w:shd w:val="clear" w:color="auto" w:fill="E0E6ED"/>
            <w:vAlign w:val="center"/>
          </w:tcPr>
          <w:p w14:paraId="45401657"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Promoción</w:t>
            </w:r>
          </w:p>
        </w:tc>
        <w:tc>
          <w:tcPr>
            <w:tcW w:w="1478" w:type="dxa"/>
            <w:gridSpan w:val="5"/>
            <w:tcBorders>
              <w:top w:val="single" w:sz="4" w:space="0" w:color="003876"/>
              <w:bottom w:val="single" w:sz="4" w:space="0" w:color="003876"/>
            </w:tcBorders>
            <w:vAlign w:val="center"/>
          </w:tcPr>
          <w:p w14:paraId="46A5CF76"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0</w:t>
            </w:r>
          </w:p>
        </w:tc>
        <w:tc>
          <w:tcPr>
            <w:tcW w:w="1478" w:type="dxa"/>
            <w:gridSpan w:val="5"/>
            <w:tcBorders>
              <w:top w:val="single" w:sz="4" w:space="0" w:color="003876"/>
              <w:bottom w:val="single" w:sz="4" w:space="0" w:color="003876"/>
            </w:tcBorders>
            <w:vAlign w:val="center"/>
          </w:tcPr>
          <w:p w14:paraId="6214C31F" w14:textId="77777777" w:rsidR="00BC27E9" w:rsidRPr="00954407" w:rsidRDefault="00BC27E9" w:rsidP="00220FA8">
            <w:pPr>
              <w:pStyle w:val="EstilodePrrafoNormal1RdeC"/>
              <w:rPr>
                <w:rFonts w:eastAsia="Calibri"/>
                <w:spacing w:val="0"/>
                <w:szCs w:val="20"/>
              </w:rPr>
            </w:pPr>
          </w:p>
        </w:tc>
        <w:tc>
          <w:tcPr>
            <w:tcW w:w="1479" w:type="dxa"/>
            <w:gridSpan w:val="5"/>
            <w:tcBorders>
              <w:top w:val="single" w:sz="4" w:space="0" w:color="003876"/>
              <w:bottom w:val="single" w:sz="4" w:space="0" w:color="003876"/>
            </w:tcBorders>
            <w:shd w:val="clear" w:color="auto" w:fill="E0E6ED"/>
            <w:vAlign w:val="center"/>
          </w:tcPr>
          <w:p w14:paraId="518E739F"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Jubilación / Pensión</w:t>
            </w:r>
          </w:p>
        </w:tc>
        <w:tc>
          <w:tcPr>
            <w:tcW w:w="1478" w:type="dxa"/>
            <w:gridSpan w:val="7"/>
            <w:tcBorders>
              <w:top w:val="single" w:sz="4" w:space="0" w:color="003876"/>
              <w:bottom w:val="single" w:sz="4" w:space="0" w:color="003876"/>
            </w:tcBorders>
            <w:vAlign w:val="center"/>
          </w:tcPr>
          <w:p w14:paraId="60F68229"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38</w:t>
            </w:r>
          </w:p>
        </w:tc>
        <w:tc>
          <w:tcPr>
            <w:tcW w:w="1769" w:type="dxa"/>
            <w:gridSpan w:val="3"/>
            <w:tcBorders>
              <w:top w:val="single" w:sz="4" w:space="0" w:color="003876"/>
              <w:bottom w:val="single" w:sz="4" w:space="0" w:color="003876"/>
            </w:tcBorders>
            <w:vAlign w:val="center"/>
          </w:tcPr>
          <w:p w14:paraId="6BEC5235"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38</w:t>
            </w:r>
          </w:p>
        </w:tc>
      </w:tr>
      <w:tr w:rsidR="00BC27E9" w:rsidRPr="00954407" w14:paraId="7CEDC52B" w14:textId="77777777" w:rsidTr="00220FA8">
        <w:trPr>
          <w:trHeight w:val="224"/>
        </w:trPr>
        <w:tc>
          <w:tcPr>
            <w:tcW w:w="1119" w:type="dxa"/>
            <w:tcBorders>
              <w:top w:val="single" w:sz="4" w:space="0" w:color="003876"/>
              <w:bottom w:val="single" w:sz="4" w:space="0" w:color="003876"/>
            </w:tcBorders>
            <w:shd w:val="clear" w:color="auto" w:fill="E0E6ED"/>
            <w:vAlign w:val="center"/>
          </w:tcPr>
          <w:p w14:paraId="6DF88775"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Suplencia</w:t>
            </w:r>
          </w:p>
        </w:tc>
        <w:tc>
          <w:tcPr>
            <w:tcW w:w="1478" w:type="dxa"/>
            <w:gridSpan w:val="5"/>
            <w:tcBorders>
              <w:top w:val="single" w:sz="4" w:space="0" w:color="003876"/>
              <w:bottom w:val="single" w:sz="4" w:space="0" w:color="003876"/>
            </w:tcBorders>
            <w:vAlign w:val="center"/>
          </w:tcPr>
          <w:p w14:paraId="72717BF4" w14:textId="77777777" w:rsidR="00BC27E9" w:rsidRPr="00954407" w:rsidRDefault="00BC27E9" w:rsidP="00220FA8">
            <w:pPr>
              <w:pStyle w:val="EstilodePrrafoNormal1RdeC"/>
              <w:rPr>
                <w:rFonts w:eastAsia="Calibri"/>
                <w:spacing w:val="0"/>
                <w:szCs w:val="20"/>
              </w:rPr>
            </w:pPr>
          </w:p>
        </w:tc>
        <w:tc>
          <w:tcPr>
            <w:tcW w:w="1478" w:type="dxa"/>
            <w:gridSpan w:val="5"/>
            <w:tcBorders>
              <w:top w:val="single" w:sz="4" w:space="0" w:color="003876"/>
              <w:bottom w:val="single" w:sz="4" w:space="0" w:color="003876"/>
            </w:tcBorders>
            <w:vAlign w:val="center"/>
          </w:tcPr>
          <w:p w14:paraId="06AD2193" w14:textId="77777777" w:rsidR="00BC27E9" w:rsidRPr="00954407" w:rsidRDefault="00BC27E9" w:rsidP="00220FA8">
            <w:pPr>
              <w:pStyle w:val="EstilodePrrafoNormal1RdeC"/>
              <w:rPr>
                <w:rFonts w:eastAsia="Calibri"/>
                <w:spacing w:val="0"/>
                <w:szCs w:val="20"/>
              </w:rPr>
            </w:pPr>
          </w:p>
        </w:tc>
        <w:tc>
          <w:tcPr>
            <w:tcW w:w="1479" w:type="dxa"/>
            <w:gridSpan w:val="5"/>
            <w:tcBorders>
              <w:top w:val="single" w:sz="4" w:space="0" w:color="003876"/>
              <w:bottom w:val="single" w:sz="4" w:space="0" w:color="003876"/>
            </w:tcBorders>
            <w:shd w:val="clear" w:color="auto" w:fill="E0E6ED"/>
            <w:vAlign w:val="center"/>
          </w:tcPr>
          <w:p w14:paraId="3AEDC777"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Interinato</w:t>
            </w:r>
          </w:p>
        </w:tc>
        <w:tc>
          <w:tcPr>
            <w:tcW w:w="1478" w:type="dxa"/>
            <w:gridSpan w:val="7"/>
            <w:tcBorders>
              <w:top w:val="single" w:sz="4" w:space="0" w:color="003876"/>
              <w:bottom w:val="single" w:sz="4" w:space="0" w:color="003876"/>
            </w:tcBorders>
            <w:vAlign w:val="center"/>
          </w:tcPr>
          <w:p w14:paraId="4F09E982" w14:textId="77777777" w:rsidR="00BC27E9" w:rsidRPr="00954407" w:rsidRDefault="00BC27E9" w:rsidP="00220FA8">
            <w:pPr>
              <w:pStyle w:val="EstilodePrrafoNormal1RdeC"/>
              <w:rPr>
                <w:rFonts w:eastAsia="Calibri"/>
                <w:spacing w:val="0"/>
                <w:szCs w:val="20"/>
              </w:rPr>
            </w:pPr>
          </w:p>
        </w:tc>
        <w:tc>
          <w:tcPr>
            <w:tcW w:w="1769" w:type="dxa"/>
            <w:gridSpan w:val="3"/>
            <w:tcBorders>
              <w:top w:val="single" w:sz="4" w:space="0" w:color="003876"/>
              <w:bottom w:val="single" w:sz="4" w:space="0" w:color="003876"/>
            </w:tcBorders>
            <w:vAlign w:val="center"/>
          </w:tcPr>
          <w:p w14:paraId="4A5012CB" w14:textId="77777777" w:rsidR="00BC27E9" w:rsidRPr="00954407" w:rsidRDefault="00BC27E9" w:rsidP="00220FA8">
            <w:pPr>
              <w:pStyle w:val="EstilodePrrafoNormal1RdeC"/>
              <w:rPr>
                <w:rFonts w:eastAsia="Calibri"/>
                <w:spacing w:val="0"/>
                <w:szCs w:val="20"/>
              </w:rPr>
            </w:pPr>
          </w:p>
        </w:tc>
      </w:tr>
      <w:tr w:rsidR="00BC27E9" w:rsidRPr="00954407" w14:paraId="5B033D73" w14:textId="77777777" w:rsidTr="00220FA8">
        <w:trPr>
          <w:trHeight w:val="587"/>
        </w:trPr>
        <w:tc>
          <w:tcPr>
            <w:tcW w:w="1119" w:type="dxa"/>
            <w:tcBorders>
              <w:top w:val="single" w:sz="4" w:space="0" w:color="003876"/>
              <w:bottom w:val="single" w:sz="4" w:space="0" w:color="003876"/>
            </w:tcBorders>
            <w:shd w:val="clear" w:color="auto" w:fill="E0E6ED"/>
            <w:vAlign w:val="center"/>
          </w:tcPr>
          <w:p w14:paraId="48B1F124"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Licencia (cargo </w:t>
            </w:r>
            <w:r w:rsidRPr="00954407">
              <w:rPr>
                <w:rFonts w:eastAsia="Calibri"/>
                <w:spacing w:val="0"/>
                <w:szCs w:val="20"/>
              </w:rPr>
              <w:lastRenderedPageBreak/>
              <w:t>libre nombramiento o confianza)</w:t>
            </w:r>
          </w:p>
        </w:tc>
        <w:tc>
          <w:tcPr>
            <w:tcW w:w="1478" w:type="dxa"/>
            <w:gridSpan w:val="5"/>
            <w:tcBorders>
              <w:top w:val="single" w:sz="4" w:space="0" w:color="003876"/>
              <w:bottom w:val="single" w:sz="4" w:space="0" w:color="003876"/>
            </w:tcBorders>
            <w:vAlign w:val="center"/>
          </w:tcPr>
          <w:p w14:paraId="6D7CC8E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lastRenderedPageBreak/>
              <w:t>0</w:t>
            </w:r>
          </w:p>
        </w:tc>
        <w:tc>
          <w:tcPr>
            <w:tcW w:w="1478" w:type="dxa"/>
            <w:gridSpan w:val="5"/>
            <w:tcBorders>
              <w:top w:val="single" w:sz="4" w:space="0" w:color="003876"/>
              <w:bottom w:val="single" w:sz="4" w:space="0" w:color="003876"/>
            </w:tcBorders>
            <w:vAlign w:val="center"/>
          </w:tcPr>
          <w:p w14:paraId="6734CD37" w14:textId="77777777" w:rsidR="00BC27E9" w:rsidRPr="00954407" w:rsidRDefault="00BC27E9" w:rsidP="00220FA8">
            <w:pPr>
              <w:pStyle w:val="EstilodePrrafoNormal1RdeC"/>
              <w:rPr>
                <w:rFonts w:eastAsia="Calibri"/>
                <w:spacing w:val="0"/>
                <w:szCs w:val="20"/>
              </w:rPr>
            </w:pPr>
          </w:p>
        </w:tc>
        <w:tc>
          <w:tcPr>
            <w:tcW w:w="1479" w:type="dxa"/>
            <w:gridSpan w:val="5"/>
            <w:tcBorders>
              <w:top w:val="single" w:sz="4" w:space="0" w:color="003876"/>
              <w:bottom w:val="single" w:sz="4" w:space="0" w:color="003876"/>
            </w:tcBorders>
            <w:shd w:val="clear" w:color="auto" w:fill="E0E6ED"/>
            <w:vAlign w:val="center"/>
          </w:tcPr>
          <w:p w14:paraId="6FB19BE8" w14:textId="77777777" w:rsidR="00BC27E9" w:rsidRPr="00954407" w:rsidRDefault="00BC27E9" w:rsidP="00220FA8">
            <w:pPr>
              <w:pStyle w:val="EstilodePrrafoNormal1RdeC"/>
              <w:rPr>
                <w:rFonts w:eastAsia="Calibri"/>
                <w:spacing w:val="0"/>
                <w:sz w:val="22"/>
              </w:rPr>
            </w:pPr>
            <w:r w:rsidRPr="00954407">
              <w:rPr>
                <w:rFonts w:eastAsia="Calibri"/>
                <w:spacing w:val="0"/>
                <w:sz w:val="22"/>
              </w:rPr>
              <w:t xml:space="preserve">Otros </w:t>
            </w:r>
            <w:r w:rsidRPr="00954407">
              <w:rPr>
                <w:rFonts w:eastAsia="Calibri"/>
                <w:spacing w:val="0"/>
                <w:sz w:val="22"/>
              </w:rPr>
              <w:lastRenderedPageBreak/>
              <w:t>movimientos</w:t>
            </w:r>
          </w:p>
        </w:tc>
        <w:tc>
          <w:tcPr>
            <w:tcW w:w="1478" w:type="dxa"/>
            <w:gridSpan w:val="7"/>
            <w:tcBorders>
              <w:top w:val="single" w:sz="4" w:space="0" w:color="003876"/>
              <w:bottom w:val="single" w:sz="4" w:space="0" w:color="003876"/>
            </w:tcBorders>
            <w:vAlign w:val="center"/>
          </w:tcPr>
          <w:p w14:paraId="0BB706D3" w14:textId="77777777" w:rsidR="00BC27E9" w:rsidRPr="00954407" w:rsidRDefault="00BC27E9" w:rsidP="00220FA8">
            <w:pPr>
              <w:pStyle w:val="EstilodePrrafoNormal1RdeC"/>
              <w:rPr>
                <w:rFonts w:eastAsia="Calibri"/>
                <w:spacing w:val="0"/>
                <w:sz w:val="22"/>
              </w:rPr>
            </w:pPr>
            <w:r w:rsidRPr="00954407">
              <w:rPr>
                <w:rFonts w:eastAsia="Calibri"/>
                <w:spacing w:val="0"/>
                <w:sz w:val="22"/>
              </w:rPr>
              <w:lastRenderedPageBreak/>
              <w:t xml:space="preserve">19  Servidores </w:t>
            </w:r>
            <w:r w:rsidRPr="00954407">
              <w:rPr>
                <w:rFonts w:eastAsia="Calibri"/>
                <w:spacing w:val="0"/>
                <w:sz w:val="22"/>
              </w:rPr>
              <w:lastRenderedPageBreak/>
              <w:t>en   Trámites de Pensión y dos (2) fallecidos.</w:t>
            </w:r>
          </w:p>
        </w:tc>
        <w:tc>
          <w:tcPr>
            <w:tcW w:w="1769" w:type="dxa"/>
            <w:gridSpan w:val="3"/>
            <w:tcBorders>
              <w:top w:val="single" w:sz="4" w:space="0" w:color="003876"/>
              <w:bottom w:val="single" w:sz="4" w:space="0" w:color="003876"/>
            </w:tcBorders>
            <w:vAlign w:val="center"/>
          </w:tcPr>
          <w:p w14:paraId="078D83BA" w14:textId="77777777" w:rsidR="00BC27E9" w:rsidRPr="00954407" w:rsidRDefault="00BC27E9" w:rsidP="00220FA8">
            <w:pPr>
              <w:pStyle w:val="EstilodePrrafoNormal1RdeC"/>
              <w:rPr>
                <w:rFonts w:eastAsia="Calibri"/>
                <w:spacing w:val="0"/>
                <w:sz w:val="22"/>
              </w:rPr>
            </w:pPr>
            <w:r w:rsidRPr="00954407">
              <w:rPr>
                <w:rFonts w:eastAsia="Calibri"/>
                <w:spacing w:val="0"/>
                <w:sz w:val="22"/>
              </w:rPr>
              <w:lastRenderedPageBreak/>
              <w:t>02</w:t>
            </w:r>
          </w:p>
        </w:tc>
      </w:tr>
      <w:tr w:rsidR="00BC27E9" w:rsidRPr="00954407" w14:paraId="4D8C8DFA" w14:textId="77777777" w:rsidTr="00220FA8">
        <w:trPr>
          <w:trHeight w:val="271"/>
        </w:trPr>
        <w:tc>
          <w:tcPr>
            <w:tcW w:w="8801" w:type="dxa"/>
            <w:gridSpan w:val="26"/>
            <w:tcBorders>
              <w:top w:val="single" w:sz="4" w:space="0" w:color="003876"/>
              <w:bottom w:val="single" w:sz="4" w:space="0" w:color="003876"/>
            </w:tcBorders>
            <w:vAlign w:val="center"/>
          </w:tcPr>
          <w:p w14:paraId="26595E8A"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Observaciones: </w:t>
            </w:r>
          </w:p>
        </w:tc>
      </w:tr>
      <w:tr w:rsidR="00BC27E9" w:rsidRPr="00954407" w14:paraId="500E5B10" w14:textId="77777777" w:rsidTr="00220FA8">
        <w:trPr>
          <w:trHeight w:val="87"/>
        </w:trPr>
        <w:tc>
          <w:tcPr>
            <w:tcW w:w="8801" w:type="dxa"/>
            <w:gridSpan w:val="26"/>
            <w:tcBorders>
              <w:top w:val="single" w:sz="4" w:space="0" w:color="003876"/>
              <w:bottom w:val="single" w:sz="4" w:space="0" w:color="003876"/>
            </w:tcBorders>
            <w:shd w:val="clear" w:color="auto" w:fill="142F62"/>
            <w:vAlign w:val="center"/>
          </w:tcPr>
          <w:p w14:paraId="242F925A" w14:textId="77777777" w:rsidR="00BC27E9" w:rsidRPr="00954407" w:rsidRDefault="00BC27E9" w:rsidP="00220FA8">
            <w:pPr>
              <w:pStyle w:val="EstilodePrrafoNormal1RdeC"/>
              <w:rPr>
                <w:rFonts w:eastAsia="Calibri"/>
                <w:spacing w:val="0"/>
                <w:szCs w:val="20"/>
              </w:rPr>
            </w:pPr>
            <w:r w:rsidRPr="00954407">
              <w:rPr>
                <w:szCs w:val="20"/>
              </w:rPr>
              <w:t>Socialización de la Ley No. 41-08 de Función Pública</w:t>
            </w:r>
          </w:p>
        </w:tc>
      </w:tr>
      <w:tr w:rsidR="00BC27E9" w:rsidRPr="00954407" w14:paraId="0F864B6D" w14:textId="77777777" w:rsidTr="00220FA8">
        <w:trPr>
          <w:trHeight w:val="332"/>
        </w:trPr>
        <w:tc>
          <w:tcPr>
            <w:tcW w:w="8801" w:type="dxa"/>
            <w:gridSpan w:val="26"/>
            <w:tcBorders>
              <w:top w:val="single" w:sz="4" w:space="0" w:color="003876"/>
              <w:bottom w:val="single" w:sz="4" w:space="0" w:color="003876"/>
            </w:tcBorders>
            <w:shd w:val="clear" w:color="auto" w:fill="47A8EA"/>
            <w:vAlign w:val="center"/>
          </w:tcPr>
          <w:p w14:paraId="51C862E2" w14:textId="77777777" w:rsidR="00BC27E9" w:rsidRPr="00954407" w:rsidRDefault="00BC27E9" w:rsidP="00220FA8">
            <w:pPr>
              <w:pStyle w:val="EstilodePrrafoNormal1RdeC"/>
              <w:rPr>
                <w:rFonts w:eastAsia="Calibri"/>
                <w:spacing w:val="0"/>
                <w:sz w:val="18"/>
                <w:szCs w:val="18"/>
              </w:rPr>
            </w:pPr>
            <w:r w:rsidRPr="00954407">
              <w:rPr>
                <w:szCs w:val="20"/>
              </w:rPr>
              <w:t>Charla sobre la Ley No. 41-08, de Función Pública</w:t>
            </w:r>
          </w:p>
        </w:tc>
      </w:tr>
      <w:tr w:rsidR="00BC27E9" w:rsidRPr="00954407" w14:paraId="1CAC8B58" w14:textId="77777777" w:rsidTr="00220FA8">
        <w:trPr>
          <w:trHeight w:val="1754"/>
        </w:trPr>
        <w:tc>
          <w:tcPr>
            <w:tcW w:w="1742" w:type="dxa"/>
            <w:gridSpan w:val="2"/>
            <w:tcBorders>
              <w:top w:val="single" w:sz="4" w:space="0" w:color="003876"/>
              <w:bottom w:val="single" w:sz="4" w:space="0" w:color="003876"/>
            </w:tcBorders>
            <w:shd w:val="clear" w:color="auto" w:fill="E0E6ED"/>
            <w:vAlign w:val="center"/>
          </w:tcPr>
          <w:p w14:paraId="2E08477A"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Total, de servidores que pertenecen al grupo ocupacional V, en el órgano o ente</w:t>
            </w:r>
          </w:p>
        </w:tc>
        <w:tc>
          <w:tcPr>
            <w:tcW w:w="2289" w:type="dxa"/>
            <w:gridSpan w:val="8"/>
            <w:tcBorders>
              <w:top w:val="single" w:sz="4" w:space="0" w:color="003876"/>
              <w:bottom w:val="single" w:sz="4" w:space="0" w:color="003876"/>
            </w:tcBorders>
            <w:vAlign w:val="center"/>
          </w:tcPr>
          <w:p w14:paraId="0EAAD39D"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Cantidad de servidores del grupo ocupacional V, de dirección y supervisión, que participó en la charla de la Ley de Función Pública (intervalo de un año).</w:t>
            </w:r>
          </w:p>
        </w:tc>
        <w:tc>
          <w:tcPr>
            <w:tcW w:w="2070" w:type="dxa"/>
            <w:gridSpan w:val="9"/>
            <w:tcBorders>
              <w:top w:val="single" w:sz="4" w:space="0" w:color="003876"/>
              <w:bottom w:val="single" w:sz="4" w:space="0" w:color="003876"/>
            </w:tcBorders>
            <w:vAlign w:val="center"/>
          </w:tcPr>
          <w:p w14:paraId="4A84DBAB"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Nombre del facilitador del MAP que impartió la Charla</w:t>
            </w:r>
          </w:p>
        </w:tc>
        <w:tc>
          <w:tcPr>
            <w:tcW w:w="1350" w:type="dxa"/>
            <w:gridSpan w:val="5"/>
            <w:tcBorders>
              <w:top w:val="single" w:sz="4" w:space="0" w:color="003876"/>
              <w:bottom w:val="single" w:sz="4" w:space="0" w:color="003876"/>
            </w:tcBorders>
            <w:shd w:val="clear" w:color="auto" w:fill="E0E6ED"/>
            <w:vAlign w:val="center"/>
          </w:tcPr>
          <w:p w14:paraId="65EBFA59"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Fecha de realización</w:t>
            </w:r>
          </w:p>
        </w:tc>
        <w:tc>
          <w:tcPr>
            <w:tcW w:w="1350" w:type="dxa"/>
            <w:gridSpan w:val="2"/>
            <w:tcBorders>
              <w:top w:val="single" w:sz="4" w:space="0" w:color="003876"/>
              <w:bottom w:val="single" w:sz="4" w:space="0" w:color="003876"/>
            </w:tcBorders>
            <w:vAlign w:val="center"/>
          </w:tcPr>
          <w:p w14:paraId="28F01042"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    Modalidad</w:t>
            </w:r>
          </w:p>
        </w:tc>
      </w:tr>
      <w:tr w:rsidR="00BC27E9" w:rsidRPr="00954407" w14:paraId="658C6C4D" w14:textId="77777777" w:rsidTr="00220FA8">
        <w:trPr>
          <w:trHeight w:val="971"/>
        </w:trPr>
        <w:tc>
          <w:tcPr>
            <w:tcW w:w="1742" w:type="dxa"/>
            <w:gridSpan w:val="2"/>
            <w:tcBorders>
              <w:top w:val="single" w:sz="4" w:space="0" w:color="003876"/>
              <w:bottom w:val="single" w:sz="4" w:space="0" w:color="003876"/>
            </w:tcBorders>
            <w:shd w:val="clear" w:color="auto" w:fill="E0E6ED"/>
            <w:vAlign w:val="center"/>
          </w:tcPr>
          <w:p w14:paraId="226A80DE" w14:textId="77777777" w:rsidR="00BC27E9" w:rsidRPr="00954407" w:rsidRDefault="00BC27E9" w:rsidP="00220FA8">
            <w:pPr>
              <w:pStyle w:val="EstilodePrrafoNormal1RdeC"/>
              <w:rPr>
                <w:rFonts w:eastAsia="Calibri"/>
                <w:spacing w:val="0"/>
                <w:szCs w:val="20"/>
              </w:rPr>
            </w:pPr>
          </w:p>
        </w:tc>
        <w:tc>
          <w:tcPr>
            <w:tcW w:w="2289" w:type="dxa"/>
            <w:gridSpan w:val="8"/>
            <w:tcBorders>
              <w:top w:val="single" w:sz="4" w:space="0" w:color="003876"/>
              <w:bottom w:val="single" w:sz="4" w:space="0" w:color="003876"/>
            </w:tcBorders>
            <w:vAlign w:val="center"/>
          </w:tcPr>
          <w:p w14:paraId="6ADE8C94" w14:textId="77777777" w:rsidR="00BC27E9" w:rsidRPr="00954407" w:rsidRDefault="00BC27E9" w:rsidP="00220FA8">
            <w:pPr>
              <w:pStyle w:val="EstilodePrrafoNormal1RdeC"/>
              <w:rPr>
                <w:color w:val="767171"/>
                <w:szCs w:val="20"/>
              </w:rPr>
            </w:pPr>
            <w:r w:rsidRPr="00954407">
              <w:rPr>
                <w:color w:val="767171"/>
                <w:szCs w:val="20"/>
              </w:rPr>
              <w:t>78</w:t>
            </w:r>
          </w:p>
          <w:p w14:paraId="76C3F1FD" w14:textId="77777777" w:rsidR="00BC27E9" w:rsidRPr="00954407" w:rsidRDefault="00BC27E9" w:rsidP="00220FA8">
            <w:pPr>
              <w:pStyle w:val="EstilodePrrafoNormal1RdeC"/>
              <w:rPr>
                <w:color w:val="767171"/>
                <w:szCs w:val="20"/>
              </w:rPr>
            </w:pPr>
            <w:r w:rsidRPr="00954407">
              <w:rPr>
                <w:color w:val="767171"/>
                <w:szCs w:val="20"/>
              </w:rPr>
              <w:t>120</w:t>
            </w:r>
          </w:p>
          <w:p w14:paraId="56276A39" w14:textId="77777777" w:rsidR="00BC27E9" w:rsidRPr="00954407" w:rsidRDefault="00BC27E9" w:rsidP="00220FA8">
            <w:pPr>
              <w:pStyle w:val="EstilodePrrafoNormal1RdeC"/>
              <w:rPr>
                <w:color w:val="767171"/>
                <w:szCs w:val="20"/>
              </w:rPr>
            </w:pPr>
            <w:r w:rsidRPr="00954407">
              <w:rPr>
                <w:color w:val="767171"/>
                <w:szCs w:val="20"/>
              </w:rPr>
              <w:t>39</w:t>
            </w:r>
          </w:p>
        </w:tc>
        <w:tc>
          <w:tcPr>
            <w:tcW w:w="2070" w:type="dxa"/>
            <w:gridSpan w:val="9"/>
            <w:tcBorders>
              <w:top w:val="single" w:sz="4" w:space="0" w:color="003876"/>
              <w:bottom w:val="single" w:sz="4" w:space="0" w:color="003876"/>
            </w:tcBorders>
            <w:vAlign w:val="center"/>
          </w:tcPr>
          <w:p w14:paraId="4122FB87" w14:textId="77777777" w:rsidR="00BC27E9" w:rsidRPr="00954407" w:rsidRDefault="00BC27E9" w:rsidP="00220FA8">
            <w:pPr>
              <w:pStyle w:val="EstilodePrrafoNormal1RdeC"/>
              <w:rPr>
                <w:color w:val="767171"/>
                <w:szCs w:val="20"/>
              </w:rPr>
            </w:pPr>
            <w:r w:rsidRPr="00954407">
              <w:rPr>
                <w:color w:val="767171"/>
                <w:szCs w:val="20"/>
              </w:rPr>
              <w:t>Francisco Mendoza</w:t>
            </w:r>
          </w:p>
          <w:p w14:paraId="76183651" w14:textId="77777777" w:rsidR="00BC27E9" w:rsidRPr="00954407" w:rsidRDefault="00BC27E9" w:rsidP="00220FA8">
            <w:pPr>
              <w:pStyle w:val="EstilodePrrafoNormal1RdeC"/>
              <w:rPr>
                <w:color w:val="767171"/>
                <w:szCs w:val="20"/>
              </w:rPr>
            </w:pPr>
            <w:r w:rsidRPr="00954407">
              <w:rPr>
                <w:color w:val="767171"/>
                <w:szCs w:val="20"/>
              </w:rPr>
              <w:t>Ailen Martínez</w:t>
            </w:r>
          </w:p>
          <w:p w14:paraId="19E8BE2F" w14:textId="77777777" w:rsidR="00BC27E9" w:rsidRPr="00954407" w:rsidRDefault="00BC27E9" w:rsidP="00220FA8">
            <w:pPr>
              <w:pStyle w:val="EstilodePrrafoNormal1RdeC"/>
              <w:rPr>
                <w:rFonts w:eastAsia="Calibri"/>
                <w:spacing w:val="0"/>
                <w:szCs w:val="20"/>
              </w:rPr>
            </w:pPr>
            <w:r w:rsidRPr="00954407">
              <w:rPr>
                <w:szCs w:val="20"/>
              </w:rPr>
              <w:t>Francisco Mendoza</w:t>
            </w:r>
          </w:p>
        </w:tc>
        <w:tc>
          <w:tcPr>
            <w:tcW w:w="1350" w:type="dxa"/>
            <w:gridSpan w:val="5"/>
            <w:tcBorders>
              <w:top w:val="single" w:sz="4" w:space="0" w:color="003876"/>
              <w:bottom w:val="single" w:sz="4" w:space="0" w:color="003876"/>
            </w:tcBorders>
            <w:shd w:val="clear" w:color="auto" w:fill="E0E6ED"/>
            <w:vAlign w:val="center"/>
          </w:tcPr>
          <w:p w14:paraId="10D4D530" w14:textId="77777777" w:rsidR="00BC27E9" w:rsidRPr="00954407" w:rsidRDefault="00BC27E9" w:rsidP="00220FA8">
            <w:pPr>
              <w:pStyle w:val="EstilodePrrafoNormal1RdeC"/>
              <w:rPr>
                <w:color w:val="767171"/>
                <w:szCs w:val="20"/>
              </w:rPr>
            </w:pPr>
            <w:r w:rsidRPr="00954407">
              <w:rPr>
                <w:color w:val="767171"/>
                <w:szCs w:val="20"/>
              </w:rPr>
              <w:t>08/08/2025</w:t>
            </w:r>
          </w:p>
          <w:p w14:paraId="50034A2F" w14:textId="77777777" w:rsidR="00BC27E9" w:rsidRPr="00954407" w:rsidRDefault="00BC27E9" w:rsidP="00220FA8">
            <w:pPr>
              <w:pStyle w:val="EstilodePrrafoNormal1RdeC"/>
              <w:rPr>
                <w:color w:val="767171"/>
                <w:szCs w:val="20"/>
              </w:rPr>
            </w:pPr>
            <w:r w:rsidRPr="00954407">
              <w:rPr>
                <w:color w:val="767171"/>
                <w:szCs w:val="20"/>
              </w:rPr>
              <w:t>13/08/2025</w:t>
            </w:r>
          </w:p>
          <w:p w14:paraId="2941CC4F" w14:textId="77777777" w:rsidR="00BC27E9" w:rsidRPr="00954407" w:rsidRDefault="00BC27E9" w:rsidP="00220FA8">
            <w:pPr>
              <w:pStyle w:val="EstilodePrrafoNormal1RdeC"/>
              <w:rPr>
                <w:rFonts w:eastAsia="Calibri"/>
                <w:spacing w:val="0"/>
                <w:szCs w:val="20"/>
              </w:rPr>
            </w:pPr>
            <w:r w:rsidRPr="00954407">
              <w:rPr>
                <w:szCs w:val="20"/>
              </w:rPr>
              <w:t>15/08/2025</w:t>
            </w:r>
          </w:p>
        </w:tc>
        <w:tc>
          <w:tcPr>
            <w:tcW w:w="1350" w:type="dxa"/>
            <w:gridSpan w:val="2"/>
            <w:tcBorders>
              <w:top w:val="single" w:sz="4" w:space="0" w:color="003876"/>
              <w:bottom w:val="single" w:sz="4" w:space="0" w:color="003876"/>
            </w:tcBorders>
            <w:vAlign w:val="center"/>
          </w:tcPr>
          <w:p w14:paraId="5C47C75E" w14:textId="77777777" w:rsidR="00BC27E9" w:rsidRPr="00954407" w:rsidRDefault="00BC27E9" w:rsidP="00220FA8">
            <w:pPr>
              <w:pStyle w:val="EstilodePrrafoNormal1RdeC"/>
              <w:rPr>
                <w:color w:val="767171"/>
                <w:szCs w:val="20"/>
              </w:rPr>
            </w:pPr>
            <w:r w:rsidRPr="00954407">
              <w:rPr>
                <w:color w:val="767171"/>
                <w:szCs w:val="20"/>
              </w:rPr>
              <w:t>Virtual</w:t>
            </w:r>
          </w:p>
          <w:p w14:paraId="48B844BA" w14:textId="77777777" w:rsidR="00BC27E9" w:rsidRPr="00954407" w:rsidRDefault="00BC27E9" w:rsidP="00220FA8">
            <w:pPr>
              <w:pStyle w:val="EstilodePrrafoNormal1RdeC"/>
              <w:rPr>
                <w:color w:val="767171"/>
                <w:szCs w:val="20"/>
              </w:rPr>
            </w:pPr>
            <w:r w:rsidRPr="00954407">
              <w:rPr>
                <w:color w:val="767171"/>
                <w:szCs w:val="20"/>
              </w:rPr>
              <w:t>Virtual</w:t>
            </w:r>
          </w:p>
          <w:p w14:paraId="60317CC5" w14:textId="77777777" w:rsidR="00BC27E9" w:rsidRPr="00954407" w:rsidRDefault="00BC27E9" w:rsidP="00220FA8">
            <w:pPr>
              <w:pStyle w:val="EstilodePrrafoNormal1RdeC"/>
              <w:rPr>
                <w:rFonts w:eastAsia="Calibri"/>
                <w:spacing w:val="0"/>
                <w:szCs w:val="20"/>
              </w:rPr>
            </w:pPr>
            <w:r w:rsidRPr="00954407">
              <w:rPr>
                <w:szCs w:val="20"/>
              </w:rPr>
              <w:t>Virtual</w:t>
            </w:r>
          </w:p>
        </w:tc>
      </w:tr>
      <w:tr w:rsidR="00BC27E9" w:rsidRPr="00954407" w14:paraId="1245A039" w14:textId="77777777" w:rsidTr="00220FA8">
        <w:trPr>
          <w:trHeight w:val="271"/>
        </w:trPr>
        <w:tc>
          <w:tcPr>
            <w:tcW w:w="8801" w:type="dxa"/>
            <w:gridSpan w:val="26"/>
            <w:tcBorders>
              <w:top w:val="single" w:sz="4" w:space="0" w:color="003876"/>
              <w:bottom w:val="single" w:sz="4" w:space="0" w:color="003876"/>
            </w:tcBorders>
            <w:vAlign w:val="center"/>
          </w:tcPr>
          <w:p w14:paraId="5723C4E6" w14:textId="77777777" w:rsidR="00BC27E9" w:rsidRPr="00954407" w:rsidRDefault="00BC27E9" w:rsidP="00220FA8">
            <w:pPr>
              <w:pStyle w:val="EstilodePrrafoNormal1RdeC"/>
              <w:rPr>
                <w:rFonts w:eastAsia="Calibri"/>
                <w:spacing w:val="0"/>
                <w:szCs w:val="20"/>
              </w:rPr>
            </w:pPr>
            <w:r w:rsidRPr="00954407">
              <w:rPr>
                <w:rFonts w:eastAsia="Calibri"/>
                <w:spacing w:val="0"/>
                <w:szCs w:val="20"/>
              </w:rPr>
              <w:t xml:space="preserve">Observaciones: </w:t>
            </w:r>
          </w:p>
        </w:tc>
      </w:tr>
    </w:tbl>
    <w:tbl>
      <w:tblPr>
        <w:tblStyle w:val="TableGrid"/>
        <w:tblW w:w="5563" w:type="pct"/>
        <w:tblInd w:w="-436" w:type="dxa"/>
        <w:tblLayout w:type="fixed"/>
        <w:tblLook w:val="04A0" w:firstRow="1" w:lastRow="0" w:firstColumn="1" w:lastColumn="0" w:noHBand="0" w:noVBand="1"/>
      </w:tblPr>
      <w:tblGrid>
        <w:gridCol w:w="1007"/>
        <w:gridCol w:w="3564"/>
        <w:gridCol w:w="1080"/>
        <w:gridCol w:w="3150"/>
      </w:tblGrid>
      <w:tr w:rsidR="00BC27E9" w:rsidRPr="00954407" w14:paraId="37B8EF08" w14:textId="77777777" w:rsidTr="00220FA8">
        <w:trPr>
          <w:trHeight w:val="260"/>
        </w:trPr>
        <w:tc>
          <w:tcPr>
            <w:tcW w:w="8801" w:type="dxa"/>
            <w:gridSpan w:val="4"/>
            <w:shd w:val="clear" w:color="auto" w:fill="003876"/>
            <w:vAlign w:val="center"/>
          </w:tcPr>
          <w:p w14:paraId="14205711" w14:textId="77777777" w:rsidR="00BC27E9" w:rsidRPr="00954407" w:rsidRDefault="00BC27E9" w:rsidP="00220FA8">
            <w:pPr>
              <w:pStyle w:val="EstilodePrrafoNormal1RdeC"/>
              <w:rPr>
                <w:sz w:val="20"/>
                <w:szCs w:val="20"/>
              </w:rPr>
            </w:pPr>
            <w:r w:rsidRPr="00954407">
              <w:rPr>
                <w:sz w:val="20"/>
                <w:szCs w:val="20"/>
              </w:rPr>
              <w:t>Validación y aprobación</w:t>
            </w:r>
          </w:p>
        </w:tc>
      </w:tr>
      <w:tr w:rsidR="00BC27E9" w:rsidRPr="00954407" w14:paraId="64563003" w14:textId="77777777" w:rsidTr="00220FA8">
        <w:trPr>
          <w:trHeight w:val="260"/>
        </w:trPr>
        <w:tc>
          <w:tcPr>
            <w:tcW w:w="4571" w:type="dxa"/>
            <w:gridSpan w:val="2"/>
            <w:shd w:val="clear" w:color="auto" w:fill="47A8EA"/>
            <w:vAlign w:val="center"/>
          </w:tcPr>
          <w:p w14:paraId="4CB6E72A" w14:textId="77777777" w:rsidR="00BC27E9" w:rsidRPr="00954407" w:rsidRDefault="00BC27E9" w:rsidP="00220FA8">
            <w:pPr>
              <w:pStyle w:val="EstilodePrrafoNormal1RdeC"/>
              <w:rPr>
                <w:sz w:val="20"/>
                <w:szCs w:val="20"/>
              </w:rPr>
            </w:pPr>
            <w:r w:rsidRPr="00954407">
              <w:rPr>
                <w:sz w:val="20"/>
                <w:szCs w:val="20"/>
              </w:rPr>
              <w:t>Elaborado por:</w:t>
            </w:r>
          </w:p>
        </w:tc>
        <w:tc>
          <w:tcPr>
            <w:tcW w:w="4230" w:type="dxa"/>
            <w:gridSpan w:val="2"/>
            <w:shd w:val="clear" w:color="auto" w:fill="47A8EA"/>
            <w:vAlign w:val="center"/>
          </w:tcPr>
          <w:p w14:paraId="1FCF0742" w14:textId="77777777" w:rsidR="00BC27E9" w:rsidRPr="00954407" w:rsidRDefault="00BC27E9" w:rsidP="00220FA8">
            <w:pPr>
              <w:pStyle w:val="EstilodePrrafoNormal1RdeC"/>
              <w:rPr>
                <w:sz w:val="20"/>
                <w:szCs w:val="20"/>
              </w:rPr>
            </w:pPr>
            <w:r w:rsidRPr="00954407">
              <w:rPr>
                <w:sz w:val="20"/>
                <w:szCs w:val="20"/>
              </w:rPr>
              <w:t>Validado por:</w:t>
            </w:r>
          </w:p>
        </w:tc>
      </w:tr>
      <w:tr w:rsidR="00BC27E9" w:rsidRPr="00954407" w14:paraId="118C5877" w14:textId="77777777" w:rsidTr="00220FA8">
        <w:trPr>
          <w:trHeight w:val="368"/>
        </w:trPr>
        <w:tc>
          <w:tcPr>
            <w:tcW w:w="1007" w:type="dxa"/>
            <w:shd w:val="clear" w:color="auto" w:fill="E0E6ED"/>
            <w:vAlign w:val="center"/>
          </w:tcPr>
          <w:p w14:paraId="597CD667" w14:textId="77777777" w:rsidR="00BC27E9" w:rsidRPr="00954407" w:rsidRDefault="00BC27E9" w:rsidP="00220FA8">
            <w:pPr>
              <w:pStyle w:val="EstilodePrrafoNormal1RdeC"/>
              <w:rPr>
                <w:sz w:val="20"/>
                <w:szCs w:val="20"/>
              </w:rPr>
            </w:pPr>
            <w:r w:rsidRPr="00954407">
              <w:rPr>
                <w:sz w:val="20"/>
                <w:szCs w:val="20"/>
              </w:rPr>
              <w:t>Nombre</w:t>
            </w:r>
          </w:p>
        </w:tc>
        <w:tc>
          <w:tcPr>
            <w:tcW w:w="3564" w:type="dxa"/>
            <w:vAlign w:val="center"/>
          </w:tcPr>
          <w:p w14:paraId="253A1C2A" w14:textId="77777777" w:rsidR="00BC27E9" w:rsidRPr="00954407" w:rsidRDefault="00BC27E9" w:rsidP="00220FA8">
            <w:pPr>
              <w:pStyle w:val="EstilodePrrafoNormal1RdeC"/>
              <w:rPr>
                <w:sz w:val="20"/>
                <w:szCs w:val="20"/>
              </w:rPr>
            </w:pPr>
            <w:r w:rsidRPr="00954407">
              <w:rPr>
                <w:sz w:val="20"/>
                <w:szCs w:val="20"/>
              </w:rPr>
              <w:t>Mary Concepción Frías</w:t>
            </w:r>
          </w:p>
        </w:tc>
        <w:tc>
          <w:tcPr>
            <w:tcW w:w="1080" w:type="dxa"/>
            <w:shd w:val="clear" w:color="auto" w:fill="E0E6ED"/>
            <w:vAlign w:val="center"/>
          </w:tcPr>
          <w:p w14:paraId="41573C91" w14:textId="77777777" w:rsidR="00BC27E9" w:rsidRPr="00954407" w:rsidRDefault="00BC27E9" w:rsidP="00220FA8">
            <w:pPr>
              <w:pStyle w:val="EstilodePrrafoNormal1RdeC"/>
              <w:rPr>
                <w:sz w:val="20"/>
                <w:szCs w:val="20"/>
              </w:rPr>
            </w:pPr>
            <w:r w:rsidRPr="00954407">
              <w:rPr>
                <w:sz w:val="20"/>
                <w:szCs w:val="20"/>
              </w:rPr>
              <w:t>Nombre:</w:t>
            </w:r>
          </w:p>
        </w:tc>
        <w:tc>
          <w:tcPr>
            <w:tcW w:w="3150" w:type="dxa"/>
            <w:vAlign w:val="center"/>
          </w:tcPr>
          <w:p w14:paraId="4ABB6130" w14:textId="77777777" w:rsidR="00BC27E9" w:rsidRPr="00954407" w:rsidRDefault="00BC27E9" w:rsidP="00220FA8">
            <w:pPr>
              <w:pStyle w:val="EstilodePrrafoNormal1RdeC"/>
              <w:rPr>
                <w:sz w:val="20"/>
                <w:szCs w:val="20"/>
              </w:rPr>
            </w:pPr>
          </w:p>
        </w:tc>
      </w:tr>
      <w:tr w:rsidR="00BC27E9" w:rsidRPr="00954407" w14:paraId="5ED9769A" w14:textId="77777777" w:rsidTr="00220FA8">
        <w:trPr>
          <w:trHeight w:val="260"/>
        </w:trPr>
        <w:tc>
          <w:tcPr>
            <w:tcW w:w="1007" w:type="dxa"/>
            <w:shd w:val="clear" w:color="auto" w:fill="E0E6ED"/>
            <w:vAlign w:val="center"/>
          </w:tcPr>
          <w:p w14:paraId="502A8188" w14:textId="77777777" w:rsidR="00BC27E9" w:rsidRPr="00954407" w:rsidRDefault="00BC27E9" w:rsidP="00220FA8">
            <w:pPr>
              <w:pStyle w:val="EstilodePrrafoNormal1RdeC"/>
              <w:rPr>
                <w:sz w:val="20"/>
                <w:szCs w:val="20"/>
              </w:rPr>
            </w:pPr>
            <w:r w:rsidRPr="00954407">
              <w:rPr>
                <w:sz w:val="20"/>
                <w:szCs w:val="20"/>
              </w:rPr>
              <w:t>Cargo</w:t>
            </w:r>
          </w:p>
        </w:tc>
        <w:tc>
          <w:tcPr>
            <w:tcW w:w="3564" w:type="dxa"/>
            <w:vAlign w:val="center"/>
          </w:tcPr>
          <w:p w14:paraId="09B81002" w14:textId="77777777" w:rsidR="00BC27E9" w:rsidRPr="00954407" w:rsidRDefault="00BC27E9" w:rsidP="00220FA8">
            <w:pPr>
              <w:pStyle w:val="EstilodePrrafoNormal1RdeC"/>
              <w:rPr>
                <w:sz w:val="20"/>
                <w:szCs w:val="20"/>
              </w:rPr>
            </w:pPr>
            <w:r w:rsidRPr="00954407">
              <w:rPr>
                <w:sz w:val="20"/>
                <w:szCs w:val="20"/>
              </w:rPr>
              <w:t>Coordinadora de Recursos Humanos</w:t>
            </w:r>
          </w:p>
        </w:tc>
        <w:tc>
          <w:tcPr>
            <w:tcW w:w="1080" w:type="dxa"/>
            <w:shd w:val="clear" w:color="auto" w:fill="E0E6ED"/>
            <w:vAlign w:val="center"/>
          </w:tcPr>
          <w:p w14:paraId="754AC8C8" w14:textId="77777777" w:rsidR="00BC27E9" w:rsidRPr="00954407" w:rsidRDefault="00BC27E9" w:rsidP="00220FA8">
            <w:pPr>
              <w:pStyle w:val="EstilodePrrafoNormal1RdeC"/>
              <w:rPr>
                <w:sz w:val="20"/>
                <w:szCs w:val="20"/>
              </w:rPr>
            </w:pPr>
            <w:r w:rsidRPr="00954407">
              <w:rPr>
                <w:sz w:val="20"/>
                <w:szCs w:val="20"/>
              </w:rPr>
              <w:t>Cargo</w:t>
            </w:r>
          </w:p>
        </w:tc>
        <w:tc>
          <w:tcPr>
            <w:tcW w:w="3150" w:type="dxa"/>
            <w:vAlign w:val="center"/>
          </w:tcPr>
          <w:p w14:paraId="5105995D" w14:textId="77777777" w:rsidR="00BC27E9" w:rsidRPr="00954407" w:rsidRDefault="00BC27E9" w:rsidP="00220FA8">
            <w:pPr>
              <w:pStyle w:val="EstilodePrrafoNormal1RdeC"/>
              <w:rPr>
                <w:sz w:val="20"/>
                <w:szCs w:val="20"/>
              </w:rPr>
            </w:pPr>
            <w:r w:rsidRPr="00954407">
              <w:rPr>
                <w:sz w:val="20"/>
                <w:szCs w:val="20"/>
              </w:rPr>
              <w:t>Analista –MAP</w:t>
            </w:r>
          </w:p>
        </w:tc>
      </w:tr>
      <w:tr w:rsidR="00BC27E9" w:rsidRPr="00954407" w14:paraId="3EA9B131" w14:textId="77777777" w:rsidTr="00220FA8">
        <w:trPr>
          <w:trHeight w:val="260"/>
        </w:trPr>
        <w:tc>
          <w:tcPr>
            <w:tcW w:w="1007" w:type="dxa"/>
            <w:shd w:val="clear" w:color="auto" w:fill="E0E6ED"/>
            <w:vAlign w:val="center"/>
          </w:tcPr>
          <w:p w14:paraId="57A7C869" w14:textId="77777777" w:rsidR="00BC27E9" w:rsidRPr="00954407" w:rsidRDefault="00BC27E9" w:rsidP="00220FA8">
            <w:pPr>
              <w:pStyle w:val="EstilodePrrafoNormal1RdeC"/>
              <w:rPr>
                <w:sz w:val="20"/>
                <w:szCs w:val="20"/>
              </w:rPr>
            </w:pPr>
            <w:r w:rsidRPr="00954407">
              <w:rPr>
                <w:sz w:val="20"/>
                <w:szCs w:val="20"/>
              </w:rPr>
              <w:t>Fecha</w:t>
            </w:r>
          </w:p>
        </w:tc>
        <w:tc>
          <w:tcPr>
            <w:tcW w:w="3564" w:type="dxa"/>
            <w:vAlign w:val="center"/>
          </w:tcPr>
          <w:p w14:paraId="5AC05582" w14:textId="77777777" w:rsidR="00BC27E9" w:rsidRPr="00954407" w:rsidRDefault="00BC27E9" w:rsidP="00220FA8">
            <w:pPr>
              <w:pStyle w:val="EstilodePrrafoNormal1RdeC"/>
              <w:rPr>
                <w:sz w:val="20"/>
                <w:szCs w:val="20"/>
              </w:rPr>
            </w:pPr>
          </w:p>
        </w:tc>
        <w:tc>
          <w:tcPr>
            <w:tcW w:w="1080" w:type="dxa"/>
            <w:shd w:val="clear" w:color="auto" w:fill="E0E6ED"/>
            <w:vAlign w:val="center"/>
          </w:tcPr>
          <w:p w14:paraId="1F9D559D" w14:textId="77777777" w:rsidR="00BC27E9" w:rsidRPr="00954407" w:rsidRDefault="00BC27E9" w:rsidP="00220FA8">
            <w:pPr>
              <w:pStyle w:val="EstilodePrrafoNormal1RdeC"/>
              <w:rPr>
                <w:sz w:val="20"/>
                <w:szCs w:val="20"/>
              </w:rPr>
            </w:pPr>
            <w:r w:rsidRPr="00954407">
              <w:rPr>
                <w:sz w:val="20"/>
                <w:szCs w:val="20"/>
              </w:rPr>
              <w:t>Fecha</w:t>
            </w:r>
          </w:p>
        </w:tc>
        <w:tc>
          <w:tcPr>
            <w:tcW w:w="3150" w:type="dxa"/>
            <w:vAlign w:val="center"/>
          </w:tcPr>
          <w:p w14:paraId="71EA2566" w14:textId="77777777" w:rsidR="00BC27E9" w:rsidRPr="00954407" w:rsidRDefault="00BC27E9" w:rsidP="00220FA8">
            <w:pPr>
              <w:pStyle w:val="EstilodePrrafoNormal1RdeC"/>
              <w:rPr>
                <w:sz w:val="20"/>
                <w:szCs w:val="20"/>
              </w:rPr>
            </w:pPr>
          </w:p>
        </w:tc>
      </w:tr>
      <w:tr w:rsidR="00BC27E9" w:rsidRPr="00954407" w14:paraId="12E25A24" w14:textId="77777777" w:rsidTr="00220FA8">
        <w:trPr>
          <w:trHeight w:val="278"/>
        </w:trPr>
        <w:tc>
          <w:tcPr>
            <w:tcW w:w="4571" w:type="dxa"/>
            <w:gridSpan w:val="2"/>
            <w:shd w:val="clear" w:color="auto" w:fill="47A8EA"/>
            <w:vAlign w:val="center"/>
          </w:tcPr>
          <w:p w14:paraId="0EFF7773" w14:textId="77777777" w:rsidR="00BC27E9" w:rsidRPr="00954407" w:rsidRDefault="00BC27E9" w:rsidP="00220FA8">
            <w:pPr>
              <w:pStyle w:val="EstilodePrrafoNormal1RdeC"/>
              <w:rPr>
                <w:sz w:val="20"/>
                <w:szCs w:val="20"/>
              </w:rPr>
            </w:pPr>
            <w:r w:rsidRPr="00954407">
              <w:rPr>
                <w:sz w:val="20"/>
                <w:szCs w:val="20"/>
              </w:rPr>
              <w:t>Aprobado por:</w:t>
            </w:r>
          </w:p>
        </w:tc>
        <w:tc>
          <w:tcPr>
            <w:tcW w:w="4230" w:type="dxa"/>
            <w:gridSpan w:val="2"/>
            <w:shd w:val="clear" w:color="auto" w:fill="47A8EA"/>
            <w:vAlign w:val="center"/>
          </w:tcPr>
          <w:p w14:paraId="799637A9" w14:textId="77777777" w:rsidR="00BC27E9" w:rsidRPr="00954407" w:rsidRDefault="00BC27E9" w:rsidP="00220FA8">
            <w:pPr>
              <w:pStyle w:val="EstilodePrrafoNormal1RdeC"/>
              <w:rPr>
                <w:sz w:val="20"/>
                <w:szCs w:val="20"/>
              </w:rPr>
            </w:pPr>
            <w:r w:rsidRPr="00954407">
              <w:rPr>
                <w:sz w:val="20"/>
                <w:szCs w:val="20"/>
              </w:rPr>
              <w:t xml:space="preserve">     Aprobado por:</w:t>
            </w:r>
          </w:p>
        </w:tc>
      </w:tr>
      <w:tr w:rsidR="00BC27E9" w:rsidRPr="00954407" w14:paraId="63BA2B9C" w14:textId="77777777" w:rsidTr="00220FA8">
        <w:trPr>
          <w:trHeight w:val="359"/>
        </w:trPr>
        <w:tc>
          <w:tcPr>
            <w:tcW w:w="1007" w:type="dxa"/>
            <w:shd w:val="clear" w:color="auto" w:fill="E0E6ED"/>
            <w:vAlign w:val="center"/>
          </w:tcPr>
          <w:p w14:paraId="10A8C16A" w14:textId="77777777" w:rsidR="00BC27E9" w:rsidRPr="00954407" w:rsidRDefault="00BC27E9" w:rsidP="00220FA8">
            <w:pPr>
              <w:pStyle w:val="EstilodePrrafoNormal1RdeC"/>
              <w:rPr>
                <w:sz w:val="20"/>
                <w:szCs w:val="20"/>
              </w:rPr>
            </w:pPr>
            <w:r w:rsidRPr="00954407">
              <w:rPr>
                <w:sz w:val="20"/>
                <w:szCs w:val="20"/>
              </w:rPr>
              <w:t>Nombre</w:t>
            </w:r>
          </w:p>
        </w:tc>
        <w:tc>
          <w:tcPr>
            <w:tcW w:w="3564" w:type="dxa"/>
            <w:vAlign w:val="center"/>
          </w:tcPr>
          <w:p w14:paraId="3510CB09" w14:textId="77777777" w:rsidR="00BC27E9" w:rsidRPr="00954407" w:rsidRDefault="00BC27E9" w:rsidP="00220FA8">
            <w:pPr>
              <w:pStyle w:val="EstilodePrrafoNormal1RdeC"/>
              <w:rPr>
                <w:sz w:val="20"/>
                <w:szCs w:val="20"/>
              </w:rPr>
            </w:pPr>
            <w:r w:rsidRPr="00954407">
              <w:rPr>
                <w:sz w:val="20"/>
                <w:szCs w:val="20"/>
              </w:rPr>
              <w:t>Mariola Félix</w:t>
            </w:r>
          </w:p>
        </w:tc>
        <w:tc>
          <w:tcPr>
            <w:tcW w:w="1080" w:type="dxa"/>
            <w:shd w:val="clear" w:color="auto" w:fill="C1E4F5" w:themeFill="accent1" w:themeFillTint="33"/>
            <w:vAlign w:val="center"/>
          </w:tcPr>
          <w:p w14:paraId="6049F5B4" w14:textId="77777777" w:rsidR="00BC27E9" w:rsidRPr="00954407" w:rsidRDefault="00BC27E9" w:rsidP="00220FA8">
            <w:pPr>
              <w:pStyle w:val="EstilodePrrafoNormal1RdeC"/>
              <w:rPr>
                <w:sz w:val="20"/>
                <w:szCs w:val="20"/>
              </w:rPr>
            </w:pPr>
            <w:r w:rsidRPr="00954407">
              <w:rPr>
                <w:sz w:val="20"/>
                <w:szCs w:val="20"/>
              </w:rPr>
              <w:t>Nombre:</w:t>
            </w:r>
          </w:p>
        </w:tc>
        <w:tc>
          <w:tcPr>
            <w:tcW w:w="3150" w:type="dxa"/>
            <w:vAlign w:val="center"/>
          </w:tcPr>
          <w:p w14:paraId="1063E7A4" w14:textId="77777777" w:rsidR="00BC27E9" w:rsidRPr="00954407" w:rsidRDefault="00BC27E9" w:rsidP="00220FA8">
            <w:pPr>
              <w:pStyle w:val="EstilodePrrafoNormal1RdeC"/>
              <w:rPr>
                <w:sz w:val="20"/>
                <w:szCs w:val="20"/>
              </w:rPr>
            </w:pPr>
          </w:p>
        </w:tc>
      </w:tr>
      <w:tr w:rsidR="00BC27E9" w:rsidRPr="00954407" w14:paraId="1CEE83E8" w14:textId="77777777" w:rsidTr="00220FA8">
        <w:trPr>
          <w:trHeight w:val="260"/>
        </w:trPr>
        <w:tc>
          <w:tcPr>
            <w:tcW w:w="1007" w:type="dxa"/>
            <w:shd w:val="clear" w:color="auto" w:fill="E0E6ED"/>
            <w:vAlign w:val="center"/>
          </w:tcPr>
          <w:p w14:paraId="7827DFE0" w14:textId="77777777" w:rsidR="00BC27E9" w:rsidRPr="00954407" w:rsidRDefault="00BC27E9" w:rsidP="00220FA8">
            <w:pPr>
              <w:pStyle w:val="EstilodePrrafoNormal1RdeC"/>
              <w:rPr>
                <w:sz w:val="20"/>
                <w:szCs w:val="20"/>
              </w:rPr>
            </w:pPr>
            <w:r w:rsidRPr="00954407">
              <w:rPr>
                <w:sz w:val="20"/>
                <w:szCs w:val="20"/>
              </w:rPr>
              <w:t>Cargo</w:t>
            </w:r>
          </w:p>
        </w:tc>
        <w:tc>
          <w:tcPr>
            <w:tcW w:w="3564" w:type="dxa"/>
            <w:vAlign w:val="center"/>
          </w:tcPr>
          <w:p w14:paraId="2CC49D45" w14:textId="77777777" w:rsidR="00BC27E9" w:rsidRPr="00954407" w:rsidRDefault="00BC27E9" w:rsidP="00220FA8">
            <w:pPr>
              <w:pStyle w:val="EstilodePrrafoNormal1RdeC"/>
              <w:rPr>
                <w:sz w:val="20"/>
                <w:szCs w:val="20"/>
              </w:rPr>
            </w:pPr>
            <w:r w:rsidRPr="00954407">
              <w:rPr>
                <w:sz w:val="20"/>
                <w:szCs w:val="20"/>
              </w:rPr>
              <w:t>Director (a) / Encargado (a) de Recursos Humanos</w:t>
            </w:r>
          </w:p>
        </w:tc>
        <w:tc>
          <w:tcPr>
            <w:tcW w:w="1080" w:type="dxa"/>
            <w:shd w:val="clear" w:color="auto" w:fill="C1E4F5" w:themeFill="accent1" w:themeFillTint="33"/>
            <w:vAlign w:val="center"/>
          </w:tcPr>
          <w:p w14:paraId="0DD23484" w14:textId="77777777" w:rsidR="00BC27E9" w:rsidRPr="00954407" w:rsidRDefault="00BC27E9" w:rsidP="00220FA8">
            <w:pPr>
              <w:pStyle w:val="EstilodePrrafoNormal1RdeC"/>
              <w:rPr>
                <w:sz w:val="20"/>
                <w:szCs w:val="20"/>
              </w:rPr>
            </w:pPr>
            <w:r w:rsidRPr="00954407">
              <w:rPr>
                <w:sz w:val="20"/>
                <w:szCs w:val="20"/>
              </w:rPr>
              <w:t>Cargo</w:t>
            </w:r>
          </w:p>
        </w:tc>
        <w:tc>
          <w:tcPr>
            <w:tcW w:w="3150" w:type="dxa"/>
            <w:vAlign w:val="center"/>
          </w:tcPr>
          <w:p w14:paraId="54355443" w14:textId="77777777" w:rsidR="00BC27E9" w:rsidRPr="00954407" w:rsidRDefault="00BC27E9" w:rsidP="00220FA8">
            <w:pPr>
              <w:pStyle w:val="EstilodePrrafoNormal1RdeC"/>
              <w:rPr>
                <w:sz w:val="20"/>
                <w:szCs w:val="20"/>
              </w:rPr>
            </w:pPr>
            <w:r w:rsidRPr="00954407">
              <w:rPr>
                <w:sz w:val="20"/>
                <w:szCs w:val="20"/>
              </w:rPr>
              <w:t xml:space="preserve">Director (a) de Sistemas de Carrera –MAP </w:t>
            </w:r>
          </w:p>
        </w:tc>
      </w:tr>
      <w:tr w:rsidR="00BC27E9" w:rsidRPr="00954407" w14:paraId="5BA4E30C" w14:textId="77777777" w:rsidTr="00220FA8">
        <w:trPr>
          <w:trHeight w:val="260"/>
        </w:trPr>
        <w:tc>
          <w:tcPr>
            <w:tcW w:w="1007" w:type="dxa"/>
            <w:shd w:val="clear" w:color="auto" w:fill="E0E6ED"/>
            <w:vAlign w:val="center"/>
          </w:tcPr>
          <w:p w14:paraId="05470E89" w14:textId="77777777" w:rsidR="00BC27E9" w:rsidRPr="00954407" w:rsidRDefault="00BC27E9" w:rsidP="00220FA8">
            <w:pPr>
              <w:pStyle w:val="EstilodePrrafoNormal1RdeC"/>
              <w:rPr>
                <w:sz w:val="20"/>
                <w:szCs w:val="20"/>
              </w:rPr>
            </w:pPr>
            <w:r w:rsidRPr="00954407">
              <w:rPr>
                <w:sz w:val="20"/>
                <w:szCs w:val="20"/>
              </w:rPr>
              <w:t>Fecha</w:t>
            </w:r>
          </w:p>
        </w:tc>
        <w:tc>
          <w:tcPr>
            <w:tcW w:w="3564" w:type="dxa"/>
            <w:vAlign w:val="center"/>
          </w:tcPr>
          <w:p w14:paraId="12055A8A" w14:textId="77777777" w:rsidR="00BC27E9" w:rsidRPr="00954407" w:rsidRDefault="00BC27E9" w:rsidP="00220FA8">
            <w:pPr>
              <w:pStyle w:val="EstilodePrrafoNormal1RdeC"/>
              <w:rPr>
                <w:sz w:val="20"/>
                <w:szCs w:val="20"/>
              </w:rPr>
            </w:pPr>
          </w:p>
        </w:tc>
        <w:tc>
          <w:tcPr>
            <w:tcW w:w="1080" w:type="dxa"/>
            <w:shd w:val="clear" w:color="auto" w:fill="C1E4F5" w:themeFill="accent1" w:themeFillTint="33"/>
            <w:vAlign w:val="center"/>
          </w:tcPr>
          <w:p w14:paraId="726F1F85" w14:textId="77777777" w:rsidR="00BC27E9" w:rsidRPr="00954407" w:rsidRDefault="00BC27E9" w:rsidP="00220FA8">
            <w:pPr>
              <w:pStyle w:val="EstilodePrrafoNormal1RdeC"/>
              <w:rPr>
                <w:sz w:val="20"/>
                <w:szCs w:val="20"/>
              </w:rPr>
            </w:pPr>
            <w:r w:rsidRPr="00954407">
              <w:rPr>
                <w:sz w:val="20"/>
                <w:szCs w:val="20"/>
              </w:rPr>
              <w:t>Fecha</w:t>
            </w:r>
          </w:p>
        </w:tc>
        <w:tc>
          <w:tcPr>
            <w:tcW w:w="3150" w:type="dxa"/>
            <w:vAlign w:val="center"/>
          </w:tcPr>
          <w:p w14:paraId="2C1924C8" w14:textId="77777777" w:rsidR="00BC27E9" w:rsidRPr="00954407" w:rsidRDefault="00BC27E9" w:rsidP="00220FA8">
            <w:pPr>
              <w:pStyle w:val="EstilodePrrafoNormal1RdeC"/>
              <w:rPr>
                <w:sz w:val="20"/>
                <w:szCs w:val="20"/>
              </w:rPr>
            </w:pPr>
          </w:p>
        </w:tc>
      </w:tr>
      <w:tr w:rsidR="00BC27E9" w:rsidRPr="00954407" w14:paraId="2B93429F" w14:textId="77777777" w:rsidTr="00220FA8">
        <w:trPr>
          <w:trHeight w:val="190"/>
        </w:trPr>
        <w:tc>
          <w:tcPr>
            <w:tcW w:w="8801" w:type="dxa"/>
            <w:gridSpan w:val="4"/>
            <w:vAlign w:val="center"/>
          </w:tcPr>
          <w:p w14:paraId="5FA72DC2" w14:textId="77777777" w:rsidR="00BC27E9" w:rsidRPr="00954407" w:rsidRDefault="00BC27E9" w:rsidP="00220FA8">
            <w:pPr>
              <w:pStyle w:val="EstilodePrrafoNormal1RdeC"/>
              <w:rPr>
                <w:sz w:val="20"/>
                <w:szCs w:val="20"/>
              </w:rPr>
            </w:pPr>
            <w:r w:rsidRPr="00954407">
              <w:rPr>
                <w:sz w:val="20"/>
                <w:szCs w:val="20"/>
              </w:rPr>
              <w:t>Observaciones:</w:t>
            </w:r>
          </w:p>
        </w:tc>
      </w:tr>
    </w:tbl>
    <w:p w14:paraId="4B6F8AC1" w14:textId="77777777" w:rsidR="00BC27E9" w:rsidRPr="00954407" w:rsidRDefault="00BC27E9" w:rsidP="00BC27E9">
      <w:pPr>
        <w:pStyle w:val="EstilodePrrafoNormal1RdeC"/>
      </w:pPr>
    </w:p>
    <w:p w14:paraId="112AE269" w14:textId="77777777" w:rsidR="00BC27E9" w:rsidRDefault="00BC27E9" w:rsidP="00BC27E9">
      <w:pPr>
        <w:pStyle w:val="EstilodePrrafoNormal1RdeC"/>
      </w:pPr>
    </w:p>
    <w:p w14:paraId="56D7A321" w14:textId="77777777" w:rsidR="003969B9" w:rsidRDefault="003969B9" w:rsidP="00BC27E9">
      <w:pPr>
        <w:pStyle w:val="EstilodePrrafoNormal1RdeC"/>
      </w:pPr>
    </w:p>
    <w:p w14:paraId="17F1E815" w14:textId="77777777" w:rsidR="003969B9" w:rsidRPr="00954407" w:rsidRDefault="003969B9" w:rsidP="00BC27E9">
      <w:pPr>
        <w:pStyle w:val="EstilodePrrafoNormal1RdeC"/>
      </w:pPr>
    </w:p>
    <w:p w14:paraId="353C96E2" w14:textId="4F48CA2A" w:rsidR="00BC27E9" w:rsidRPr="000B1728" w:rsidRDefault="00BC27E9" w:rsidP="000B1728">
      <w:pPr>
        <w:pStyle w:val="Heading2"/>
        <w:rPr>
          <w:rFonts w:ascii="Times New Roman" w:hAnsi="Times New Roman" w:cs="Times New Roman"/>
          <w:b/>
          <w:bCs/>
          <w:color w:val="767171"/>
          <w:sz w:val="24"/>
          <w:szCs w:val="24"/>
        </w:rPr>
      </w:pPr>
      <w:bookmarkStart w:id="123" w:name="_3znysh7" w:colFirst="0" w:colLast="0"/>
      <w:bookmarkStart w:id="124" w:name="_Toc186924368"/>
      <w:bookmarkStart w:id="125" w:name="_Toc217402135"/>
      <w:bookmarkEnd w:id="123"/>
      <w:r w:rsidRPr="000B1728">
        <w:rPr>
          <w:rFonts w:ascii="Times New Roman" w:hAnsi="Times New Roman" w:cs="Times New Roman"/>
          <w:b/>
          <w:bCs/>
          <w:color w:val="767171"/>
          <w:sz w:val="24"/>
          <w:szCs w:val="24"/>
        </w:rPr>
        <w:lastRenderedPageBreak/>
        <w:t>Desempeño de los Procesos Jurídicos</w:t>
      </w:r>
      <w:bookmarkEnd w:id="124"/>
      <w:bookmarkEnd w:id="125"/>
    </w:p>
    <w:p w14:paraId="5B47345C" w14:textId="77777777" w:rsidR="00BC27E9" w:rsidRPr="00954407" w:rsidRDefault="00BC27E9" w:rsidP="00BC27E9">
      <w:pPr>
        <w:pStyle w:val="EstilodePrrafoNormal1RdeC"/>
      </w:pPr>
    </w:p>
    <w:p w14:paraId="55B097BE" w14:textId="77777777" w:rsidR="00BC27E9" w:rsidRPr="00954407" w:rsidRDefault="00BC27E9" w:rsidP="00BC27E9">
      <w:pPr>
        <w:pStyle w:val="EstilodePrrafoNormal1RdeC"/>
      </w:pPr>
      <w:r w:rsidRPr="00954407">
        <w:t>La Dirección Jurídica asesora sobre las leyes y disposiciones jurídicas vinculadas a las actividades del Ministerio de Ministerio de Obras Públicas y Comunicaciones (MOPC). Ofrece asistencia judicial en caso de litis o reclamación arbitral y participa en la elaboración y/o revisión de contratos, acuerdos, convenios y otros documentos que deban ser autorizados por el Ministro u otros niveles del Ministerio.</w:t>
      </w:r>
    </w:p>
    <w:p w14:paraId="72BA4A8F" w14:textId="77777777" w:rsidR="00BC27E9" w:rsidRPr="00954407" w:rsidRDefault="00BC27E9" w:rsidP="00BC27E9">
      <w:pPr>
        <w:pStyle w:val="EstilodePrrafoNormal1RdeC"/>
      </w:pPr>
    </w:p>
    <w:p w14:paraId="6FCB376C" w14:textId="77777777" w:rsidR="00BC27E9" w:rsidRPr="00954407" w:rsidRDefault="00BC27E9" w:rsidP="00BC27E9">
      <w:pPr>
        <w:pStyle w:val="EstilodePrrafoNormal1RdeC"/>
      </w:pPr>
      <w:r w:rsidRPr="00954407">
        <w:t xml:space="preserve">Durante el período Enero - noviembre del año 2025, la Dirección Jurídica del Ministerio de Obras Públicas y Comunicaciones (MOPC) proporcionó asesorías y asistencias judiciales en los casos de Litis o Reclamación Arbitral, Contratos, Acuerdos, Convenios, Declaratoria de Compromiso, entre otros; y gestiono, en sentido general, las respuestas a los asuntos legales que surgieron para la defensa de los intereses de la institución. </w:t>
      </w:r>
    </w:p>
    <w:p w14:paraId="621A2497" w14:textId="77777777" w:rsidR="00BC27E9" w:rsidRPr="00954407" w:rsidRDefault="00BC27E9" w:rsidP="00BC27E9">
      <w:pPr>
        <w:pStyle w:val="EstilodePrrafoNormal1RdeC"/>
      </w:pPr>
    </w:p>
    <w:p w14:paraId="1FFAA686" w14:textId="77777777" w:rsidR="00BC27E9" w:rsidRPr="00954407" w:rsidRDefault="00BC27E9" w:rsidP="00BC27E9">
      <w:pPr>
        <w:pStyle w:val="EstilodePrrafoNormal1RdeC"/>
      </w:pPr>
      <w:r w:rsidRPr="00954407">
        <w:t>Luego del levantamiento y revisión de los registros administrativos, se detallan los resultados institucionales siguientes:</w:t>
      </w:r>
    </w:p>
    <w:p w14:paraId="696E1A20" w14:textId="77777777" w:rsidR="003969B9" w:rsidRDefault="003969B9" w:rsidP="005D6D6C">
      <w:pPr>
        <w:pStyle w:val="EstilodePrrafoNormal1RdeC"/>
        <w:rPr>
          <w:szCs w:val="32"/>
        </w:rPr>
      </w:pPr>
      <w:bookmarkStart w:id="126" w:name="_Toc172237766"/>
      <w:bookmarkStart w:id="127" w:name="_Toc186924369"/>
    </w:p>
    <w:p w14:paraId="05664DF0" w14:textId="2998E3F6" w:rsidR="00BC27E9" w:rsidRPr="00954407" w:rsidRDefault="00BC27E9" w:rsidP="005D6D6C">
      <w:pPr>
        <w:pStyle w:val="EstilodePrrafoNormal1RdeC"/>
        <w:numPr>
          <w:ilvl w:val="0"/>
          <w:numId w:val="204"/>
        </w:numPr>
        <w:ind w:left="0"/>
        <w:jc w:val="center"/>
        <w:rPr>
          <w:szCs w:val="32"/>
        </w:rPr>
      </w:pPr>
      <w:r w:rsidRPr="00954407">
        <w:rPr>
          <w:szCs w:val="32"/>
        </w:rPr>
        <w:t>Contratos de Obras revisados y gestionados :</w:t>
      </w:r>
      <w:r w:rsidRPr="00954407">
        <w:rPr>
          <w:szCs w:val="32"/>
        </w:rPr>
        <w:tab/>
        <w:t>254</w:t>
      </w:r>
    </w:p>
    <w:p w14:paraId="40C898F3" w14:textId="77777777" w:rsidR="00BC27E9" w:rsidRPr="00954407" w:rsidRDefault="00BC27E9" w:rsidP="005D6D6C">
      <w:pPr>
        <w:pStyle w:val="EstilodePrrafoNormal1RdeC"/>
        <w:numPr>
          <w:ilvl w:val="0"/>
          <w:numId w:val="204"/>
        </w:numPr>
        <w:ind w:left="0"/>
        <w:jc w:val="center"/>
        <w:rPr>
          <w:szCs w:val="32"/>
        </w:rPr>
      </w:pPr>
      <w:r w:rsidRPr="00954407">
        <w:rPr>
          <w:szCs w:val="32"/>
        </w:rPr>
        <w:t>Contrato HAC / AC30</w:t>
      </w:r>
      <w:r w:rsidRPr="00954407">
        <w:rPr>
          <w:szCs w:val="32"/>
        </w:rPr>
        <w:tab/>
      </w:r>
      <w:r w:rsidRPr="00954407">
        <w:rPr>
          <w:szCs w:val="32"/>
        </w:rPr>
        <w:tab/>
      </w:r>
      <w:r w:rsidRPr="00954407">
        <w:rPr>
          <w:szCs w:val="32"/>
        </w:rPr>
        <w:tab/>
        <w:t xml:space="preserve">      :</w:t>
      </w:r>
      <w:r w:rsidRPr="00954407">
        <w:rPr>
          <w:szCs w:val="32"/>
        </w:rPr>
        <w:tab/>
        <w:t>174</w:t>
      </w:r>
    </w:p>
    <w:p w14:paraId="6AA074EC" w14:textId="77777777" w:rsidR="00BC27E9" w:rsidRPr="00954407" w:rsidRDefault="00BC27E9" w:rsidP="005D6D6C">
      <w:pPr>
        <w:pStyle w:val="EstilodePrrafoNormal1RdeC"/>
        <w:numPr>
          <w:ilvl w:val="0"/>
          <w:numId w:val="204"/>
        </w:numPr>
        <w:ind w:left="0"/>
        <w:jc w:val="center"/>
        <w:rPr>
          <w:szCs w:val="32"/>
        </w:rPr>
      </w:pPr>
      <w:r w:rsidRPr="00954407">
        <w:rPr>
          <w:szCs w:val="32"/>
        </w:rPr>
        <w:t>Procesos de Bienes y Servicios</w:t>
      </w:r>
      <w:r w:rsidRPr="00954407">
        <w:rPr>
          <w:szCs w:val="32"/>
        </w:rPr>
        <w:tab/>
      </w:r>
      <w:r w:rsidRPr="00954407">
        <w:rPr>
          <w:szCs w:val="32"/>
        </w:rPr>
        <w:tab/>
        <w:t xml:space="preserve">      :</w:t>
      </w:r>
      <w:r w:rsidRPr="00954407">
        <w:rPr>
          <w:szCs w:val="32"/>
        </w:rPr>
        <w:tab/>
        <w:t xml:space="preserve">  60</w:t>
      </w:r>
    </w:p>
    <w:p w14:paraId="28B268FD" w14:textId="77777777" w:rsidR="00BC27E9" w:rsidRPr="00954407" w:rsidRDefault="00BC27E9" w:rsidP="005D6D6C">
      <w:pPr>
        <w:pStyle w:val="EstilodePrrafoNormal1RdeC"/>
        <w:numPr>
          <w:ilvl w:val="0"/>
          <w:numId w:val="204"/>
        </w:numPr>
        <w:ind w:left="0"/>
        <w:jc w:val="center"/>
        <w:rPr>
          <w:szCs w:val="32"/>
        </w:rPr>
      </w:pPr>
      <w:r w:rsidRPr="00954407">
        <w:rPr>
          <w:szCs w:val="32"/>
        </w:rPr>
        <w:t>Proceso de Publicidad</w:t>
      </w:r>
      <w:r w:rsidRPr="00954407">
        <w:rPr>
          <w:szCs w:val="32"/>
        </w:rPr>
        <w:tab/>
        <w:t xml:space="preserve">                          :</w:t>
      </w:r>
      <w:r w:rsidRPr="00954407">
        <w:rPr>
          <w:szCs w:val="32"/>
        </w:rPr>
        <w:tab/>
        <w:t xml:space="preserve">   5</w:t>
      </w:r>
    </w:p>
    <w:p w14:paraId="5F7270EC" w14:textId="77777777" w:rsidR="00BC27E9" w:rsidRPr="00954407" w:rsidRDefault="00BC27E9" w:rsidP="005D6D6C">
      <w:pPr>
        <w:pStyle w:val="EstilodePrrafoNormal1RdeC"/>
        <w:numPr>
          <w:ilvl w:val="0"/>
          <w:numId w:val="204"/>
        </w:numPr>
        <w:ind w:left="0"/>
        <w:jc w:val="center"/>
        <w:rPr>
          <w:szCs w:val="32"/>
        </w:rPr>
      </w:pPr>
      <w:r w:rsidRPr="00954407">
        <w:rPr>
          <w:szCs w:val="32"/>
        </w:rPr>
        <w:t>Contrato y Gestiones de Asesoría</w:t>
      </w:r>
      <w:r w:rsidRPr="00954407">
        <w:rPr>
          <w:szCs w:val="32"/>
        </w:rPr>
        <w:tab/>
        <w:t xml:space="preserve">                :</w:t>
      </w:r>
      <w:r w:rsidRPr="00954407">
        <w:rPr>
          <w:szCs w:val="32"/>
        </w:rPr>
        <w:tab/>
        <w:t xml:space="preserve"> 10</w:t>
      </w:r>
    </w:p>
    <w:p w14:paraId="446304B8" w14:textId="77777777" w:rsidR="00BC27E9" w:rsidRPr="00954407" w:rsidRDefault="00BC27E9" w:rsidP="005D6D6C">
      <w:pPr>
        <w:pStyle w:val="EstilodePrrafoNormal1RdeC"/>
        <w:numPr>
          <w:ilvl w:val="0"/>
          <w:numId w:val="204"/>
        </w:numPr>
        <w:ind w:left="0"/>
        <w:jc w:val="center"/>
        <w:rPr>
          <w:szCs w:val="32"/>
        </w:rPr>
      </w:pPr>
      <w:r w:rsidRPr="00954407">
        <w:rPr>
          <w:szCs w:val="32"/>
        </w:rPr>
        <w:t>Acuerdos tramitados</w:t>
      </w:r>
      <w:r w:rsidRPr="00954407">
        <w:rPr>
          <w:szCs w:val="32"/>
        </w:rPr>
        <w:tab/>
        <w:t xml:space="preserve">                          :</w:t>
      </w:r>
      <w:r w:rsidRPr="00954407">
        <w:rPr>
          <w:szCs w:val="32"/>
        </w:rPr>
        <w:tab/>
        <w:t xml:space="preserve">  47</w:t>
      </w:r>
    </w:p>
    <w:p w14:paraId="25B8F1C5" w14:textId="77777777" w:rsidR="00BC27E9" w:rsidRPr="00954407" w:rsidRDefault="00BC27E9" w:rsidP="005D6D6C">
      <w:pPr>
        <w:pStyle w:val="EstilodePrrafoNormal1RdeC"/>
        <w:numPr>
          <w:ilvl w:val="0"/>
          <w:numId w:val="204"/>
        </w:numPr>
        <w:ind w:left="0"/>
        <w:jc w:val="center"/>
        <w:rPr>
          <w:szCs w:val="32"/>
        </w:rPr>
      </w:pPr>
      <w:r w:rsidRPr="00954407">
        <w:rPr>
          <w:szCs w:val="32"/>
        </w:rPr>
        <w:t>Convenios formalizados</w:t>
      </w:r>
      <w:r w:rsidRPr="00954407">
        <w:rPr>
          <w:szCs w:val="32"/>
        </w:rPr>
        <w:tab/>
        <w:t xml:space="preserve">                          :</w:t>
      </w:r>
      <w:r w:rsidRPr="00954407">
        <w:rPr>
          <w:szCs w:val="32"/>
        </w:rPr>
        <w:tab/>
        <w:t xml:space="preserve">    7</w:t>
      </w:r>
    </w:p>
    <w:p w14:paraId="431FCDC3" w14:textId="6BF4CE3D" w:rsidR="00BC27E9" w:rsidRPr="00954407" w:rsidRDefault="00BC27E9" w:rsidP="005D6D6C">
      <w:pPr>
        <w:pStyle w:val="EstilodePrrafoNormal1RdeC"/>
        <w:numPr>
          <w:ilvl w:val="0"/>
          <w:numId w:val="204"/>
        </w:numPr>
        <w:ind w:left="0"/>
        <w:jc w:val="center"/>
        <w:rPr>
          <w:szCs w:val="32"/>
        </w:rPr>
      </w:pPr>
      <w:r w:rsidRPr="00954407">
        <w:rPr>
          <w:szCs w:val="32"/>
        </w:rPr>
        <w:t>Proceso del área de Litigio</w:t>
      </w:r>
      <w:r w:rsidRPr="00954407">
        <w:rPr>
          <w:szCs w:val="32"/>
        </w:rPr>
        <w:tab/>
        <w:t xml:space="preserve">            </w:t>
      </w:r>
      <w:r w:rsidR="003969B9">
        <w:rPr>
          <w:szCs w:val="32"/>
        </w:rPr>
        <w:t xml:space="preserve">           </w:t>
      </w:r>
      <w:r w:rsidRPr="00954407">
        <w:rPr>
          <w:szCs w:val="32"/>
        </w:rPr>
        <w:t xml:space="preserve">    :    150</w:t>
      </w:r>
    </w:p>
    <w:p w14:paraId="36257859" w14:textId="77777777" w:rsidR="00BC27E9" w:rsidRPr="00954407" w:rsidRDefault="00BC27E9" w:rsidP="00BC27E9">
      <w:pPr>
        <w:pStyle w:val="EstilodePrrafoNormal1RdeC"/>
        <w:rPr>
          <w:szCs w:val="32"/>
        </w:rPr>
      </w:pPr>
    </w:p>
    <w:p w14:paraId="06481ACB" w14:textId="77777777" w:rsidR="003969B9" w:rsidRDefault="003969B9" w:rsidP="00BC27E9">
      <w:pPr>
        <w:pStyle w:val="EstilodePrrafoNormal1RdeC"/>
        <w:rPr>
          <w:szCs w:val="32"/>
        </w:rPr>
      </w:pPr>
    </w:p>
    <w:p w14:paraId="5686C53F" w14:textId="1738944C"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lastRenderedPageBreak/>
        <w:t>Contratos elaborados</w:t>
      </w:r>
      <w:bookmarkEnd w:id="126"/>
      <w:bookmarkEnd w:id="127"/>
    </w:p>
    <w:p w14:paraId="0B49F6B4" w14:textId="77777777" w:rsidR="00BC27E9" w:rsidRPr="00954407" w:rsidRDefault="00BC27E9" w:rsidP="00BC27E9">
      <w:pPr>
        <w:pStyle w:val="EstilodePrrafoNormal1RdeC"/>
        <w:rPr>
          <w:highlight w:val="lightGray"/>
        </w:rPr>
      </w:pPr>
    </w:p>
    <w:p w14:paraId="2F8A11B0" w14:textId="77777777" w:rsidR="00BC27E9" w:rsidRPr="00954407" w:rsidRDefault="00BC27E9" w:rsidP="00BC27E9">
      <w:pPr>
        <w:pStyle w:val="EstilodePrrafoNormal1RdeC"/>
      </w:pPr>
      <w:bookmarkStart w:id="128" w:name="_Toc172237767"/>
      <w:r w:rsidRPr="00954407">
        <w:t xml:space="preserve">Los trabajos realizados por la Dirección Jurídica durante el citado periodo, registraron un total de 254 contratos elaborados, entre los cuales esta: </w:t>
      </w:r>
    </w:p>
    <w:p w14:paraId="5ED54C8D" w14:textId="77777777" w:rsidR="00BC27E9" w:rsidRPr="00954407" w:rsidRDefault="00BC27E9" w:rsidP="00BC27E9">
      <w:pPr>
        <w:pStyle w:val="EstilodePrrafoNormal1RdeC"/>
      </w:pPr>
    </w:p>
    <w:p w14:paraId="37E69F3B" w14:textId="77777777" w:rsidR="00BC27E9" w:rsidRPr="00954407" w:rsidRDefault="00BC27E9" w:rsidP="003969B9">
      <w:pPr>
        <w:pStyle w:val="EstilodePrrafoNormal1RdeC"/>
        <w:numPr>
          <w:ilvl w:val="0"/>
          <w:numId w:val="205"/>
        </w:numPr>
      </w:pPr>
      <w:r w:rsidRPr="00954407">
        <w:t xml:space="preserve">Adenda No. II al Contrato No.565-2022 de Construcción y Rehabilitación de aceras contenes, badenes e imbornales a nivel Nacional, Región Sur, Independencia y Pedernales; </w:t>
      </w:r>
    </w:p>
    <w:p w14:paraId="70530E84" w14:textId="77777777" w:rsidR="00BC27E9" w:rsidRPr="00954407" w:rsidRDefault="00BC27E9" w:rsidP="00BC27E9">
      <w:pPr>
        <w:pStyle w:val="EstilodePrrafoNormal1RdeC"/>
      </w:pPr>
    </w:p>
    <w:p w14:paraId="3D60D504" w14:textId="77777777" w:rsidR="00BC27E9" w:rsidRPr="00954407" w:rsidRDefault="00BC27E9" w:rsidP="003969B9">
      <w:pPr>
        <w:pStyle w:val="EstilodePrrafoNormal1RdeC"/>
        <w:numPr>
          <w:ilvl w:val="0"/>
          <w:numId w:val="205"/>
        </w:numPr>
      </w:pPr>
      <w:r w:rsidRPr="00954407">
        <w:t xml:space="preserve">Adenda No. IV al Contrato No.51-2019 para la Reconstrucción de la carretera Bayaguana-El Puerto, provincia Monte Plata. </w:t>
      </w:r>
    </w:p>
    <w:p w14:paraId="0532EB7E" w14:textId="77777777" w:rsidR="00BC27E9" w:rsidRPr="00954407" w:rsidRDefault="00BC27E9" w:rsidP="00BC27E9">
      <w:pPr>
        <w:pStyle w:val="EstilodePrrafoNormal1RdeC"/>
      </w:pPr>
    </w:p>
    <w:p w14:paraId="0D81038A" w14:textId="77777777" w:rsidR="00BC27E9" w:rsidRPr="00954407" w:rsidRDefault="00BC27E9" w:rsidP="003969B9">
      <w:pPr>
        <w:pStyle w:val="EstilodePrrafoNormal1RdeC"/>
        <w:numPr>
          <w:ilvl w:val="0"/>
          <w:numId w:val="205"/>
        </w:numPr>
      </w:pPr>
      <w:r w:rsidRPr="00954407">
        <w:t>Adenda No. I a Contrato No.171-2021 de Remozamiento de áreas verdes, Cementerio Municipal, Lote 19, Construcción y Reconstrucción de Obras Viales y de Edificación en las Provincias de San Cristóbal, Azua, Independencia, Peravia y Bahoruco;</w:t>
      </w:r>
    </w:p>
    <w:p w14:paraId="2971728B" w14:textId="77777777" w:rsidR="00BC27E9" w:rsidRPr="00954407" w:rsidRDefault="00BC27E9" w:rsidP="00BC27E9">
      <w:pPr>
        <w:pStyle w:val="EstilodePrrafoNormal1RdeC"/>
      </w:pPr>
    </w:p>
    <w:p w14:paraId="4A13EA37" w14:textId="77777777" w:rsidR="00BC27E9" w:rsidRPr="00954407" w:rsidRDefault="00BC27E9" w:rsidP="003969B9">
      <w:pPr>
        <w:pStyle w:val="EstilodePrrafoNormal1RdeC"/>
        <w:numPr>
          <w:ilvl w:val="0"/>
          <w:numId w:val="205"/>
        </w:numPr>
      </w:pPr>
      <w:r w:rsidRPr="00954407">
        <w:t>Adenda No. II al Contrato No.209-2021 de Asfaltado en el Barrio el Nuevo Llagal, Lote 18, Provincia Monseñor Nouel;</w:t>
      </w:r>
    </w:p>
    <w:p w14:paraId="790D1639" w14:textId="77777777" w:rsidR="00BC27E9" w:rsidRPr="00954407" w:rsidRDefault="00BC27E9" w:rsidP="00BC27E9">
      <w:pPr>
        <w:pStyle w:val="EstilodePrrafoNormal1RdeC"/>
      </w:pPr>
    </w:p>
    <w:p w14:paraId="3FCFE953" w14:textId="5FB0B6D2" w:rsidR="00BC27E9" w:rsidRPr="00954407" w:rsidRDefault="00BC27E9" w:rsidP="003969B9">
      <w:pPr>
        <w:pStyle w:val="EstilodePrrafoNormal1RdeC"/>
        <w:numPr>
          <w:ilvl w:val="0"/>
          <w:numId w:val="205"/>
        </w:numPr>
      </w:pPr>
      <w:r w:rsidRPr="00954407">
        <w:t xml:space="preserve">Adenda No. II al Contrato No.116-2005 para los trabajos de Construcción del Boulevard Turístico del Este;   </w:t>
      </w:r>
    </w:p>
    <w:p w14:paraId="60F0722D" w14:textId="77777777" w:rsidR="003969B9" w:rsidRDefault="003969B9" w:rsidP="00BC27E9">
      <w:pPr>
        <w:pStyle w:val="EstilodePrrafoNormal1RdeC"/>
      </w:pPr>
    </w:p>
    <w:p w14:paraId="244A7A25" w14:textId="74439D24" w:rsidR="00BC27E9" w:rsidRPr="00954407" w:rsidRDefault="00BC27E9" w:rsidP="003969B9">
      <w:pPr>
        <w:pStyle w:val="EstilodePrrafoNormal1RdeC"/>
        <w:numPr>
          <w:ilvl w:val="0"/>
          <w:numId w:val="205"/>
        </w:numPr>
      </w:pPr>
      <w:r w:rsidRPr="00954407">
        <w:t>Adenda II No. 561-2025 al Contrato NO. 83-2012 para el Plan Nacional de Señalización de Calles, Avenidas y Carreteras en Santo Domingo, Regiones del Este y Línea Noroeste por daños ocasionados por el paso de diversas vaguadas;</w:t>
      </w:r>
    </w:p>
    <w:p w14:paraId="583CB029" w14:textId="77777777" w:rsidR="00BC27E9" w:rsidRPr="00954407" w:rsidRDefault="00BC27E9" w:rsidP="00BC27E9">
      <w:pPr>
        <w:pStyle w:val="EstilodePrrafoNormal1RdeC"/>
      </w:pPr>
    </w:p>
    <w:p w14:paraId="2B3F031E" w14:textId="77777777" w:rsidR="00BC27E9" w:rsidRPr="00954407" w:rsidRDefault="00BC27E9" w:rsidP="003969B9">
      <w:pPr>
        <w:pStyle w:val="EstilodePrrafoNormal1RdeC"/>
        <w:numPr>
          <w:ilvl w:val="0"/>
          <w:numId w:val="205"/>
        </w:numPr>
      </w:pPr>
      <w:r w:rsidRPr="00954407">
        <w:t xml:space="preserve">Adenda a Contrato para los trabajos de Construcción de Camino Cruce Barranquito, Loma Majina, lote 9. Construcción y </w:t>
      </w:r>
      <w:r w:rsidRPr="00954407">
        <w:lastRenderedPageBreak/>
        <w:t>Reconstrucción de Obras Viales y de Edificaciones en Provincias de Monte Plata y Sánchez Ramírez.</w:t>
      </w:r>
      <w:bookmarkEnd w:id="128"/>
    </w:p>
    <w:p w14:paraId="366E6416" w14:textId="77777777" w:rsidR="003969B9" w:rsidRDefault="003969B9" w:rsidP="00BC27E9">
      <w:pPr>
        <w:pStyle w:val="EstilodePrrafoNormal1RdeC"/>
        <w:rPr>
          <w:szCs w:val="32"/>
        </w:rPr>
      </w:pPr>
      <w:bookmarkStart w:id="129" w:name="_Toc172237768"/>
      <w:bookmarkStart w:id="130" w:name="_Toc186924370"/>
    </w:p>
    <w:p w14:paraId="35934CBF" w14:textId="2FBE667C"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 xml:space="preserve">Acuerdos </w:t>
      </w:r>
      <w:bookmarkEnd w:id="129"/>
      <w:bookmarkEnd w:id="130"/>
      <w:r w:rsidRPr="00755C02">
        <w:rPr>
          <w:b/>
          <w:bCs/>
          <w:color w:val="808080" w:themeColor="background1" w:themeShade="80"/>
          <w:sz w:val="24"/>
          <w:szCs w:val="24"/>
        </w:rPr>
        <w:t>de Servicios</w:t>
      </w:r>
    </w:p>
    <w:p w14:paraId="6EF3FC6C" w14:textId="77777777" w:rsidR="00BC27E9" w:rsidRPr="00954407" w:rsidRDefault="00BC27E9" w:rsidP="00BC27E9">
      <w:pPr>
        <w:pStyle w:val="EstilodePrrafoNormal1RdeC"/>
      </w:pPr>
    </w:p>
    <w:p w14:paraId="0A601FAF" w14:textId="77777777" w:rsidR="00BC27E9" w:rsidRPr="00954407" w:rsidRDefault="00BC27E9" w:rsidP="00BC27E9">
      <w:pPr>
        <w:pStyle w:val="EstilodePrrafoNormal1RdeC"/>
      </w:pPr>
      <w:r w:rsidRPr="00954407">
        <w:t xml:space="preserve">Además, durante el periodo enero-diciembre del año 2025, la Dirección Jurídica del MOPC, elaboró cuarenta y siete (47) Acuerdos de Servicios, entre los que se destacan:  </w:t>
      </w:r>
    </w:p>
    <w:p w14:paraId="24AC227D" w14:textId="77777777" w:rsidR="00BC27E9" w:rsidRPr="00954407" w:rsidRDefault="00BC27E9" w:rsidP="00BC27E9">
      <w:pPr>
        <w:pStyle w:val="EstilodePrrafoNormal1RdeC"/>
      </w:pPr>
    </w:p>
    <w:p w14:paraId="7AB3EBCD" w14:textId="77777777" w:rsidR="00BC27E9" w:rsidRPr="00954407" w:rsidRDefault="00BC27E9" w:rsidP="003969B9">
      <w:pPr>
        <w:pStyle w:val="EstilodePrrafoNormal1RdeC"/>
        <w:numPr>
          <w:ilvl w:val="0"/>
          <w:numId w:val="206"/>
        </w:numPr>
      </w:pPr>
      <w:r w:rsidRPr="00954407">
        <w:t>Acuerdo con la Yony Antonely García Sierra para realizar las labores correspondientes a la confección y colocación de señalización vertical preventiva, informativa, reglamentaria de servicio y control de obras.</w:t>
      </w:r>
    </w:p>
    <w:p w14:paraId="636A01DE" w14:textId="77777777" w:rsidR="00BC27E9" w:rsidRPr="00954407" w:rsidRDefault="00BC27E9" w:rsidP="00BC27E9">
      <w:pPr>
        <w:pStyle w:val="EstilodePrrafoNormal1RdeC"/>
      </w:pPr>
    </w:p>
    <w:p w14:paraId="74D69F27" w14:textId="77777777" w:rsidR="00BC27E9" w:rsidRPr="00954407" w:rsidRDefault="00BC27E9" w:rsidP="003969B9">
      <w:pPr>
        <w:pStyle w:val="EstilodePrrafoNormal1RdeC"/>
        <w:numPr>
          <w:ilvl w:val="0"/>
          <w:numId w:val="206"/>
        </w:numPr>
      </w:pPr>
      <w:r w:rsidRPr="00954407">
        <w:t>Acuerdo con Joan Manuel Sabino Meléndez para servicio de 202 capataces, operadores y obreros.</w:t>
      </w:r>
    </w:p>
    <w:p w14:paraId="68A47E85" w14:textId="77777777" w:rsidR="00BC27E9" w:rsidRPr="00954407" w:rsidRDefault="00BC27E9" w:rsidP="00BC27E9">
      <w:pPr>
        <w:pStyle w:val="EstilodePrrafoNormal1RdeC"/>
      </w:pPr>
    </w:p>
    <w:p w14:paraId="0996AF21" w14:textId="77777777" w:rsidR="00BC27E9" w:rsidRPr="00954407" w:rsidRDefault="00BC27E9" w:rsidP="003969B9">
      <w:pPr>
        <w:pStyle w:val="EstilodePrrafoNormal1RdeC"/>
        <w:numPr>
          <w:ilvl w:val="0"/>
          <w:numId w:val="206"/>
        </w:numPr>
      </w:pPr>
      <w:r w:rsidRPr="00954407">
        <w:t xml:space="preserve">Acuerdo de Servicio Jornalero   para 12 brigadistas auxiliares de almacén, bajo la coordinación del encargado de almacenes de la Dirección Administrativa. </w:t>
      </w:r>
    </w:p>
    <w:p w14:paraId="74C92D4C" w14:textId="77777777" w:rsidR="00BC27E9" w:rsidRPr="00954407" w:rsidRDefault="00BC27E9" w:rsidP="00BC27E9">
      <w:pPr>
        <w:pStyle w:val="EstilodePrrafoNormal1RdeC"/>
      </w:pPr>
    </w:p>
    <w:p w14:paraId="64DBB22C" w14:textId="4FD354B2" w:rsidR="00BC27E9" w:rsidRPr="00954407" w:rsidRDefault="00BC27E9" w:rsidP="003969B9">
      <w:pPr>
        <w:pStyle w:val="EstilodePrrafoNormal1RdeC"/>
        <w:numPr>
          <w:ilvl w:val="0"/>
          <w:numId w:val="206"/>
        </w:numPr>
      </w:pPr>
      <w:r w:rsidRPr="00954407">
        <w:t>Acuerdo con Magalis Ramona Sanlate Pineda para la contratación de servicios de veinte y dos (22) jornaleros.</w:t>
      </w:r>
    </w:p>
    <w:p w14:paraId="5B4F1BAC" w14:textId="77777777" w:rsidR="00BC27E9" w:rsidRPr="00954407" w:rsidRDefault="00BC27E9" w:rsidP="00BC27E9">
      <w:pPr>
        <w:pStyle w:val="EstilodePrrafoNormal1RdeC"/>
      </w:pPr>
    </w:p>
    <w:p w14:paraId="04E57F96" w14:textId="77777777" w:rsidR="00BC27E9" w:rsidRPr="00954407" w:rsidRDefault="00BC27E9" w:rsidP="003969B9">
      <w:pPr>
        <w:pStyle w:val="EstilodePrrafoNormal1RdeC"/>
        <w:numPr>
          <w:ilvl w:val="0"/>
          <w:numId w:val="206"/>
        </w:numPr>
      </w:pPr>
      <w:r w:rsidRPr="00954407">
        <w:t>Acuerdo con Lorenzo Herasme Medina por servicio de 123 brigadistas de mantenimiento.</w:t>
      </w:r>
    </w:p>
    <w:p w14:paraId="38C5FE51" w14:textId="77777777" w:rsidR="00BC27E9" w:rsidRPr="00954407" w:rsidRDefault="00BC27E9" w:rsidP="00BC27E9">
      <w:pPr>
        <w:pStyle w:val="EstilodePrrafoNormal1RdeC"/>
      </w:pPr>
    </w:p>
    <w:p w14:paraId="1EBA3C60" w14:textId="77777777" w:rsidR="00BC27E9" w:rsidRPr="00954407" w:rsidRDefault="00BC27E9" w:rsidP="003969B9">
      <w:pPr>
        <w:pStyle w:val="EstilodePrrafoNormal1RdeC"/>
        <w:numPr>
          <w:ilvl w:val="0"/>
          <w:numId w:val="206"/>
        </w:numPr>
      </w:pPr>
      <w:r w:rsidRPr="00954407">
        <w:t>Acuerdo de Servicio Jornalero para 906 brigadistas de limpieza, corredores y paisajismo.</w:t>
      </w:r>
    </w:p>
    <w:p w14:paraId="69AAE545" w14:textId="77777777" w:rsidR="00BC27E9" w:rsidRPr="00954407" w:rsidRDefault="00BC27E9" w:rsidP="00BC27E9">
      <w:pPr>
        <w:pStyle w:val="EstilodePrrafoNormal1RdeC"/>
      </w:pPr>
    </w:p>
    <w:p w14:paraId="5C2A8352" w14:textId="77777777" w:rsidR="00BC27E9" w:rsidRPr="00954407" w:rsidRDefault="00BC27E9" w:rsidP="00BC27E9">
      <w:pPr>
        <w:pStyle w:val="EstilodePrrafoNormal1RdeC"/>
      </w:pPr>
    </w:p>
    <w:p w14:paraId="65FCD946" w14:textId="77777777" w:rsidR="00BC27E9" w:rsidRPr="00954407" w:rsidRDefault="00BC27E9" w:rsidP="003969B9">
      <w:pPr>
        <w:pStyle w:val="EstilodePrrafoNormal1RdeC"/>
        <w:numPr>
          <w:ilvl w:val="0"/>
          <w:numId w:val="206"/>
        </w:numPr>
      </w:pPr>
      <w:r w:rsidRPr="00954407">
        <w:t>Acuerdo de Servicio Jornalero para 37 brigadistas de Mantenimiento Vial de albañilería y limpieza.</w:t>
      </w:r>
    </w:p>
    <w:p w14:paraId="30282F44" w14:textId="77777777" w:rsidR="00BC27E9" w:rsidRPr="00954407" w:rsidRDefault="00BC27E9" w:rsidP="00BC27E9">
      <w:pPr>
        <w:pStyle w:val="EstilodePrrafoNormal1RdeC"/>
      </w:pPr>
    </w:p>
    <w:p w14:paraId="10AA1F92" w14:textId="7965210E" w:rsidR="00BC27E9" w:rsidRPr="00755C02" w:rsidRDefault="00BC27E9" w:rsidP="00755C02">
      <w:pPr>
        <w:pStyle w:val="Heading3"/>
        <w:rPr>
          <w:b/>
          <w:bCs/>
          <w:color w:val="808080" w:themeColor="background1" w:themeShade="80"/>
          <w:sz w:val="24"/>
          <w:szCs w:val="24"/>
        </w:rPr>
      </w:pPr>
      <w:bookmarkStart w:id="131" w:name="_Toc172237769"/>
      <w:bookmarkStart w:id="132" w:name="_Toc186924371"/>
      <w:r w:rsidRPr="00755C02">
        <w:rPr>
          <w:b/>
          <w:bCs/>
          <w:color w:val="808080" w:themeColor="background1" w:themeShade="80"/>
          <w:sz w:val="24"/>
          <w:szCs w:val="24"/>
        </w:rPr>
        <w:t>Convenios</w:t>
      </w:r>
      <w:bookmarkEnd w:id="131"/>
      <w:bookmarkEnd w:id="132"/>
    </w:p>
    <w:p w14:paraId="6989CBAD" w14:textId="77777777" w:rsidR="00BC27E9" w:rsidRPr="00954407" w:rsidRDefault="00BC27E9" w:rsidP="00BC27E9">
      <w:pPr>
        <w:pStyle w:val="EstilodePrrafoNormal1RdeC"/>
        <w:rPr>
          <w:szCs w:val="32"/>
        </w:rPr>
      </w:pPr>
    </w:p>
    <w:p w14:paraId="6657890E" w14:textId="77777777" w:rsidR="00BC27E9" w:rsidRPr="00954407" w:rsidRDefault="00BC27E9" w:rsidP="00BC27E9">
      <w:pPr>
        <w:pStyle w:val="EstilodePrrafoNormal1RdeC"/>
      </w:pPr>
      <w:r w:rsidRPr="00954407">
        <w:t>Se elaboraron nuevos Convenios durante el período Enero – noviembre del año 2025, entre los que se destacan:</w:t>
      </w:r>
    </w:p>
    <w:p w14:paraId="4731DCCA" w14:textId="77777777" w:rsidR="00BC27E9" w:rsidRPr="00954407" w:rsidRDefault="00BC27E9" w:rsidP="00BC27E9">
      <w:pPr>
        <w:pStyle w:val="EstilodePrrafoNormal1RdeC"/>
      </w:pPr>
    </w:p>
    <w:p w14:paraId="5EF01124" w14:textId="77777777" w:rsidR="00BC27E9" w:rsidRPr="00954407" w:rsidRDefault="00BC27E9" w:rsidP="003969B9">
      <w:pPr>
        <w:pStyle w:val="EstilodePrrafoNormal1RdeC"/>
        <w:numPr>
          <w:ilvl w:val="0"/>
          <w:numId w:val="207"/>
        </w:numPr>
      </w:pPr>
      <w:r w:rsidRPr="00954407">
        <w:t xml:space="preserve">Industria Naval Dominicana IND ARD (250-2025) </w:t>
      </w:r>
    </w:p>
    <w:p w14:paraId="3ACE712A" w14:textId="77777777" w:rsidR="00BC27E9" w:rsidRPr="00954407" w:rsidRDefault="00BC27E9" w:rsidP="00BC27E9">
      <w:pPr>
        <w:pStyle w:val="EstilodePrrafoNormal1RdeC"/>
      </w:pPr>
    </w:p>
    <w:p w14:paraId="1CD81EFE" w14:textId="77777777" w:rsidR="00BC27E9" w:rsidRPr="00954407" w:rsidRDefault="00BC27E9" w:rsidP="003969B9">
      <w:pPr>
        <w:pStyle w:val="EstilodePrrafoNormal1RdeC"/>
        <w:numPr>
          <w:ilvl w:val="0"/>
          <w:numId w:val="207"/>
        </w:numPr>
      </w:pPr>
      <w:r w:rsidRPr="00954407">
        <w:t>Empresa de generación hidroeléctrica Dominicana (EGEHID)</w:t>
      </w:r>
    </w:p>
    <w:p w14:paraId="2A29BBBC" w14:textId="77777777" w:rsidR="00BC27E9" w:rsidRPr="00954407" w:rsidRDefault="00BC27E9" w:rsidP="00BC27E9">
      <w:pPr>
        <w:pStyle w:val="EstilodePrrafoNormal1RdeC"/>
      </w:pPr>
    </w:p>
    <w:p w14:paraId="1E13DD63" w14:textId="77777777" w:rsidR="00BC27E9" w:rsidRPr="00954407" w:rsidRDefault="00BC27E9" w:rsidP="003969B9">
      <w:pPr>
        <w:pStyle w:val="EstilodePrrafoNormal1RdeC"/>
        <w:numPr>
          <w:ilvl w:val="0"/>
          <w:numId w:val="207"/>
        </w:numPr>
      </w:pPr>
      <w:r w:rsidRPr="00954407">
        <w:t xml:space="preserve">Ministerio de Vivienda, Hábitat y Edificaciones (MIVHED) </w:t>
      </w:r>
    </w:p>
    <w:p w14:paraId="7B20DA61" w14:textId="77777777" w:rsidR="00BC27E9" w:rsidRPr="00954407" w:rsidRDefault="00BC27E9" w:rsidP="00BC27E9">
      <w:pPr>
        <w:pStyle w:val="EstilodePrrafoNormal1RdeC"/>
      </w:pPr>
    </w:p>
    <w:p w14:paraId="3666BD04" w14:textId="77777777" w:rsidR="00BC27E9" w:rsidRPr="00954407" w:rsidRDefault="00BC27E9" w:rsidP="003969B9">
      <w:pPr>
        <w:pStyle w:val="EstilodePrrafoNormal1RdeC"/>
        <w:numPr>
          <w:ilvl w:val="0"/>
          <w:numId w:val="207"/>
        </w:numPr>
      </w:pPr>
      <w:r w:rsidRPr="00954407">
        <w:t>Arquidiócesis de Santo Domingo (Adenda II)</w:t>
      </w:r>
    </w:p>
    <w:p w14:paraId="1E6E0D02" w14:textId="77777777" w:rsidR="00BC27E9" w:rsidRPr="00954407" w:rsidRDefault="00BC27E9" w:rsidP="00BC27E9">
      <w:pPr>
        <w:pStyle w:val="EstilodePrrafoNormal1RdeC"/>
      </w:pPr>
    </w:p>
    <w:p w14:paraId="3804C111" w14:textId="77777777" w:rsidR="00BC27E9" w:rsidRPr="00954407" w:rsidRDefault="00BC27E9" w:rsidP="003969B9">
      <w:pPr>
        <w:pStyle w:val="EstilodePrrafoNormal1RdeC"/>
        <w:numPr>
          <w:ilvl w:val="0"/>
          <w:numId w:val="207"/>
        </w:numPr>
      </w:pPr>
      <w:r w:rsidRPr="00954407">
        <w:t>Promese/Cal (Adenda I)</w:t>
      </w:r>
    </w:p>
    <w:p w14:paraId="296F77C7" w14:textId="77777777" w:rsidR="00BC27E9" w:rsidRPr="00954407" w:rsidRDefault="00BC27E9" w:rsidP="00BC27E9">
      <w:pPr>
        <w:pStyle w:val="EstilodePrrafoNormal1RdeC"/>
      </w:pPr>
    </w:p>
    <w:p w14:paraId="3452D586" w14:textId="77777777" w:rsidR="00BC27E9" w:rsidRPr="00954407" w:rsidRDefault="00BC27E9" w:rsidP="003969B9">
      <w:pPr>
        <w:pStyle w:val="EstilodePrrafoNormal1RdeC"/>
        <w:numPr>
          <w:ilvl w:val="0"/>
          <w:numId w:val="207"/>
        </w:numPr>
      </w:pPr>
      <w:r w:rsidRPr="00954407">
        <w:t>Asociación Dominicana Síndrome Down (ADOSID) (Adenda II)</w:t>
      </w:r>
    </w:p>
    <w:p w14:paraId="68D6536A" w14:textId="77777777" w:rsidR="00BC27E9" w:rsidRPr="00954407" w:rsidRDefault="00BC27E9" w:rsidP="00BC27E9">
      <w:pPr>
        <w:pStyle w:val="EstilodePrrafoNormal1RdeC"/>
      </w:pPr>
    </w:p>
    <w:p w14:paraId="014AEC44" w14:textId="77777777" w:rsidR="00BC27E9" w:rsidRPr="00954407" w:rsidRDefault="00BC27E9" w:rsidP="003969B9">
      <w:pPr>
        <w:pStyle w:val="EstilodePrrafoNormal1RdeC"/>
        <w:numPr>
          <w:ilvl w:val="0"/>
          <w:numId w:val="207"/>
        </w:numPr>
      </w:pPr>
      <w:r w:rsidRPr="00954407">
        <w:t>Ministerio de Defensa (Adenda I)</w:t>
      </w:r>
    </w:p>
    <w:p w14:paraId="3256AF9E" w14:textId="77777777" w:rsidR="00BC27E9" w:rsidRPr="00954407" w:rsidRDefault="00BC27E9" w:rsidP="00BC27E9">
      <w:pPr>
        <w:pStyle w:val="EstilodePrrafoNormal1RdeC"/>
        <w:rPr>
          <w:rFonts w:eastAsia="Calibri"/>
          <w:spacing w:val="0"/>
          <w:sz w:val="20"/>
        </w:rPr>
      </w:pPr>
    </w:p>
    <w:p w14:paraId="429BFBBE" w14:textId="31E77276" w:rsidR="00BC27E9" w:rsidRPr="003969B9" w:rsidRDefault="00BC27E9" w:rsidP="00755C02">
      <w:pPr>
        <w:pStyle w:val="Heading3"/>
        <w:rPr>
          <w:b/>
          <w:bCs/>
          <w:szCs w:val="32"/>
        </w:rPr>
      </w:pPr>
      <w:bookmarkStart w:id="133" w:name="_Toc172237770"/>
      <w:bookmarkStart w:id="134" w:name="_Toc186924372"/>
      <w:r w:rsidRPr="00755C02">
        <w:rPr>
          <w:b/>
          <w:bCs/>
          <w:color w:val="808080" w:themeColor="background1" w:themeShade="80"/>
          <w:sz w:val="24"/>
          <w:szCs w:val="24"/>
        </w:rPr>
        <w:t>Procesos litigiosos (Demandas y Controversias)</w:t>
      </w:r>
      <w:bookmarkEnd w:id="133"/>
      <w:bookmarkEnd w:id="134"/>
      <w:r w:rsidRPr="00755C02">
        <w:rPr>
          <w:b/>
          <w:bCs/>
          <w:color w:val="808080" w:themeColor="background1" w:themeShade="80"/>
          <w:sz w:val="24"/>
          <w:szCs w:val="24"/>
        </w:rPr>
        <w:t xml:space="preserve"> </w:t>
      </w:r>
    </w:p>
    <w:p w14:paraId="751587F7" w14:textId="77777777" w:rsidR="00BC27E9" w:rsidRPr="00954407" w:rsidRDefault="00BC27E9" w:rsidP="00BC27E9">
      <w:pPr>
        <w:pStyle w:val="EstilodePrrafoNormal1RdeC"/>
        <w:rPr>
          <w:rFonts w:eastAsia="Calibri"/>
          <w:spacing w:val="0"/>
          <w:sz w:val="20"/>
        </w:rPr>
      </w:pPr>
    </w:p>
    <w:p w14:paraId="74E6D291" w14:textId="77777777" w:rsidR="00BC27E9" w:rsidRPr="00954407" w:rsidRDefault="00BC27E9" w:rsidP="00BC27E9">
      <w:pPr>
        <w:pStyle w:val="EstilodePrrafoNormal1RdeC"/>
      </w:pPr>
      <w:r w:rsidRPr="00954407">
        <w:t xml:space="preserve">La Dirección Jurídica del MOPC, registró durante el período Enero – noviembre del año 2025, un total de 150 casos de Demandas y Controversias a la institución, de los cuales 63 corresponden a Demandas por varias causas y 28 a Controversias, que en la actualidad se encuentran en proceso de </w:t>
      </w:r>
      <w:r w:rsidRPr="00954407">
        <w:lastRenderedPageBreak/>
        <w:t xml:space="preserve">solución, entre los objetos más recurrentes de las demandas y controversias, se destacan: </w:t>
      </w:r>
    </w:p>
    <w:p w14:paraId="5628EA21" w14:textId="77777777" w:rsidR="00BC27E9" w:rsidRPr="00954407" w:rsidRDefault="00BC27E9" w:rsidP="00BC27E9">
      <w:pPr>
        <w:pStyle w:val="EstilodePrrafoNormal1RdeC"/>
      </w:pPr>
    </w:p>
    <w:p w14:paraId="7AAACBBA" w14:textId="77777777" w:rsidR="00BC27E9" w:rsidRPr="00954407" w:rsidRDefault="00BC27E9" w:rsidP="003969B9">
      <w:pPr>
        <w:pStyle w:val="EstilodePrrafoNormal1RdeC"/>
        <w:numPr>
          <w:ilvl w:val="0"/>
          <w:numId w:val="208"/>
        </w:numPr>
      </w:pPr>
      <w:r w:rsidRPr="00954407">
        <w:t>Demanda en Justiprecio por expropiación forzosa.</w:t>
      </w:r>
    </w:p>
    <w:p w14:paraId="05569350" w14:textId="77777777" w:rsidR="00BC27E9" w:rsidRPr="00954407" w:rsidRDefault="00BC27E9" w:rsidP="003969B9">
      <w:pPr>
        <w:pStyle w:val="EstilodePrrafoNormal1RdeC"/>
        <w:numPr>
          <w:ilvl w:val="0"/>
          <w:numId w:val="208"/>
        </w:numPr>
      </w:pPr>
      <w:r w:rsidRPr="00954407">
        <w:t>Demanda en daños y perjuicios, por incumplimiento de contrato.</w:t>
      </w:r>
    </w:p>
    <w:p w14:paraId="655E1789" w14:textId="77777777" w:rsidR="00BC27E9" w:rsidRPr="00954407" w:rsidRDefault="00BC27E9" w:rsidP="003969B9">
      <w:pPr>
        <w:pStyle w:val="EstilodePrrafoNormal1RdeC"/>
        <w:numPr>
          <w:ilvl w:val="0"/>
          <w:numId w:val="208"/>
        </w:numPr>
      </w:pPr>
      <w:r w:rsidRPr="00954407">
        <w:t>Demanda en Reparación de Daños y Perjuicios, Ley 63-17.</w:t>
      </w:r>
    </w:p>
    <w:p w14:paraId="65B9DACD" w14:textId="77777777" w:rsidR="00BC27E9" w:rsidRPr="00954407" w:rsidRDefault="00BC27E9" w:rsidP="003969B9">
      <w:pPr>
        <w:pStyle w:val="EstilodePrrafoNormal1RdeC"/>
        <w:numPr>
          <w:ilvl w:val="0"/>
          <w:numId w:val="208"/>
        </w:numPr>
      </w:pPr>
      <w:r w:rsidRPr="00954407">
        <w:t>Demanda en referimiento inmobiliario.</w:t>
      </w:r>
    </w:p>
    <w:p w14:paraId="260BEA3A" w14:textId="77777777" w:rsidR="00BC27E9" w:rsidRPr="00954407" w:rsidRDefault="00BC27E9" w:rsidP="003969B9">
      <w:pPr>
        <w:pStyle w:val="EstilodePrrafoNormal1RdeC"/>
        <w:numPr>
          <w:ilvl w:val="0"/>
          <w:numId w:val="208"/>
        </w:numPr>
      </w:pPr>
      <w:r w:rsidRPr="00954407">
        <w:t>Demanda en responsabilidad civil y abono a reparación de daños y perjuicios.</w:t>
      </w:r>
    </w:p>
    <w:p w14:paraId="3225814C" w14:textId="77777777" w:rsidR="00BC27E9" w:rsidRPr="00954407" w:rsidRDefault="00BC27E9" w:rsidP="003969B9">
      <w:pPr>
        <w:pStyle w:val="EstilodePrrafoNormal1RdeC"/>
        <w:numPr>
          <w:ilvl w:val="0"/>
          <w:numId w:val="208"/>
        </w:numPr>
      </w:pPr>
      <w:r w:rsidRPr="00954407">
        <w:t>Demanda por deslinde.</w:t>
      </w:r>
    </w:p>
    <w:p w14:paraId="63DE0C5C" w14:textId="77777777" w:rsidR="00BC27E9" w:rsidRPr="00954407" w:rsidRDefault="00BC27E9" w:rsidP="003969B9">
      <w:pPr>
        <w:pStyle w:val="EstilodePrrafoNormal1RdeC"/>
        <w:numPr>
          <w:ilvl w:val="0"/>
          <w:numId w:val="208"/>
        </w:numPr>
      </w:pPr>
      <w:r w:rsidRPr="00954407">
        <w:t>Demanda en responsabilidad patrimonial (JET-SET)</w:t>
      </w:r>
    </w:p>
    <w:p w14:paraId="588D17C3" w14:textId="77777777" w:rsidR="00BC27E9" w:rsidRPr="00954407" w:rsidRDefault="00BC27E9" w:rsidP="003969B9">
      <w:pPr>
        <w:pStyle w:val="EstilodePrrafoNormal1RdeC"/>
        <w:numPr>
          <w:ilvl w:val="0"/>
          <w:numId w:val="208"/>
        </w:numPr>
      </w:pPr>
      <w:r w:rsidRPr="00954407">
        <w:t>Demanda en Daños y Perjuicios por Accidente de Tránsito.</w:t>
      </w:r>
    </w:p>
    <w:p w14:paraId="37D574B9" w14:textId="77777777" w:rsidR="00BC27E9" w:rsidRPr="00954407" w:rsidRDefault="00BC27E9" w:rsidP="003969B9">
      <w:pPr>
        <w:pStyle w:val="EstilodePrrafoNormal1RdeC"/>
        <w:numPr>
          <w:ilvl w:val="0"/>
          <w:numId w:val="208"/>
        </w:numPr>
      </w:pPr>
      <w:r w:rsidRPr="00954407">
        <w:t>Demanda Laboral</w:t>
      </w:r>
    </w:p>
    <w:p w14:paraId="12EBB1BB" w14:textId="77777777" w:rsidR="00BC27E9" w:rsidRPr="00954407" w:rsidRDefault="00BC27E9" w:rsidP="003969B9">
      <w:pPr>
        <w:pStyle w:val="EstilodePrrafoNormal1RdeC"/>
        <w:numPr>
          <w:ilvl w:val="0"/>
          <w:numId w:val="208"/>
        </w:numPr>
      </w:pPr>
      <w:r w:rsidRPr="00954407">
        <w:t>Saneamiento inmobiliario en Las Matas de Farfán.</w:t>
      </w:r>
    </w:p>
    <w:p w14:paraId="770E0236" w14:textId="77777777" w:rsidR="00BC27E9" w:rsidRPr="00954407" w:rsidRDefault="00BC27E9" w:rsidP="003969B9">
      <w:pPr>
        <w:pStyle w:val="EstilodePrrafoNormal1RdeC"/>
        <w:numPr>
          <w:ilvl w:val="0"/>
          <w:numId w:val="208"/>
        </w:numPr>
      </w:pPr>
      <w:r w:rsidRPr="00954407">
        <w:t xml:space="preserve">Saneamiento inmobiliario en Neyba. </w:t>
      </w:r>
    </w:p>
    <w:p w14:paraId="6F77C30E" w14:textId="77777777" w:rsidR="00BC27E9" w:rsidRDefault="00BC27E9" w:rsidP="003969B9">
      <w:pPr>
        <w:pStyle w:val="EstilodePrrafoNormal1RdeC"/>
        <w:numPr>
          <w:ilvl w:val="0"/>
          <w:numId w:val="208"/>
        </w:numPr>
      </w:pPr>
      <w:r w:rsidRPr="00954407">
        <w:t>Saneamiento inmobiliario en Enriquillo.</w:t>
      </w:r>
    </w:p>
    <w:p w14:paraId="7DAACE16" w14:textId="77777777" w:rsidR="000B1728" w:rsidRPr="00954407" w:rsidRDefault="000B1728" w:rsidP="00BC27E9">
      <w:pPr>
        <w:pStyle w:val="EstilodePrrafoNormal1RdeC"/>
      </w:pPr>
    </w:p>
    <w:p w14:paraId="6082F096" w14:textId="77777777" w:rsidR="00BC27E9" w:rsidRPr="000B1728" w:rsidRDefault="00BC27E9" w:rsidP="000B1728">
      <w:pPr>
        <w:pStyle w:val="Heading2"/>
        <w:rPr>
          <w:rFonts w:ascii="Times New Roman" w:hAnsi="Times New Roman" w:cs="Times New Roman"/>
          <w:b/>
          <w:bCs/>
          <w:color w:val="767171"/>
          <w:sz w:val="24"/>
          <w:szCs w:val="24"/>
        </w:rPr>
      </w:pPr>
      <w:bookmarkStart w:id="135" w:name="_Toc217402136"/>
      <w:r w:rsidRPr="000B1728">
        <w:rPr>
          <w:rFonts w:ascii="Times New Roman" w:hAnsi="Times New Roman" w:cs="Times New Roman"/>
          <w:b/>
          <w:bCs/>
          <w:color w:val="767171"/>
          <w:sz w:val="24"/>
          <w:szCs w:val="24"/>
        </w:rPr>
        <w:t>Desempeño del Área de Tecnología de la Información y Comunicaciones</w:t>
      </w:r>
      <w:bookmarkEnd w:id="135"/>
    </w:p>
    <w:p w14:paraId="3A5C6069" w14:textId="77777777" w:rsidR="00BC27E9" w:rsidRPr="00954407" w:rsidRDefault="00BC27E9" w:rsidP="00BC27E9">
      <w:pPr>
        <w:pStyle w:val="EstilodePrrafoNormal1RdeC"/>
      </w:pPr>
    </w:p>
    <w:p w14:paraId="04EB67C0" w14:textId="77777777" w:rsidR="00BC27E9" w:rsidRPr="00954407" w:rsidRDefault="00BC27E9" w:rsidP="00BC27E9">
      <w:pPr>
        <w:pStyle w:val="EstilodePrrafoNormal1RdeC"/>
      </w:pPr>
      <w:r w:rsidRPr="00954407">
        <w:t xml:space="preserve">El área de Tecnología de la Información y Comunicaciones del MOPC, impulsó durante el período enero-diciembre del año 2025, una agenda integral de modernización tecnológica, para continuar proporcionando a la ciudadanía las plataformas tecnológicas de los servicios en línea disponibles en las instituciones del Estado Dominicano, para reducir los obstáculos de la información entre el gobierno, las empresas y los usuarios, orientada a elevar la calidad de los servicios institucionales, tanto internos como de cara a la ciudadanía. En el citado período se ejecutaron iniciativas estratégicas enfocadas en la regularización y renovación de licencias </w:t>
      </w:r>
      <w:r w:rsidRPr="00954407">
        <w:lastRenderedPageBreak/>
        <w:t>críticas para la operación, el fortalecimiento de la seguridad mediante certificados y controles asociados a plataformas esenciales y la mejora de la infraestructura tecnológica a través de acciones de mantenimiento preventivo, adquisición de equipos y sistemas de respaldo eléctrico que reducen riesgos ante fallas energéticas y protegen la integridad de la información.</w:t>
      </w:r>
    </w:p>
    <w:p w14:paraId="55F7EECA" w14:textId="77777777" w:rsidR="00BC27E9" w:rsidRPr="00954407" w:rsidRDefault="00BC27E9" w:rsidP="00BC27E9">
      <w:pPr>
        <w:pStyle w:val="EstilodePrrafoNormal1RdeC"/>
      </w:pPr>
    </w:p>
    <w:p w14:paraId="7F03E2FE" w14:textId="11FE46B7" w:rsidR="00BC27E9" w:rsidRPr="00954407" w:rsidRDefault="00BC27E9" w:rsidP="00BC27E9">
      <w:pPr>
        <w:pStyle w:val="EstilodePrrafoNormal1RdeC"/>
      </w:pPr>
      <w:r w:rsidRPr="00954407">
        <w:t xml:space="preserve">De manera complementaria, la Dirección de </w:t>
      </w:r>
      <w:r w:rsidR="005C00EF" w:rsidRPr="00954407">
        <w:t>Tecnología</w:t>
      </w:r>
      <w:r w:rsidRPr="00954407">
        <w:t xml:space="preserve"> de la Información y Comunicaciones (DTIC) reforzó la conectividad institucional mediante ampliaciones de ancho de banda, mejoras en cableado estructurado, fortalecimiento de redes y expansión de la conectividad WiFi, garantizando mayor estabilidad, desempeño y capacidad de crecimiento para soportar la demanda de servicios. Asimismo, se consolidaron avances en transformación digital, incluyendo la modernización del portal web institucional con un CMS más actualizado y el inicio de fases clave de plataformas de gestión para obras y planificación institucional, alineando estas mejoras con el cumplimiento de estándares NORTIC. En conjunto, estos resultados se tradujeron en impactos directos: mayor productividad del personal, reducción de interrupciones, optimización del gasto tecnológico y una infraestructura más resiliente, confiable y preparada para sostener las prioridades operativas del MOPC.</w:t>
      </w:r>
    </w:p>
    <w:p w14:paraId="53282D52" w14:textId="77777777" w:rsidR="00BC27E9" w:rsidRPr="00954407" w:rsidRDefault="00BC27E9" w:rsidP="00BC27E9">
      <w:pPr>
        <w:pStyle w:val="EstilodePrrafoNormal1RdeC"/>
      </w:pPr>
    </w:p>
    <w:p w14:paraId="39369061" w14:textId="3D6F5A80"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Logros por eje de trabajo</w:t>
      </w:r>
    </w:p>
    <w:p w14:paraId="7D4DB193" w14:textId="77777777" w:rsidR="00BC27E9" w:rsidRPr="00954407" w:rsidRDefault="00BC27E9" w:rsidP="00BC27E9">
      <w:pPr>
        <w:pStyle w:val="EstilodePrrafoNormal1RdeC"/>
      </w:pPr>
    </w:p>
    <w:p w14:paraId="4424D6AD" w14:textId="0A3DAD02" w:rsidR="00BC27E9" w:rsidRPr="00954407" w:rsidRDefault="00BC27E9" w:rsidP="00BC27E9">
      <w:pPr>
        <w:pStyle w:val="EstilodePrrafoNormal1RdeC"/>
        <w:numPr>
          <w:ilvl w:val="0"/>
          <w:numId w:val="209"/>
        </w:numPr>
      </w:pPr>
      <w:r w:rsidRPr="003969B9">
        <w:rPr>
          <w:b/>
          <w:bCs/>
        </w:rPr>
        <w:t>Regularización, renovación y adquisición de licencias</w:t>
      </w:r>
      <w:r w:rsidR="003969B9">
        <w:rPr>
          <w:b/>
          <w:bCs/>
        </w:rPr>
        <w:t xml:space="preserve">: </w:t>
      </w:r>
      <w:r w:rsidRPr="00954407">
        <w:t xml:space="preserve">Se garantizó la continuidad de herramientas críticas para los procesos operativos, administrativos y de soporte institucional del MOPC, mediante una gestión activa de regularización, renovación y adquisición de licencias, orientada a asegurar disponibilidad permanente, cumplimiento de los términos de uso y soporte oficial </w:t>
      </w:r>
      <w:r w:rsidRPr="00954407">
        <w:lastRenderedPageBreak/>
        <w:t>por parte de los fabricantes. Estas acciones permitieron estandarizar las plataformas utilizadas por las distintas áreas, reducir riesgos de interrupciones por vencimientos, fortalecer la seguridad tecnológica y mantener la institución alineada con buenas prácticas de gobernanza, evitando el uso indebido de software y asegurando un entorno de trabajo más estable y eficiente.</w:t>
      </w:r>
    </w:p>
    <w:p w14:paraId="544C8E94" w14:textId="77777777" w:rsidR="00BC27E9" w:rsidRPr="00954407" w:rsidRDefault="00BC27E9" w:rsidP="00BC27E9">
      <w:pPr>
        <w:pStyle w:val="EstilodePrrafoNormal1RdeC"/>
      </w:pPr>
    </w:p>
    <w:p w14:paraId="4F7D44A1" w14:textId="1473840B" w:rsidR="00BC27E9" w:rsidRPr="00954407" w:rsidRDefault="00BC27E9" w:rsidP="003969B9">
      <w:pPr>
        <w:pStyle w:val="EstilodePrrafoNormal1RdeC"/>
        <w:numPr>
          <w:ilvl w:val="0"/>
          <w:numId w:val="209"/>
        </w:numPr>
      </w:pPr>
      <w:r w:rsidRPr="003969B9">
        <w:rPr>
          <w:b/>
          <w:bCs/>
        </w:rPr>
        <w:t>HikCentral (Sistema de ponchado):</w:t>
      </w:r>
      <w:r w:rsidRPr="00954407">
        <w:t xml:space="preserve"> Plataforma utilizada para el control de asistencia y registro de entradas y salidas del personal, apoyando la gestión de horarios y la trazabilidad de marcaciones.</w:t>
      </w:r>
    </w:p>
    <w:p w14:paraId="13BEADCE" w14:textId="77777777" w:rsidR="00BC27E9" w:rsidRPr="00954407" w:rsidRDefault="00BC27E9" w:rsidP="00BC27E9">
      <w:pPr>
        <w:pStyle w:val="EstilodePrrafoNormal1RdeC"/>
      </w:pPr>
    </w:p>
    <w:p w14:paraId="4DFE8B97" w14:textId="1142F856" w:rsidR="00BC27E9" w:rsidRPr="00954407" w:rsidRDefault="00BC27E9" w:rsidP="003969B9">
      <w:pPr>
        <w:pStyle w:val="EstilodePrrafoNormal1RdeC"/>
        <w:numPr>
          <w:ilvl w:val="0"/>
          <w:numId w:val="209"/>
        </w:numPr>
      </w:pPr>
      <w:r w:rsidRPr="003969B9">
        <w:rPr>
          <w:b/>
          <w:bCs/>
        </w:rPr>
        <w:t>Adobe Creative Cloud (Diseño y producción de contenido):</w:t>
      </w:r>
      <w:r w:rsidRPr="00954407">
        <w:t xml:space="preserve"> Suite de herramientas para diseño gráfico, edición y producción de piezas institucionales, materiales de comunicación, contenido digital y soportes audiovisuales.</w:t>
      </w:r>
    </w:p>
    <w:p w14:paraId="393E11D2" w14:textId="77777777" w:rsidR="00BC27E9" w:rsidRPr="00954407" w:rsidRDefault="00BC27E9" w:rsidP="00BC27E9">
      <w:pPr>
        <w:pStyle w:val="EstilodePrrafoNormal1RdeC"/>
      </w:pPr>
    </w:p>
    <w:p w14:paraId="1D3E89B2" w14:textId="3191447E" w:rsidR="00BC27E9" w:rsidRPr="00954407" w:rsidRDefault="00BC27E9" w:rsidP="003969B9">
      <w:pPr>
        <w:pStyle w:val="EstilodePrrafoNormal1RdeC"/>
        <w:numPr>
          <w:ilvl w:val="0"/>
          <w:numId w:val="209"/>
        </w:numPr>
      </w:pPr>
      <w:r w:rsidRPr="003969B9">
        <w:rPr>
          <w:b/>
          <w:bCs/>
        </w:rPr>
        <w:t>IDProPlus (Gestión y emisión de carnets):</w:t>
      </w:r>
      <w:r w:rsidRPr="00954407">
        <w:t xml:space="preserve"> Software para el diseño, administración e impresión de credenciales institucionales, garantizando control de identificación y estandarización de carnets.</w:t>
      </w:r>
    </w:p>
    <w:p w14:paraId="0335346E" w14:textId="77777777" w:rsidR="00BC27E9" w:rsidRPr="00954407" w:rsidRDefault="00BC27E9" w:rsidP="00BC27E9">
      <w:pPr>
        <w:pStyle w:val="EstilodePrrafoNormal1RdeC"/>
      </w:pPr>
    </w:p>
    <w:p w14:paraId="60F2ABD6" w14:textId="2CFD5B3C" w:rsidR="00BC27E9" w:rsidRPr="00954407" w:rsidRDefault="00BC27E9" w:rsidP="003969B9">
      <w:pPr>
        <w:pStyle w:val="EstilodePrrafoNormal1RdeC"/>
        <w:numPr>
          <w:ilvl w:val="0"/>
          <w:numId w:val="209"/>
        </w:numPr>
      </w:pPr>
      <w:r w:rsidRPr="003969B9">
        <w:rPr>
          <w:b/>
          <w:bCs/>
        </w:rPr>
        <w:t>AutoDesk (Herramientas de arquitectura e ingeniería):</w:t>
      </w:r>
      <w:r w:rsidRPr="00954407">
        <w:t xml:space="preserve"> Conjunto de soluciones para diseño y modelado aplicado a proyectos de infraestructura, arquitectura e ingeniería, facilitando la elaboración y revisión de planos y entregables técnicos.</w:t>
      </w:r>
    </w:p>
    <w:p w14:paraId="58B715AB" w14:textId="77777777" w:rsidR="00BC27E9" w:rsidRPr="00954407" w:rsidRDefault="00BC27E9" w:rsidP="00BC27E9">
      <w:pPr>
        <w:pStyle w:val="EstilodePrrafoNormal1RdeC"/>
      </w:pPr>
    </w:p>
    <w:p w14:paraId="2F3C14AE" w14:textId="0EA1CEE3" w:rsidR="00BC27E9" w:rsidRPr="00954407" w:rsidRDefault="00BC27E9" w:rsidP="003969B9">
      <w:pPr>
        <w:pStyle w:val="EstilodePrrafoNormal1RdeC"/>
        <w:numPr>
          <w:ilvl w:val="0"/>
          <w:numId w:val="209"/>
        </w:numPr>
      </w:pPr>
      <w:r w:rsidRPr="003969B9">
        <w:rPr>
          <w:b/>
          <w:bCs/>
        </w:rPr>
        <w:t>Microsoft Enterprise Agreement – EA (Productividad y plataforma institucional):</w:t>
      </w:r>
      <w:r w:rsidRPr="00954407">
        <w:t xml:space="preserve"> Contrato de licenciamiento corporativo que asegura el uso legal y estandarizado de herramientas Microsoft (productividad, colaboración y servicios de plataforma), facilitando la administración centralizada y la continuidad operativa.</w:t>
      </w:r>
    </w:p>
    <w:p w14:paraId="2EF23686" w14:textId="77777777" w:rsidR="00BC27E9" w:rsidRPr="00954407" w:rsidRDefault="00BC27E9" w:rsidP="00BC27E9">
      <w:pPr>
        <w:pStyle w:val="EstilodePrrafoNormal1RdeC"/>
      </w:pPr>
    </w:p>
    <w:p w14:paraId="1D227EF6" w14:textId="77777777" w:rsidR="00BC27E9" w:rsidRPr="00954407" w:rsidRDefault="00BC27E9" w:rsidP="00BC27E9">
      <w:pPr>
        <w:pStyle w:val="EstilodePrrafoNormal1RdeC"/>
      </w:pPr>
    </w:p>
    <w:p w14:paraId="4F6D5365" w14:textId="77777777" w:rsidR="00BC27E9" w:rsidRPr="00954407" w:rsidRDefault="00BC27E9" w:rsidP="00BC27E9">
      <w:pPr>
        <w:pStyle w:val="EstilodePrrafoNormal1RdeC"/>
      </w:pPr>
      <w:r w:rsidRPr="00954407">
        <w:t>La regularización y renovación de estas licencias redujo significativamente el riesgo de interrupciones por vencimientos y garantizó la continuidad de las operaciones críticas del MOPC, asegurando que las áreas usuarias mantuvieran acceso estable a herramientas esenciales para sus funciones. Asimismo, permitió estandarizar el uso de software en la institución, facilitar el soporte técnico y la administración centralizada, y fortalecer el cumplimiento en materia de licenciamiento, disminuyendo riesgos legales y de seguridad asociados al uso inadecuado de software.</w:t>
      </w:r>
    </w:p>
    <w:p w14:paraId="30253417" w14:textId="77777777" w:rsidR="00BC27E9" w:rsidRPr="00954407" w:rsidRDefault="00BC27E9" w:rsidP="00BC27E9">
      <w:pPr>
        <w:pStyle w:val="EstilodePrrafoNormal1RdeC"/>
      </w:pPr>
    </w:p>
    <w:p w14:paraId="6B7A447D" w14:textId="600071DD" w:rsidR="00BC27E9" w:rsidRPr="003969B9" w:rsidRDefault="00BC27E9" w:rsidP="00755C02">
      <w:pPr>
        <w:pStyle w:val="Heading3"/>
        <w:rPr>
          <w:b/>
          <w:bCs/>
        </w:rPr>
      </w:pPr>
      <w:r w:rsidRPr="00755C02">
        <w:rPr>
          <w:b/>
          <w:bCs/>
          <w:color w:val="808080" w:themeColor="background1" w:themeShade="80"/>
          <w:sz w:val="24"/>
          <w:szCs w:val="24"/>
        </w:rPr>
        <w:t>Seguridad, certificados y plataformas críticas</w:t>
      </w:r>
    </w:p>
    <w:p w14:paraId="0DCBF55B" w14:textId="77777777" w:rsidR="00BC27E9" w:rsidRPr="00954407" w:rsidRDefault="00BC27E9" w:rsidP="00BC27E9">
      <w:pPr>
        <w:pStyle w:val="EstilodePrrafoNormal1RdeC"/>
      </w:pPr>
    </w:p>
    <w:p w14:paraId="64905C1A" w14:textId="77777777" w:rsidR="00BC27E9" w:rsidRPr="00954407" w:rsidRDefault="00BC27E9" w:rsidP="00BC27E9">
      <w:pPr>
        <w:pStyle w:val="EstilodePrrafoNormal1RdeC"/>
      </w:pPr>
      <w:r w:rsidRPr="00954407">
        <w:t>Se fortaleció la seguridad y la disponibilidad de los servicios institucionales mediante la actualización oportuna de certificados digitales críticos, garantizando la validez de los canales de comunicación, la confianza en los servicios y la continuidad operativa de plataformas esenciales. Estas acciones reducen riesgos de interrupción por expiración de certificados, evitan alertas de seguridad en navegadores y aplicaciones, y aseguran el cumplimiento de buenas prácticas para la protección de la información y el acceso seguro a los sistemas del MOPC.</w:t>
      </w:r>
    </w:p>
    <w:p w14:paraId="1EC7A7C6" w14:textId="77777777" w:rsidR="00BC27E9" w:rsidRPr="00954407" w:rsidRDefault="00BC27E9" w:rsidP="00BC27E9">
      <w:pPr>
        <w:pStyle w:val="EstilodePrrafoNormal1RdeC"/>
      </w:pPr>
    </w:p>
    <w:p w14:paraId="6C7C15A4" w14:textId="0C1D24AC" w:rsidR="00BC27E9" w:rsidRPr="00954407" w:rsidRDefault="00BC27E9" w:rsidP="003969B9">
      <w:pPr>
        <w:pStyle w:val="EstilodePrrafoNormal1RdeC"/>
        <w:numPr>
          <w:ilvl w:val="0"/>
          <w:numId w:val="210"/>
        </w:numPr>
      </w:pPr>
      <w:r w:rsidRPr="00954407">
        <w:t>Instalación y despliegue de nuevo certificado del SIGEF, asegurando continuidad en integraciones y operación segura.</w:t>
      </w:r>
    </w:p>
    <w:p w14:paraId="7FC18C20" w14:textId="77777777" w:rsidR="00BC27E9" w:rsidRPr="00954407" w:rsidRDefault="00BC27E9" w:rsidP="00BC27E9">
      <w:pPr>
        <w:pStyle w:val="EstilodePrrafoNormal1RdeC"/>
      </w:pPr>
    </w:p>
    <w:p w14:paraId="3F29AE1F" w14:textId="551497DA" w:rsidR="00BC27E9" w:rsidRPr="00954407" w:rsidRDefault="00BC27E9" w:rsidP="003969B9">
      <w:pPr>
        <w:pStyle w:val="EstilodePrrafoNormal1RdeC"/>
        <w:numPr>
          <w:ilvl w:val="0"/>
          <w:numId w:val="210"/>
        </w:numPr>
      </w:pPr>
      <w:r w:rsidRPr="00954407">
        <w:t>Renovación de certificado Wildcard SSL para portales web del MOPC, reforzando la confianza, cifrado y cumplimiento en servicios publicados.</w:t>
      </w:r>
    </w:p>
    <w:p w14:paraId="38BA7504" w14:textId="77777777" w:rsidR="00BC27E9" w:rsidRPr="00954407" w:rsidRDefault="00BC27E9" w:rsidP="00BC27E9">
      <w:pPr>
        <w:pStyle w:val="EstilodePrrafoNormal1RdeC"/>
      </w:pPr>
    </w:p>
    <w:p w14:paraId="6427DDA9" w14:textId="77777777" w:rsidR="00BC27E9" w:rsidRPr="00954407" w:rsidRDefault="00BC27E9" w:rsidP="00BC27E9">
      <w:pPr>
        <w:pStyle w:val="EstilodePrrafoNormal1RdeC"/>
      </w:pPr>
      <w:r w:rsidRPr="00954407">
        <w:t xml:space="preserve">Estas acciones incrementaron la seguridad en las transacciones y accesos a </w:t>
      </w:r>
      <w:r w:rsidRPr="00954407">
        <w:lastRenderedPageBreak/>
        <w:t>plataformas institucionales al mantener mecanismos de cifrado y autenticación vigentes y confiables, reduciendo la exposición a vulnerabilidades asociadas a certificados expirados o inválidos. A su vez, aseguraron la continuidad de servicios esenciales del MOPC, evitando interrupciones en integraciones críticas y garantizando una operación estable para usuarios internos y ciudadanos que consumen los servicios digitales institucionales.</w:t>
      </w:r>
    </w:p>
    <w:p w14:paraId="686F99F9" w14:textId="77777777" w:rsidR="00BC27E9" w:rsidRPr="00954407" w:rsidRDefault="00BC27E9" w:rsidP="00BC27E9">
      <w:pPr>
        <w:pStyle w:val="EstilodePrrafoNormal1RdeC"/>
      </w:pPr>
    </w:p>
    <w:p w14:paraId="7B99FBD4" w14:textId="0D9C39C1"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Continuidad eléctrica, protección de equipos y mantenimiento preventivo</w:t>
      </w:r>
    </w:p>
    <w:p w14:paraId="5D5EDB7D" w14:textId="77777777" w:rsidR="00BC27E9" w:rsidRPr="00954407" w:rsidRDefault="00BC27E9" w:rsidP="00BC27E9">
      <w:pPr>
        <w:pStyle w:val="EstilodePrrafoNormal1RdeC"/>
      </w:pPr>
    </w:p>
    <w:p w14:paraId="66B604CB" w14:textId="77777777" w:rsidR="00BC27E9" w:rsidRPr="00954407" w:rsidRDefault="00BC27E9" w:rsidP="00BC27E9">
      <w:pPr>
        <w:pStyle w:val="EstilodePrrafoNormal1RdeC"/>
      </w:pPr>
      <w:r w:rsidRPr="00954407">
        <w:t>Con el objetivo de incrementar la resiliencia tecnológica del MOPC y prevenir pérdidas de información ante fluctuaciones, apagones o eventos eléctricos, se ejecutaron acciones de fortalecimiento orientadas a proteger los equipos, asegurar la continuidad operativa y reducir el riesgo de interrupciones en servicios críticos. Estas iniciativas incluyeron la incorporación de soluciones de respaldo energético, mejoras en la capacidad de respuesta ante incidentes eléctricos y la realización de mantenimiento preventivo, contribuyendo a una operación más estable y a la preservación de la integridad de los datos institucionales.</w:t>
      </w:r>
    </w:p>
    <w:p w14:paraId="6FE2C7AB" w14:textId="77777777" w:rsidR="00BC27E9" w:rsidRPr="00954407" w:rsidRDefault="00BC27E9" w:rsidP="00BC27E9">
      <w:pPr>
        <w:pStyle w:val="EstilodePrrafoNormal1RdeC"/>
      </w:pPr>
    </w:p>
    <w:p w14:paraId="6A12E8D9" w14:textId="3D6053C4" w:rsidR="00BC27E9" w:rsidRPr="00954407" w:rsidRDefault="00BC27E9" w:rsidP="003969B9">
      <w:pPr>
        <w:pStyle w:val="EstilodePrrafoNormal1RdeC"/>
        <w:numPr>
          <w:ilvl w:val="0"/>
          <w:numId w:val="211"/>
        </w:numPr>
      </w:pPr>
      <w:r w:rsidRPr="00954407">
        <w:t>Adquisición de UPS para mejorar el funcionamiento de los equipos y evitar pérdida de información ante incidencias eléctricas.</w:t>
      </w:r>
    </w:p>
    <w:p w14:paraId="727BC53D" w14:textId="77777777" w:rsidR="00BC27E9" w:rsidRPr="00954407" w:rsidRDefault="00BC27E9" w:rsidP="00BC27E9">
      <w:pPr>
        <w:pStyle w:val="EstilodePrrafoNormal1RdeC"/>
      </w:pPr>
    </w:p>
    <w:p w14:paraId="114AB165" w14:textId="337A57F3" w:rsidR="00BC27E9" w:rsidRPr="00954407" w:rsidRDefault="00BC27E9" w:rsidP="003969B9">
      <w:pPr>
        <w:pStyle w:val="EstilodePrrafoNormal1RdeC"/>
        <w:numPr>
          <w:ilvl w:val="0"/>
          <w:numId w:val="211"/>
        </w:numPr>
      </w:pPr>
      <w:r w:rsidRPr="00954407">
        <w:t>Mantenimiento preventivo de UPS del Data Center, asegurando disponibilidad y reducción de fallas.</w:t>
      </w:r>
    </w:p>
    <w:p w14:paraId="79842975" w14:textId="77777777" w:rsidR="00BC27E9" w:rsidRPr="00954407" w:rsidRDefault="00BC27E9" w:rsidP="00BC27E9">
      <w:pPr>
        <w:pStyle w:val="EstilodePrrafoNormal1RdeC"/>
      </w:pPr>
    </w:p>
    <w:p w14:paraId="5E376F6E" w14:textId="778CE5A2" w:rsidR="00BC27E9" w:rsidRPr="00954407" w:rsidRDefault="00BC27E9" w:rsidP="003969B9">
      <w:pPr>
        <w:pStyle w:val="EstilodePrrafoNormal1RdeC"/>
        <w:numPr>
          <w:ilvl w:val="0"/>
          <w:numId w:val="211"/>
        </w:numPr>
      </w:pPr>
      <w:r w:rsidRPr="00954407">
        <w:t>Adquisición de herramientas para mantenimiento preventivo de equipos tecnológicos, elevando la capacidad de respuesta del equipo técnico.</w:t>
      </w:r>
    </w:p>
    <w:p w14:paraId="0FBAA79B" w14:textId="77777777" w:rsidR="00BC27E9" w:rsidRPr="00954407" w:rsidRDefault="00BC27E9" w:rsidP="00BC27E9">
      <w:pPr>
        <w:pStyle w:val="EstilodePrrafoNormal1RdeC"/>
      </w:pPr>
    </w:p>
    <w:p w14:paraId="06BC9438" w14:textId="77777777" w:rsidR="00BC27E9" w:rsidRPr="00954407" w:rsidRDefault="00BC27E9" w:rsidP="00BC27E9">
      <w:pPr>
        <w:pStyle w:val="EstilodePrrafoNormal1RdeC"/>
      </w:pPr>
    </w:p>
    <w:p w14:paraId="0B8ED095" w14:textId="77777777" w:rsidR="00BC27E9" w:rsidRPr="00954407" w:rsidRDefault="00BC27E9" w:rsidP="00BC27E9">
      <w:pPr>
        <w:pStyle w:val="EstilodePrrafoNormal1RdeC"/>
        <w:rPr>
          <w:rFonts w:eastAsia="Calibri"/>
          <w:noProof/>
          <w:spacing w:val="20"/>
        </w:rPr>
      </w:pPr>
      <w:r w:rsidRPr="00954407">
        <w:rPr>
          <w:rFonts w:eastAsia="Calibri"/>
          <w:noProof/>
          <w:spacing w:val="20"/>
        </w:rPr>
        <w:t>Además, el MOPC continuó durante el periodo enero-diciembre del año 2025, proporcionando a la población las herramientas digitales siguientes:</w:t>
      </w:r>
    </w:p>
    <w:p w14:paraId="00E4AC5D" w14:textId="77777777" w:rsidR="00BC27E9" w:rsidRPr="00954407" w:rsidRDefault="00BC27E9" w:rsidP="00BC27E9">
      <w:pPr>
        <w:pStyle w:val="EstilodePrrafoNormal1RdeC"/>
        <w:rPr>
          <w:rFonts w:eastAsia="Calibri"/>
          <w:noProof/>
          <w:spacing w:val="20"/>
        </w:rPr>
      </w:pPr>
    </w:p>
    <w:p w14:paraId="5FB52328" w14:textId="77777777" w:rsidR="00BC27E9" w:rsidRPr="00954407" w:rsidRDefault="00BC27E9" w:rsidP="003969B9">
      <w:pPr>
        <w:pStyle w:val="EstilodePrrafoNormal1RdeC"/>
        <w:numPr>
          <w:ilvl w:val="0"/>
          <w:numId w:val="212"/>
        </w:numPr>
      </w:pPr>
      <w:r w:rsidRPr="00954407">
        <w:t>Portal digital de la Dirección General de Reglamentos y Sistemas (DGRS), que ofrece los servicios en la página http://mopc.gob.do/servicios/direcciónreglamentosysistemas, a través de la cual los usuarios pueden obtener y/o descargar de forma libre de costo en su versión digital, los reglamentos técnicos disponibles que regulan el diseño y construcción de las obras en el área de la ingeniería, arquitectura y ramas afines, lo cual ha impactado positivamente en los usuarios.</w:t>
      </w:r>
    </w:p>
    <w:p w14:paraId="3B691D42" w14:textId="77777777" w:rsidR="00BC27E9" w:rsidRPr="00954407" w:rsidRDefault="00BC27E9" w:rsidP="00BC27E9">
      <w:pPr>
        <w:pStyle w:val="EstilodePrrafoNormal1RdeC"/>
      </w:pPr>
    </w:p>
    <w:p w14:paraId="4A9446AA" w14:textId="77777777" w:rsidR="00BC27E9" w:rsidRPr="00954407" w:rsidRDefault="00BC27E9" w:rsidP="003969B9">
      <w:pPr>
        <w:pStyle w:val="EstilodePrrafoNormal1RdeC"/>
        <w:numPr>
          <w:ilvl w:val="0"/>
          <w:numId w:val="212"/>
        </w:numPr>
      </w:pPr>
      <w:r w:rsidRPr="00954407">
        <w:t>Portal digital de servicios que ofrece RD Vial, a través de la dirección electrónica www.pasorapido.gob.do, mediante la cual los usuarios pueden obtener y/o solicitar los servicios de paso rápido en los puestos de peaje, con funciones adicionales y modernas. Además, incluye el servicio de Asistencia Vial, el cual ofrece: vigilancia, protección, seguridad y asistencia en las vías públicas, instalaciones de peajes, entre otros.</w:t>
      </w:r>
    </w:p>
    <w:p w14:paraId="6AEAA030" w14:textId="77777777" w:rsidR="00BC27E9" w:rsidRPr="00954407" w:rsidRDefault="00BC27E9" w:rsidP="00BC27E9">
      <w:pPr>
        <w:pStyle w:val="EstilodePrrafoNormal1RdeC"/>
      </w:pPr>
    </w:p>
    <w:p w14:paraId="46104547" w14:textId="77777777" w:rsidR="00BC27E9" w:rsidRPr="00954407" w:rsidRDefault="00BC27E9" w:rsidP="003969B9">
      <w:pPr>
        <w:pStyle w:val="EstilodePrrafoNormal1RdeC"/>
        <w:numPr>
          <w:ilvl w:val="0"/>
          <w:numId w:val="212"/>
        </w:numPr>
      </w:pPr>
      <w:r w:rsidRPr="00954407">
        <w:t xml:space="preserve">Portal digital de servicios para Certificación de No Objeción, que permite la obtención por parte del sector privado de la Certificación de No Objeción correspondiente, si cumple con los requisitos de lugar, la cual es emitida por el Ministerio de Obras Públicas y Comunicaciones, a través del Departamento de Muelles y Puertos, para el desarrollo de obras de infraestructura de esta categoría. </w:t>
      </w:r>
    </w:p>
    <w:p w14:paraId="793E87BC" w14:textId="77777777" w:rsidR="00BC27E9" w:rsidRPr="00954407" w:rsidRDefault="00BC27E9" w:rsidP="00BC27E9">
      <w:pPr>
        <w:pStyle w:val="EstilodePrrafoNormal1RdeC"/>
      </w:pPr>
    </w:p>
    <w:p w14:paraId="6EEA3A6B" w14:textId="77777777" w:rsidR="00BC27E9" w:rsidRPr="00954407" w:rsidRDefault="00BC27E9" w:rsidP="003969B9">
      <w:pPr>
        <w:pStyle w:val="EstilodePrrafoNormal1RdeC"/>
        <w:numPr>
          <w:ilvl w:val="0"/>
          <w:numId w:val="212"/>
        </w:numPr>
      </w:pPr>
      <w:r w:rsidRPr="00954407">
        <w:lastRenderedPageBreak/>
        <w:t>Portal digital de servicios, permite conocer el proceso de realización de los sorteos de obras viales y de edificaciones que ejecuta el MOPC para profesionales de la ingeniería, arquitectura y ramas afines, en distintas provincias del país.</w:t>
      </w:r>
    </w:p>
    <w:p w14:paraId="2AD01648" w14:textId="77777777" w:rsidR="00BC27E9" w:rsidRPr="00954407" w:rsidRDefault="00BC27E9" w:rsidP="00BC27E9">
      <w:pPr>
        <w:pStyle w:val="EstilodePrrafoNormal1RdeC"/>
      </w:pPr>
    </w:p>
    <w:p w14:paraId="0BF381EE" w14:textId="77777777" w:rsidR="00BC27E9" w:rsidRPr="00954407" w:rsidRDefault="00BC27E9" w:rsidP="003969B9">
      <w:pPr>
        <w:pStyle w:val="EstilodePrrafoNormal1RdeC"/>
        <w:numPr>
          <w:ilvl w:val="0"/>
          <w:numId w:val="212"/>
        </w:numPr>
      </w:pPr>
      <w:r w:rsidRPr="00954407">
        <w:t>Geo-portal a través de la dirección electrónica www.mopc.gob.do/geoportal, que permite visualizar el Sistema de Información Geográfica de la red vial de nuestro país, además, presenta informaciones relativas a la cantidad de kilómetros de carreteras, caminos vecinales, puentes y obras hidráulicas, por categoría y condición actual de la infraestructura vial existente de la República Dominicana, entre otros.</w:t>
      </w:r>
    </w:p>
    <w:p w14:paraId="17CC3CAA" w14:textId="77777777" w:rsidR="00BC27E9" w:rsidRPr="00954407" w:rsidRDefault="00BC27E9" w:rsidP="00BC27E9">
      <w:pPr>
        <w:pStyle w:val="EstilodePrrafoNormal1RdeC"/>
        <w:rPr>
          <w:rFonts w:eastAsia="Calibri"/>
          <w:noProof/>
          <w:spacing w:val="20"/>
        </w:rPr>
      </w:pPr>
    </w:p>
    <w:p w14:paraId="113FF7E3" w14:textId="77777777" w:rsidR="00BC27E9" w:rsidRPr="00954407" w:rsidRDefault="00BC27E9" w:rsidP="00BC27E9">
      <w:pPr>
        <w:pStyle w:val="EstilodePrrafoNormal1RdeC"/>
        <w:rPr>
          <w:color w:val="767171"/>
        </w:rPr>
      </w:pPr>
      <w:r w:rsidRPr="00954407">
        <w:rPr>
          <w:color w:val="767171"/>
        </w:rPr>
        <w:t>La Dirección de Tecnología de la Información y Comunicaciones del MOPC, continuó durante el periodo enero - noviembre del año 2025, recibiendo solicitudes de los ciudadanos por los diferentes medios digitales y/o redes disponibles Facebook (http://www.facebook.com/mopcrd), Instagram y Twitter (https://twitter.com/MOPCRD).</w:t>
      </w:r>
    </w:p>
    <w:p w14:paraId="5E1586CC" w14:textId="77777777" w:rsidR="00BC27E9" w:rsidRPr="00954407" w:rsidRDefault="00BC27E9" w:rsidP="00BC27E9">
      <w:pPr>
        <w:pStyle w:val="EstilodePrrafoNormal1RdeC"/>
      </w:pPr>
    </w:p>
    <w:p w14:paraId="283A5620" w14:textId="77777777" w:rsidR="00BC27E9" w:rsidRPr="000B1728" w:rsidRDefault="00BC27E9" w:rsidP="000B1728">
      <w:pPr>
        <w:pStyle w:val="Heading2"/>
        <w:rPr>
          <w:rFonts w:ascii="Times New Roman" w:hAnsi="Times New Roman" w:cs="Times New Roman"/>
          <w:b/>
          <w:bCs/>
          <w:color w:val="767171"/>
          <w:sz w:val="24"/>
          <w:szCs w:val="24"/>
        </w:rPr>
      </w:pPr>
      <w:bookmarkStart w:id="136" w:name="_Toc78583663"/>
      <w:bookmarkStart w:id="137" w:name="_Toc217402137"/>
      <w:r w:rsidRPr="000B1728">
        <w:rPr>
          <w:rFonts w:ascii="Times New Roman" w:hAnsi="Times New Roman" w:cs="Times New Roman"/>
          <w:b/>
          <w:bCs/>
          <w:color w:val="767171"/>
          <w:sz w:val="24"/>
          <w:szCs w:val="24"/>
        </w:rPr>
        <w:t>Desempeño del Sistema de Planificación y Desarrollo Institucional</w:t>
      </w:r>
      <w:bookmarkEnd w:id="136"/>
      <w:bookmarkEnd w:id="137"/>
    </w:p>
    <w:p w14:paraId="6106C830" w14:textId="77777777" w:rsidR="00BC27E9" w:rsidRPr="00954407" w:rsidRDefault="00BC27E9" w:rsidP="00BC27E9">
      <w:pPr>
        <w:pStyle w:val="EstilodePrrafoNormal1RdeC"/>
        <w:rPr>
          <w:color w:val="767171"/>
          <w:lang w:val="es-DO"/>
        </w:rPr>
      </w:pPr>
    </w:p>
    <w:p w14:paraId="5C3ACCFA" w14:textId="77777777" w:rsidR="00BC27E9" w:rsidRPr="00954407" w:rsidRDefault="00BC27E9" w:rsidP="00BC27E9">
      <w:pPr>
        <w:pStyle w:val="EstilodePrrafoNormal1RdeC"/>
        <w:rPr>
          <w:color w:val="767171"/>
        </w:rPr>
      </w:pPr>
      <w:r w:rsidRPr="00954407">
        <w:rPr>
          <w:color w:val="767171"/>
        </w:rPr>
        <w:t>Las actividades más relevantes realizadas durante el periodo enero-diciembre del año 2025 por la Dirección de Planificación y Desarrollo del Ministerio de Obras Públicas y Comunicaciones (MOPC), de conformidad con las funciones establecidas en la normativa vigente y en cumplimiento de la visión institucional para el logro del desempeño de las ejecutorias  que permitan la optimización de la planificación y el desarrollo institucional. Los principales logros alcanzados durante el periodo indicado, se resumen a continuación:</w:t>
      </w:r>
    </w:p>
    <w:p w14:paraId="56D6701B" w14:textId="77777777" w:rsidR="00BC27E9" w:rsidRPr="00954407" w:rsidRDefault="00BC27E9" w:rsidP="00BC27E9">
      <w:pPr>
        <w:pStyle w:val="EstilodePrrafoNormal1RdeC"/>
      </w:pPr>
    </w:p>
    <w:p w14:paraId="7B979B1D" w14:textId="33D59E9B"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Plan Estratégico Institucional (PEI)</w:t>
      </w:r>
    </w:p>
    <w:p w14:paraId="0226A98A" w14:textId="77777777" w:rsidR="00BC27E9" w:rsidRPr="00954407" w:rsidRDefault="00BC27E9" w:rsidP="00BC27E9">
      <w:pPr>
        <w:pStyle w:val="EstilodePrrafoNormal1RdeC"/>
      </w:pPr>
    </w:p>
    <w:p w14:paraId="3DA49685" w14:textId="77777777" w:rsidR="00BC27E9" w:rsidRPr="00954407" w:rsidRDefault="00BC27E9" w:rsidP="00BC27E9">
      <w:pPr>
        <w:pStyle w:val="EstilodePrrafoNormal1RdeC"/>
      </w:pPr>
      <w:r w:rsidRPr="00954407">
        <w:t>El Plan Estratégico Institucional (PEI) del Ministerio de Obras Públicas y Comunicaciones (MOPC), es la herramienta de gestión que establece los lineamientos estratégicos y programáticos que garanticen la efectividad del marco normativo vigente y las ejecutorias a ejecutar como organismo rector de la infraestructura vial.</w:t>
      </w:r>
    </w:p>
    <w:p w14:paraId="6E2F300D" w14:textId="77777777" w:rsidR="00BC27E9" w:rsidRPr="00954407" w:rsidRDefault="00BC27E9" w:rsidP="00BC27E9">
      <w:pPr>
        <w:pStyle w:val="EstilodePrrafoNormal1RdeC"/>
      </w:pPr>
    </w:p>
    <w:p w14:paraId="2353445B" w14:textId="77777777" w:rsidR="00BC27E9" w:rsidRPr="00954407" w:rsidRDefault="00BC27E9" w:rsidP="00BC27E9">
      <w:pPr>
        <w:pStyle w:val="EstilodePrrafoNormal1RdeC"/>
      </w:pPr>
      <w:r w:rsidRPr="00954407">
        <w:t>En el mes de julio del año fiscal vigente, fue aprobado por el Ministerio de Economía, Planificación y Desarrollo (MEPyD) del Ministerio de Hacienda y Economía (MHE), el Plan Estratégico Instituciona (PEI) del MOPC para el periodo del 2025-2028, el cual integra los requisitos metodológicos, la alineación a las prioridades de desarrollo establecidos en la Estrategia Nacional de Desarrollo 2030, Ley 1-12, respondiendo a las prioridades establecidas en el marco de resultados del Plan Plurianual del Sector Publico (PNPSP 2025-2028).</w:t>
      </w:r>
    </w:p>
    <w:p w14:paraId="4C72249C" w14:textId="77777777" w:rsidR="00BC27E9" w:rsidRPr="00954407" w:rsidRDefault="00BC27E9" w:rsidP="00BC27E9">
      <w:pPr>
        <w:pStyle w:val="EstilodePrrafoNormal1RdeC"/>
      </w:pPr>
    </w:p>
    <w:p w14:paraId="7E14E963" w14:textId="25326DB6"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Indicadores de Gestión Institucional PEI (2025-2028)</w:t>
      </w:r>
    </w:p>
    <w:p w14:paraId="5BF0CBF4" w14:textId="77777777" w:rsidR="00BC27E9" w:rsidRPr="00954407" w:rsidRDefault="00BC27E9" w:rsidP="00BC27E9">
      <w:pPr>
        <w:pStyle w:val="EstilodePrrafoNormal1RdeC"/>
      </w:pPr>
    </w:p>
    <w:p w14:paraId="3FCD4548" w14:textId="77777777" w:rsidR="00BC27E9" w:rsidRPr="00954407" w:rsidRDefault="00BC27E9" w:rsidP="00BC27E9">
      <w:pPr>
        <w:pStyle w:val="EstilodePrrafoNormal1RdeC"/>
      </w:pPr>
      <w:r w:rsidRPr="00954407">
        <w:t>El año 2025 se caracterizó por la consolidación de la eficiencia operativa y una clara orientación hacia la mejora continua de los servicios. Los principales logros institucionales según las metas establecidas en el PEI 2025-2028, son los siguientes:</w:t>
      </w:r>
    </w:p>
    <w:p w14:paraId="40E7AC61" w14:textId="77777777" w:rsidR="00BC27E9" w:rsidRPr="00954407" w:rsidRDefault="00BC27E9" w:rsidP="00BC27E9">
      <w:pPr>
        <w:pStyle w:val="EstilodePrrafoNormal1RdeC"/>
      </w:pPr>
    </w:p>
    <w:p w14:paraId="46FFF543" w14:textId="516D4CAF" w:rsidR="00BC27E9" w:rsidRPr="00954407" w:rsidRDefault="00BC27E9" w:rsidP="003969B9">
      <w:pPr>
        <w:pStyle w:val="EstilodePrrafoNormal1RdeC"/>
        <w:numPr>
          <w:ilvl w:val="0"/>
          <w:numId w:val="213"/>
        </w:numPr>
      </w:pPr>
      <w:r w:rsidRPr="00954407">
        <w:t xml:space="preserve">Excelencia en Ejecución Presupuestaria y Operacional </w:t>
      </w:r>
    </w:p>
    <w:p w14:paraId="6470EC72" w14:textId="77777777" w:rsidR="00BC27E9" w:rsidRPr="00954407" w:rsidRDefault="00BC27E9" w:rsidP="00BC27E9">
      <w:pPr>
        <w:pStyle w:val="EstilodePrrafoNormal1RdeC"/>
      </w:pPr>
    </w:p>
    <w:p w14:paraId="5B2BBAD6" w14:textId="77777777" w:rsidR="00BC27E9" w:rsidRPr="00954407" w:rsidRDefault="00BC27E9" w:rsidP="00BC27E9">
      <w:pPr>
        <w:pStyle w:val="EstilodePrrafoNormal1RdeC"/>
      </w:pPr>
      <w:r w:rsidRPr="00954407">
        <w:t xml:space="preserve">El Índice de Gestión Presupuestaria del Programa 12 (Mantenimiento, Seguridad y Asistencia Vial) alcanzó un 97.14%, superando la meta del 93% </w:t>
      </w:r>
      <w:r w:rsidRPr="00954407">
        <w:lastRenderedPageBreak/>
        <w:t>establecida en el PEI (2025-2028). Este logro garantiza la sostenibilidad de las operaciones críticas de mantenimiento y seguridad vial.</w:t>
      </w:r>
    </w:p>
    <w:p w14:paraId="37AB9363" w14:textId="77777777" w:rsidR="00BC27E9" w:rsidRPr="00954407" w:rsidRDefault="00BC27E9" w:rsidP="00BC27E9">
      <w:pPr>
        <w:pStyle w:val="EstilodePrrafoNormal1RdeC"/>
      </w:pPr>
    </w:p>
    <w:p w14:paraId="4C42092B" w14:textId="19378380" w:rsidR="00BC27E9" w:rsidRPr="00954407" w:rsidRDefault="00BC27E9" w:rsidP="003969B9">
      <w:pPr>
        <w:pStyle w:val="EstilodePrrafoNormal1RdeC"/>
        <w:numPr>
          <w:ilvl w:val="0"/>
          <w:numId w:val="213"/>
        </w:numPr>
      </w:pPr>
      <w:r w:rsidRPr="00954407">
        <w:t>Fortalecimiento de la Atención Ciudadana</w:t>
      </w:r>
    </w:p>
    <w:p w14:paraId="1C66860C" w14:textId="77777777" w:rsidR="00BC27E9" w:rsidRPr="00954407" w:rsidRDefault="00BC27E9" w:rsidP="00BC27E9">
      <w:pPr>
        <w:pStyle w:val="EstilodePrrafoNormal1RdeC"/>
      </w:pPr>
    </w:p>
    <w:p w14:paraId="24314284" w14:textId="77777777" w:rsidR="00BC27E9" w:rsidRPr="00954407" w:rsidRDefault="00BC27E9" w:rsidP="00BC27E9">
      <w:pPr>
        <w:pStyle w:val="EstilodePrrafoNormal1RdeC"/>
      </w:pPr>
      <w:r w:rsidRPr="00954407">
        <w:t>El Índice 311 de Atención Ciudadana se situó en un 96%, superando la meta del 90% establecida en el PEI (2025-2028). Este resultado es un reflejo directo de la optimización de los procesos de respuesta, la capacitación del personal y el enfoque en la satisfacción del ciudadano.</w:t>
      </w:r>
    </w:p>
    <w:p w14:paraId="10D198B9" w14:textId="77777777" w:rsidR="00BC27E9" w:rsidRPr="00954407" w:rsidRDefault="00BC27E9" w:rsidP="00BC27E9">
      <w:pPr>
        <w:pStyle w:val="EstilodePrrafoNormal1RdeC"/>
      </w:pPr>
    </w:p>
    <w:p w14:paraId="53DCB1B8" w14:textId="0F555813" w:rsidR="00BC27E9" w:rsidRPr="00954407" w:rsidRDefault="00BC27E9" w:rsidP="003969B9">
      <w:pPr>
        <w:pStyle w:val="EstilodePrrafoNormal1RdeC"/>
        <w:numPr>
          <w:ilvl w:val="0"/>
          <w:numId w:val="213"/>
        </w:numPr>
      </w:pPr>
      <w:r w:rsidRPr="00954407">
        <w:t>Calidad en la Gestión y Servicio al Ciudadano</w:t>
      </w:r>
    </w:p>
    <w:p w14:paraId="549AC8BE" w14:textId="77777777" w:rsidR="00BC27E9" w:rsidRPr="00954407" w:rsidRDefault="00BC27E9" w:rsidP="00BC27E9">
      <w:pPr>
        <w:pStyle w:val="EstilodePrrafoNormal1RdeC"/>
      </w:pPr>
    </w:p>
    <w:p w14:paraId="51140640" w14:textId="77777777" w:rsidR="00BC27E9" w:rsidRPr="00954407" w:rsidRDefault="00BC27E9" w:rsidP="00BC27E9">
      <w:pPr>
        <w:pStyle w:val="EstilodePrrafoNormal1RdeC"/>
      </w:pPr>
      <w:r w:rsidRPr="00954407">
        <w:t>Los logros significativos alcanzados por el MOPC en el ámbito de la calidad, la estandarización de procesos y el compromiso con la transparencia y la excelencia en el servicio público, elementos cruciales para la modernización institucional, se enumeran a continuación: .</w:t>
      </w:r>
    </w:p>
    <w:p w14:paraId="0840AE4E" w14:textId="77777777" w:rsidR="00BC27E9" w:rsidRPr="00954407" w:rsidRDefault="00BC27E9" w:rsidP="00BC27E9">
      <w:pPr>
        <w:pStyle w:val="EstilodePrrafoNormal1RdeC"/>
      </w:pPr>
    </w:p>
    <w:p w14:paraId="346B8CC6" w14:textId="77777777" w:rsidR="00BC27E9" w:rsidRPr="00A47C98" w:rsidRDefault="00BC27E9" w:rsidP="00A47C98">
      <w:pPr>
        <w:pStyle w:val="EstilodePrrafoNormal1RdeC"/>
        <w:numPr>
          <w:ilvl w:val="0"/>
          <w:numId w:val="214"/>
        </w:numPr>
        <w:rPr>
          <w:b/>
          <w:bCs/>
        </w:rPr>
      </w:pPr>
      <w:r w:rsidRPr="00A47C98">
        <w:rPr>
          <w:b/>
          <w:bCs/>
        </w:rPr>
        <w:t>Recertificación ISO 9001:2015 del Servicio de Seguridad y Asistencia Vial</w:t>
      </w:r>
    </w:p>
    <w:p w14:paraId="1D0468BD" w14:textId="77777777" w:rsidR="00BC27E9" w:rsidRPr="00954407" w:rsidRDefault="00BC27E9" w:rsidP="00BC27E9">
      <w:pPr>
        <w:pStyle w:val="EstilodePrrafoNormal1RdeC"/>
      </w:pPr>
    </w:p>
    <w:p w14:paraId="4D32E836" w14:textId="77777777" w:rsidR="00BC27E9" w:rsidRPr="00954407" w:rsidRDefault="00BC27E9" w:rsidP="00BC27E9">
      <w:pPr>
        <w:pStyle w:val="EstilodePrrafoNormal1RdeC"/>
      </w:pPr>
      <w:r w:rsidRPr="00954407">
        <w:t>La Dirección de Asistencia y Protección Vial fue sometida en fecha 31 de julio del 2025, a la primera auditoría externa de seguimiento por parte del Instituto Dominicano para la Calidad (INDOCAL), concluyendo la auditoría con la recomendación de “Mantener la Certificación” (según Informe de Auditoría Sistemas de Gestión No. RG-DCS-001, de fecha 7/8/2025).</w:t>
      </w:r>
    </w:p>
    <w:p w14:paraId="35033962" w14:textId="77777777" w:rsidR="00BC27E9" w:rsidRPr="00954407" w:rsidRDefault="00BC27E9" w:rsidP="00BC27E9">
      <w:pPr>
        <w:pStyle w:val="EstilodePrrafoNormal1RdeC"/>
      </w:pPr>
    </w:p>
    <w:p w14:paraId="57BD2F4E" w14:textId="0E51AD32" w:rsidR="00BC27E9" w:rsidRPr="00A47C98" w:rsidRDefault="00BC27E9" w:rsidP="00BC27E9">
      <w:pPr>
        <w:pStyle w:val="EstilodePrrafoNormal1RdeC"/>
        <w:rPr>
          <w:b/>
          <w:bCs/>
        </w:rPr>
      </w:pPr>
      <w:r w:rsidRPr="00A47C98">
        <w:rPr>
          <w:b/>
          <w:bCs/>
        </w:rPr>
        <w:t xml:space="preserve">Impacto Estratégico </w:t>
      </w:r>
    </w:p>
    <w:p w14:paraId="0FCCA0DA" w14:textId="77777777" w:rsidR="00BC27E9" w:rsidRPr="00954407" w:rsidRDefault="00BC27E9" w:rsidP="00BC27E9">
      <w:pPr>
        <w:pStyle w:val="EstilodePrrafoNormal1RdeC"/>
      </w:pPr>
    </w:p>
    <w:p w14:paraId="384372AF" w14:textId="77777777" w:rsidR="00BC27E9" w:rsidRPr="00954407" w:rsidRDefault="00BC27E9" w:rsidP="00BC27E9">
      <w:pPr>
        <w:pStyle w:val="EstilodePrrafoNormal1RdeC"/>
      </w:pPr>
      <w:r w:rsidRPr="00954407">
        <w:t xml:space="preserve">Este logro valida la madurez del Sistema de Gestión de la Calidad (SGC) </w:t>
      </w:r>
      <w:r w:rsidRPr="00954407">
        <w:lastRenderedPageBreak/>
        <w:t>implementado bajo la norma NORDOM ISO 9001:2015 (Certificado No. OC-DCS-058, desde 14/8/2024), garantizando que los procesos del Servicio de Seguridad y Asistencia Vial cumplen consistentemente con los requisitos de calidad y satisfacción del usuario.</w:t>
      </w:r>
    </w:p>
    <w:p w14:paraId="0E9372DA" w14:textId="77777777" w:rsidR="00BC27E9" w:rsidRPr="00954407" w:rsidRDefault="00BC27E9" w:rsidP="00BC27E9">
      <w:pPr>
        <w:pStyle w:val="EstilodePrrafoNormal1RdeC"/>
      </w:pPr>
    </w:p>
    <w:p w14:paraId="49A9CF6A" w14:textId="77777777" w:rsidR="00BC27E9" w:rsidRPr="00A47C98" w:rsidRDefault="00BC27E9" w:rsidP="00A47C98">
      <w:pPr>
        <w:pStyle w:val="EstilodePrrafoNormal1RdeC"/>
        <w:numPr>
          <w:ilvl w:val="0"/>
          <w:numId w:val="214"/>
        </w:numPr>
        <w:rPr>
          <w:b/>
          <w:bCs/>
        </w:rPr>
      </w:pPr>
      <w:r w:rsidRPr="00A47C98">
        <w:rPr>
          <w:b/>
          <w:bCs/>
        </w:rPr>
        <w:t>Evaluación anual exitosa de la Carta Compromiso al Ciudadano</w:t>
      </w:r>
    </w:p>
    <w:p w14:paraId="1286F485" w14:textId="77777777" w:rsidR="00BC27E9" w:rsidRPr="00954407" w:rsidRDefault="00BC27E9" w:rsidP="00BC27E9">
      <w:pPr>
        <w:pStyle w:val="EstilodePrrafoNormal1RdeC"/>
      </w:pPr>
    </w:p>
    <w:p w14:paraId="5E5F5214" w14:textId="77777777" w:rsidR="00BC27E9" w:rsidRPr="00954407" w:rsidRDefault="00BC27E9" w:rsidP="00BC27E9">
      <w:pPr>
        <w:pStyle w:val="EstilodePrrafoNormal1RdeC"/>
      </w:pPr>
      <w:r w:rsidRPr="00954407">
        <w:t>La institución demostró su compromiso con la transparencia y la mejora de los servicios, superando satisfactoriamente la evaluación de sus compromisos públicos. Durante el mes de octubre de 2025, el Ministerio de Administración Pública (MAP) realizó la evaluación anual de la Carta Compromiso al Ciudadano, en la cual la institución alcanzó un nivel de cumplimiento de un 85% de los compromisos establecidos, un valor que se refleja positivamente en el indicador de Carta Compromiso dentro del Sistema de Monitoreo de la Administración Pública (SISMAP).</w:t>
      </w:r>
    </w:p>
    <w:p w14:paraId="09DCB936" w14:textId="77777777" w:rsidR="00BC27E9" w:rsidRPr="00954407" w:rsidRDefault="00BC27E9" w:rsidP="00BC27E9">
      <w:pPr>
        <w:pStyle w:val="EstilodePrrafoNormal1RdeC"/>
      </w:pPr>
    </w:p>
    <w:p w14:paraId="73BA0E54" w14:textId="77777777" w:rsidR="00BC27E9" w:rsidRPr="00A47C98" w:rsidRDefault="00BC27E9" w:rsidP="00BC27E9">
      <w:pPr>
        <w:pStyle w:val="EstilodePrrafoNormal1RdeC"/>
        <w:rPr>
          <w:b/>
          <w:bCs/>
        </w:rPr>
      </w:pPr>
      <w:r w:rsidRPr="00A47C98">
        <w:rPr>
          <w:b/>
          <w:bCs/>
        </w:rPr>
        <w:t xml:space="preserve">Impacto </w:t>
      </w:r>
    </w:p>
    <w:p w14:paraId="43C491D2" w14:textId="77777777" w:rsidR="00BC27E9" w:rsidRPr="00954407" w:rsidRDefault="00BC27E9" w:rsidP="00BC27E9">
      <w:pPr>
        <w:pStyle w:val="EstilodePrrafoNormal1RdeC"/>
      </w:pPr>
    </w:p>
    <w:p w14:paraId="671AEEF1" w14:textId="77777777" w:rsidR="00BC27E9" w:rsidRPr="00954407" w:rsidRDefault="00BC27E9" w:rsidP="00BC27E9">
      <w:pPr>
        <w:pStyle w:val="EstilodePrrafoNormal1RdeC"/>
      </w:pPr>
      <w:r w:rsidRPr="00954407">
        <w:t>Este alto porcentaje de cumplimiento es una prueba fehaciente de la orientación de la gestión hacia el ciudadano, asegurando que las promesas de servicio (tiempos de respuesta, calidad de la atención, etc.) se cumplen de manera efectiva, fortaleciendo así la confianza pública.</w:t>
      </w:r>
    </w:p>
    <w:p w14:paraId="0F4D8299" w14:textId="77777777" w:rsidR="00BC27E9" w:rsidRPr="00954407" w:rsidRDefault="00BC27E9" w:rsidP="00BC27E9">
      <w:pPr>
        <w:pStyle w:val="EstilodePrrafoNormal1RdeC"/>
      </w:pPr>
    </w:p>
    <w:p w14:paraId="28685AE2" w14:textId="77777777" w:rsidR="00A47C98" w:rsidRDefault="00A47C98" w:rsidP="00BC27E9">
      <w:pPr>
        <w:pStyle w:val="EstilodePrrafoNormal1RdeC"/>
        <w:rPr>
          <w:b/>
          <w:bCs/>
        </w:rPr>
      </w:pPr>
    </w:p>
    <w:p w14:paraId="1EEF27F0" w14:textId="3D20A50B" w:rsidR="00BC27E9" w:rsidRPr="00A47C98" w:rsidRDefault="00BC27E9" w:rsidP="00BC27E9">
      <w:pPr>
        <w:pStyle w:val="EstilodePrrafoNormal1RdeC"/>
        <w:rPr>
          <w:b/>
          <w:bCs/>
        </w:rPr>
      </w:pPr>
      <w:r w:rsidRPr="00A47C98">
        <w:rPr>
          <w:b/>
          <w:bCs/>
        </w:rPr>
        <w:t>Plan Operativo Anual (POA) y Plan Anual de Compras y Contrataciones (PACC)</w:t>
      </w:r>
    </w:p>
    <w:p w14:paraId="57DBEED7" w14:textId="77777777" w:rsidR="00BC27E9" w:rsidRPr="00954407" w:rsidRDefault="00BC27E9" w:rsidP="00BC27E9">
      <w:pPr>
        <w:pStyle w:val="EstilodePrrafoNormal1RdeC"/>
      </w:pPr>
    </w:p>
    <w:p w14:paraId="2B6680FA" w14:textId="77777777" w:rsidR="00BC27E9" w:rsidRPr="00954407" w:rsidRDefault="00BC27E9" w:rsidP="00BC27E9">
      <w:pPr>
        <w:pStyle w:val="EstilodePrrafoNormal1RdeC"/>
      </w:pPr>
      <w:r w:rsidRPr="00954407">
        <w:t xml:space="preserve">Se inició la formulación del Plan Operativo Anual (POA) y el Plan Anual de Compras y Contrataciones (PACC), ambos correspondientes al año 2026, tal como lo establece la metodología definida por la Dirección General de </w:t>
      </w:r>
      <w:r w:rsidRPr="00954407">
        <w:lastRenderedPageBreak/>
        <w:t>Contrataciones Publicas (DGCP).</w:t>
      </w:r>
    </w:p>
    <w:p w14:paraId="166ECC9E" w14:textId="77777777" w:rsidR="00BC27E9" w:rsidRPr="00954407" w:rsidRDefault="00BC27E9" w:rsidP="00BC27E9">
      <w:pPr>
        <w:pStyle w:val="EstilodePrrafoNormal1RdeC"/>
      </w:pPr>
    </w:p>
    <w:p w14:paraId="33AC7C0D" w14:textId="77777777" w:rsidR="00BC27E9" w:rsidRPr="00954407" w:rsidRDefault="00BC27E9" w:rsidP="00BC27E9">
      <w:pPr>
        <w:pStyle w:val="EstilodePrrafoNormal1RdeC"/>
      </w:pPr>
      <w:r w:rsidRPr="00954407">
        <w:t>Siendo completada la formulación del Plan Operativo Anual (POA) y el Plan Anual de Compras y Contrataciones (PACC) correspondientes al año 2026.</w:t>
      </w:r>
    </w:p>
    <w:p w14:paraId="7B1FD077" w14:textId="77777777" w:rsidR="00BC27E9" w:rsidRPr="00954407" w:rsidRDefault="00BC27E9" w:rsidP="00BC27E9">
      <w:pPr>
        <w:pStyle w:val="EstilodePrrafoNormal1RdeC"/>
      </w:pPr>
    </w:p>
    <w:p w14:paraId="0E8D6BF4" w14:textId="4673594E"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Normas Básicas de Control Interno (NOBACI)</w:t>
      </w:r>
    </w:p>
    <w:p w14:paraId="627339E5" w14:textId="77777777" w:rsidR="00BC27E9" w:rsidRPr="00954407" w:rsidRDefault="00BC27E9" w:rsidP="00BC27E9">
      <w:pPr>
        <w:pStyle w:val="EstilodePrrafoNormal1RdeC"/>
      </w:pPr>
    </w:p>
    <w:p w14:paraId="7980E041" w14:textId="77777777" w:rsidR="00BC27E9" w:rsidRPr="00954407" w:rsidRDefault="00BC27E9" w:rsidP="00BC27E9">
      <w:pPr>
        <w:pStyle w:val="EstilodePrrafoNormal1RdeC"/>
      </w:pPr>
      <w:r w:rsidRPr="00954407">
        <w:t>Las Normas Básicas de Control Interno (NOBACI) definen el nivel mínimo de calidad o marco general requerido para el control interno del sector público y proveen las bases para que los Sistemas de Administración de Control y las Unidades de Auditoria puedan ser evaluados. A través de su correcta aplicación se alcanzan los objetivos del Sistema de Control Interno.</w:t>
      </w:r>
    </w:p>
    <w:p w14:paraId="60280430" w14:textId="77777777" w:rsidR="00BC27E9" w:rsidRPr="00954407" w:rsidRDefault="00BC27E9" w:rsidP="00BC27E9">
      <w:pPr>
        <w:pStyle w:val="EstilodePrrafoNormal1RdeC"/>
      </w:pPr>
    </w:p>
    <w:p w14:paraId="7A3598E6" w14:textId="77777777" w:rsidR="00BC27E9" w:rsidRDefault="00BC27E9" w:rsidP="00BC27E9">
      <w:pPr>
        <w:pStyle w:val="EstilodePrrafoNormal1RdeC"/>
      </w:pPr>
      <w:r w:rsidRPr="00954407">
        <w:t xml:space="preserve">Objetivos principales de las Normas Básicas de Control Interno: </w:t>
      </w:r>
    </w:p>
    <w:p w14:paraId="7A68D45E" w14:textId="77777777" w:rsidR="00A47C98" w:rsidRPr="00954407" w:rsidRDefault="00A47C98" w:rsidP="00BC27E9">
      <w:pPr>
        <w:pStyle w:val="EstilodePrrafoNormal1RdeC"/>
      </w:pPr>
    </w:p>
    <w:p w14:paraId="7537AC3C" w14:textId="77777777" w:rsidR="00BC27E9" w:rsidRPr="00954407" w:rsidRDefault="00BC27E9" w:rsidP="00A47C98">
      <w:pPr>
        <w:pStyle w:val="EstilodePrrafoNormal1RdeC"/>
        <w:numPr>
          <w:ilvl w:val="0"/>
          <w:numId w:val="214"/>
        </w:numPr>
      </w:pPr>
      <w:r w:rsidRPr="00954407">
        <w:t>Facilitar herramientas para que cada funcionario del sector público pueda crear los procedimientos y reglamentos en concordancia con lo que son las mejores prácticas.</w:t>
      </w:r>
    </w:p>
    <w:p w14:paraId="73D75D39" w14:textId="77777777" w:rsidR="00BC27E9" w:rsidRPr="00954407" w:rsidRDefault="00BC27E9" w:rsidP="00BC27E9">
      <w:pPr>
        <w:pStyle w:val="EstilodePrrafoNormal1RdeC"/>
      </w:pPr>
    </w:p>
    <w:p w14:paraId="28205569" w14:textId="77777777" w:rsidR="00BC27E9" w:rsidRPr="00954407" w:rsidRDefault="00BC27E9" w:rsidP="00A47C98">
      <w:pPr>
        <w:pStyle w:val="EstilodePrrafoNormal1RdeC"/>
        <w:numPr>
          <w:ilvl w:val="0"/>
          <w:numId w:val="214"/>
        </w:numPr>
      </w:pPr>
      <w:r w:rsidRPr="00954407">
        <w:t>Servir de guía para que cada entidad pública ajuste sus propios Sistemas de Administración y Control. En este sentido, los reglamentos, manuales, instructivos o equivalentes deberán reflejar la implantación de las Normas.</w:t>
      </w:r>
    </w:p>
    <w:p w14:paraId="7B7960CD" w14:textId="77777777" w:rsidR="00BC27E9" w:rsidRPr="00954407" w:rsidRDefault="00BC27E9" w:rsidP="00BC27E9">
      <w:pPr>
        <w:pStyle w:val="EstilodePrrafoNormal1RdeC"/>
      </w:pPr>
    </w:p>
    <w:p w14:paraId="7A83997F" w14:textId="77777777" w:rsidR="00BC27E9" w:rsidRPr="00954407" w:rsidRDefault="00BC27E9" w:rsidP="00A47C98">
      <w:pPr>
        <w:pStyle w:val="EstilodePrrafoNormal1RdeC"/>
        <w:numPr>
          <w:ilvl w:val="0"/>
          <w:numId w:val="214"/>
        </w:numPr>
      </w:pPr>
      <w:r w:rsidRPr="00954407">
        <w:t>Servir de instrumento o referente para evaluar el diseño y efectividad del funcionamiento del control interno y la responsabilidad de los servidores públicos relacionados con éste.</w:t>
      </w:r>
    </w:p>
    <w:p w14:paraId="25A49540" w14:textId="77777777" w:rsidR="00BC27E9" w:rsidRPr="00954407" w:rsidRDefault="00BC27E9" w:rsidP="00BC27E9">
      <w:pPr>
        <w:pStyle w:val="EstilodePrrafoNormal1RdeC"/>
      </w:pPr>
    </w:p>
    <w:p w14:paraId="7D7484DC" w14:textId="77777777" w:rsidR="00BC27E9" w:rsidRPr="00954407" w:rsidRDefault="00BC27E9" w:rsidP="00BC27E9">
      <w:pPr>
        <w:pStyle w:val="EstilodePrrafoNormal1RdeC"/>
      </w:pPr>
      <w:r w:rsidRPr="00954407">
        <w:t xml:space="preserve">Actualmente, el Ministerio de Obras Públicas y Comunicaciones (MOPC) </w:t>
      </w:r>
      <w:r w:rsidRPr="00954407">
        <w:lastRenderedPageBreak/>
        <w:t>se encuentra en un nivel satisfactorio en la implementación de las Normas Básicas de Control Interno (NOBACI); a continuación, la calificación al momento de entrega de este informe para cada componente del sistema de control:</w:t>
      </w:r>
    </w:p>
    <w:p w14:paraId="7A19DA4A" w14:textId="77777777" w:rsidR="00BC27E9" w:rsidRPr="00954407" w:rsidRDefault="00BC27E9" w:rsidP="00BC27E9">
      <w:pPr>
        <w:pStyle w:val="EstilodePrrafoNormal1RdeC"/>
      </w:pPr>
    </w:p>
    <w:tbl>
      <w:tblPr>
        <w:tblStyle w:val="Tabladecuadrcula5oscura-nfasis51"/>
        <w:tblW w:w="4630" w:type="pct"/>
        <w:jc w:val="center"/>
        <w:tblLook w:val="04A0" w:firstRow="1" w:lastRow="0" w:firstColumn="1" w:lastColumn="0" w:noHBand="0" w:noVBand="1"/>
      </w:tblPr>
      <w:tblGrid>
        <w:gridCol w:w="4729"/>
        <w:gridCol w:w="2596"/>
      </w:tblGrid>
      <w:tr w:rsidR="00BC27E9" w:rsidRPr="00954407" w14:paraId="74DE91BA" w14:textId="77777777" w:rsidTr="00542ADB">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3228" w:type="pct"/>
            <w:shd w:val="clear" w:color="auto" w:fill="002060"/>
          </w:tcPr>
          <w:p w14:paraId="4CD83827" w14:textId="77777777" w:rsidR="00BC27E9" w:rsidRPr="00542ADB" w:rsidRDefault="00BC27E9" w:rsidP="00542ADB">
            <w:pPr>
              <w:pStyle w:val="EstilodePrrafoNormal1RdeC"/>
              <w:jc w:val="center"/>
              <w:rPr>
                <w:b w:val="0"/>
                <w:bCs w:val="0"/>
                <w:color w:val="FFFFFF" w:themeColor="background1"/>
                <w:spacing w:val="0"/>
              </w:rPr>
            </w:pPr>
            <w:r w:rsidRPr="00542ADB">
              <w:rPr>
                <w:rFonts w:eastAsia="Aptos"/>
                <w:b w:val="0"/>
                <w:bCs w:val="0"/>
                <w:color w:val="FFFFFF" w:themeColor="background1"/>
                <w:spacing w:val="0"/>
                <w:kern w:val="2"/>
                <w:sz w:val="26"/>
                <w:szCs w:val="28"/>
              </w:rPr>
              <w:t>COMPONENTES CONTROL INTERNO</w:t>
            </w:r>
          </w:p>
        </w:tc>
        <w:tc>
          <w:tcPr>
            <w:tcW w:w="1772" w:type="pct"/>
            <w:shd w:val="clear" w:color="auto" w:fill="002060"/>
          </w:tcPr>
          <w:p w14:paraId="1DEEFFF8" w14:textId="77777777" w:rsidR="00BC27E9" w:rsidRPr="00542ADB" w:rsidRDefault="00BC27E9" w:rsidP="00542ADB">
            <w:pPr>
              <w:pStyle w:val="EstilodePrrafoNormal1RdeC"/>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pacing w:val="0"/>
              </w:rPr>
            </w:pPr>
            <w:r w:rsidRPr="00542ADB">
              <w:rPr>
                <w:rFonts w:eastAsia="Aptos"/>
                <w:b w:val="0"/>
                <w:bCs w:val="0"/>
                <w:color w:val="FFFFFF" w:themeColor="background1"/>
                <w:spacing w:val="0"/>
                <w:kern w:val="2"/>
                <w:sz w:val="26"/>
                <w:szCs w:val="28"/>
              </w:rPr>
              <w:t>EVALUACIÓN CGR</w:t>
            </w:r>
          </w:p>
        </w:tc>
      </w:tr>
      <w:tr w:rsidR="00BC27E9" w:rsidRPr="00954407" w14:paraId="36946CC2" w14:textId="77777777" w:rsidTr="00220FA8">
        <w:trPr>
          <w:cnfStyle w:val="000000100000" w:firstRow="0" w:lastRow="0" w:firstColumn="0" w:lastColumn="0" w:oddVBand="0" w:evenVBand="0" w:oddHBand="1" w:evenHBand="0" w:firstRowFirstColumn="0" w:firstRowLastColumn="0" w:lastRowFirstColumn="0" w:lastRowLastColumn="0"/>
          <w:trHeight w:hRule="exact" w:val="428"/>
          <w:jc w:val="center"/>
        </w:trPr>
        <w:tc>
          <w:tcPr>
            <w:cnfStyle w:val="001000000000" w:firstRow="0" w:lastRow="0" w:firstColumn="1" w:lastColumn="0" w:oddVBand="0" w:evenVBand="0" w:oddHBand="0" w:evenHBand="0" w:firstRowFirstColumn="0" w:firstRowLastColumn="0" w:lastRowFirstColumn="0" w:lastRowLastColumn="0"/>
            <w:tcW w:w="3228" w:type="pct"/>
          </w:tcPr>
          <w:p w14:paraId="19897519"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Ambiente de Control</w:t>
            </w:r>
          </w:p>
        </w:tc>
        <w:tc>
          <w:tcPr>
            <w:tcW w:w="1772" w:type="pct"/>
          </w:tcPr>
          <w:p w14:paraId="495E028B"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86.05%</w:t>
            </w:r>
          </w:p>
        </w:tc>
      </w:tr>
      <w:tr w:rsidR="00BC27E9" w:rsidRPr="00954407" w14:paraId="220EF13F" w14:textId="77777777" w:rsidTr="00220FA8">
        <w:trPr>
          <w:trHeight w:hRule="exact" w:val="428"/>
          <w:jc w:val="center"/>
        </w:trPr>
        <w:tc>
          <w:tcPr>
            <w:cnfStyle w:val="001000000000" w:firstRow="0" w:lastRow="0" w:firstColumn="1" w:lastColumn="0" w:oddVBand="0" w:evenVBand="0" w:oddHBand="0" w:evenHBand="0" w:firstRowFirstColumn="0" w:firstRowLastColumn="0" w:lastRowFirstColumn="0" w:lastRowLastColumn="0"/>
            <w:tcW w:w="3228" w:type="pct"/>
          </w:tcPr>
          <w:p w14:paraId="771D1548"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Valoración y Administración de Riesgos</w:t>
            </w:r>
          </w:p>
        </w:tc>
        <w:tc>
          <w:tcPr>
            <w:tcW w:w="1772" w:type="pct"/>
          </w:tcPr>
          <w:p w14:paraId="31C65DF3" w14:textId="77777777" w:rsidR="00BC27E9" w:rsidRPr="00954407" w:rsidRDefault="00BC27E9" w:rsidP="00220FA8">
            <w:pPr>
              <w:pStyle w:val="EstilodePrrafoNormal1RdeC"/>
              <w:cnfStyle w:val="000000000000" w:firstRow="0" w:lastRow="0" w:firstColumn="0" w:lastColumn="0" w:oddVBand="0" w:evenVBand="0" w:oddHBand="0" w:evenHBand="0" w:firstRowFirstColumn="0" w:firstRowLastColumn="0" w:lastRowFirstColumn="0" w:lastRowLastColumn="0"/>
              <w:rPr>
                <w:rFonts w:eastAsia="Aptos"/>
                <w:color w:val="auto"/>
                <w:spacing w:val="0"/>
                <w:kern w:val="2"/>
              </w:rPr>
            </w:pPr>
            <w:r w:rsidRPr="00954407">
              <w:rPr>
                <w:rFonts w:eastAsia="Aptos"/>
                <w:color w:val="auto"/>
                <w:spacing w:val="0"/>
                <w:kern w:val="2"/>
              </w:rPr>
              <w:t>84.00%</w:t>
            </w:r>
          </w:p>
        </w:tc>
      </w:tr>
      <w:tr w:rsidR="00BC27E9" w:rsidRPr="00954407" w14:paraId="2F8D61C2" w14:textId="77777777" w:rsidTr="00220FA8">
        <w:trPr>
          <w:cnfStyle w:val="000000100000" w:firstRow="0" w:lastRow="0" w:firstColumn="0" w:lastColumn="0" w:oddVBand="0" w:evenVBand="0" w:oddHBand="1" w:evenHBand="0" w:firstRowFirstColumn="0" w:firstRowLastColumn="0" w:lastRowFirstColumn="0" w:lastRowLastColumn="0"/>
          <w:trHeight w:hRule="exact" w:val="428"/>
          <w:jc w:val="center"/>
        </w:trPr>
        <w:tc>
          <w:tcPr>
            <w:cnfStyle w:val="001000000000" w:firstRow="0" w:lastRow="0" w:firstColumn="1" w:lastColumn="0" w:oddVBand="0" w:evenVBand="0" w:oddHBand="0" w:evenHBand="0" w:firstRowFirstColumn="0" w:firstRowLastColumn="0" w:lastRowFirstColumn="0" w:lastRowLastColumn="0"/>
            <w:tcW w:w="3228" w:type="pct"/>
          </w:tcPr>
          <w:p w14:paraId="3249B9AE"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Actividades de Control</w:t>
            </w:r>
          </w:p>
        </w:tc>
        <w:tc>
          <w:tcPr>
            <w:tcW w:w="1772" w:type="pct"/>
          </w:tcPr>
          <w:p w14:paraId="5165201A"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88.00%</w:t>
            </w:r>
          </w:p>
        </w:tc>
      </w:tr>
      <w:tr w:rsidR="00BC27E9" w:rsidRPr="00954407" w14:paraId="186276B8" w14:textId="77777777" w:rsidTr="00220FA8">
        <w:trPr>
          <w:trHeight w:hRule="exact" w:val="428"/>
          <w:jc w:val="center"/>
        </w:trPr>
        <w:tc>
          <w:tcPr>
            <w:cnfStyle w:val="001000000000" w:firstRow="0" w:lastRow="0" w:firstColumn="1" w:lastColumn="0" w:oddVBand="0" w:evenVBand="0" w:oddHBand="0" w:evenHBand="0" w:firstRowFirstColumn="0" w:firstRowLastColumn="0" w:lastRowFirstColumn="0" w:lastRowLastColumn="0"/>
            <w:tcW w:w="3228" w:type="pct"/>
          </w:tcPr>
          <w:p w14:paraId="5DEC20EC"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Información y Comunicación</w:t>
            </w:r>
          </w:p>
        </w:tc>
        <w:tc>
          <w:tcPr>
            <w:tcW w:w="1772" w:type="pct"/>
          </w:tcPr>
          <w:p w14:paraId="46B7E895" w14:textId="77777777" w:rsidR="00BC27E9" w:rsidRPr="00954407" w:rsidRDefault="00BC27E9" w:rsidP="00220FA8">
            <w:pPr>
              <w:pStyle w:val="EstilodePrrafoNormal1RdeC"/>
              <w:cnfStyle w:val="000000000000" w:firstRow="0" w:lastRow="0" w:firstColumn="0" w:lastColumn="0" w:oddVBand="0" w:evenVBand="0" w:oddHBand="0" w:evenHBand="0" w:firstRowFirstColumn="0" w:firstRowLastColumn="0" w:lastRowFirstColumn="0" w:lastRowLastColumn="0"/>
              <w:rPr>
                <w:rFonts w:eastAsia="Aptos"/>
                <w:color w:val="auto"/>
                <w:spacing w:val="0"/>
                <w:kern w:val="2"/>
              </w:rPr>
            </w:pPr>
            <w:r w:rsidRPr="00954407">
              <w:rPr>
                <w:rFonts w:eastAsia="Aptos"/>
                <w:color w:val="auto"/>
                <w:spacing w:val="0"/>
                <w:kern w:val="2"/>
              </w:rPr>
              <w:t>63.64%</w:t>
            </w:r>
          </w:p>
        </w:tc>
      </w:tr>
      <w:tr w:rsidR="00BC27E9" w:rsidRPr="00954407" w14:paraId="38A66B79" w14:textId="77777777" w:rsidTr="00220FA8">
        <w:trPr>
          <w:cnfStyle w:val="000000100000" w:firstRow="0" w:lastRow="0" w:firstColumn="0" w:lastColumn="0" w:oddVBand="0" w:evenVBand="0" w:oddHBand="1" w:evenHBand="0" w:firstRowFirstColumn="0" w:firstRowLastColumn="0" w:lastRowFirstColumn="0" w:lastRowLastColumn="0"/>
          <w:trHeight w:hRule="exact" w:val="428"/>
          <w:jc w:val="center"/>
        </w:trPr>
        <w:tc>
          <w:tcPr>
            <w:cnfStyle w:val="001000000000" w:firstRow="0" w:lastRow="0" w:firstColumn="1" w:lastColumn="0" w:oddVBand="0" w:evenVBand="0" w:oddHBand="0" w:evenHBand="0" w:firstRowFirstColumn="0" w:firstRowLastColumn="0" w:lastRowFirstColumn="0" w:lastRowLastColumn="0"/>
            <w:tcW w:w="3228" w:type="pct"/>
          </w:tcPr>
          <w:p w14:paraId="14713B7A"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Monitoreo y Evaluación</w:t>
            </w:r>
          </w:p>
        </w:tc>
        <w:tc>
          <w:tcPr>
            <w:tcW w:w="1772" w:type="pct"/>
          </w:tcPr>
          <w:p w14:paraId="57036780"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100.00%</w:t>
            </w:r>
          </w:p>
        </w:tc>
      </w:tr>
      <w:tr w:rsidR="00BC27E9" w:rsidRPr="00954407" w14:paraId="45F18F02" w14:textId="77777777" w:rsidTr="00220FA8">
        <w:trPr>
          <w:trHeight w:hRule="exact" w:val="428"/>
          <w:jc w:val="center"/>
        </w:trPr>
        <w:tc>
          <w:tcPr>
            <w:cnfStyle w:val="001000000000" w:firstRow="0" w:lastRow="0" w:firstColumn="1" w:lastColumn="0" w:oddVBand="0" w:evenVBand="0" w:oddHBand="0" w:evenHBand="0" w:firstRowFirstColumn="0" w:firstRowLastColumn="0" w:lastRowFirstColumn="0" w:lastRowLastColumn="0"/>
            <w:tcW w:w="3228" w:type="pct"/>
          </w:tcPr>
          <w:p w14:paraId="6375CFDB"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 Total Actual de la Institución</w:t>
            </w:r>
          </w:p>
        </w:tc>
        <w:tc>
          <w:tcPr>
            <w:tcW w:w="1772" w:type="pct"/>
          </w:tcPr>
          <w:p w14:paraId="39B3E8AA" w14:textId="77777777" w:rsidR="00BC27E9" w:rsidRPr="00954407" w:rsidRDefault="00BC27E9" w:rsidP="00220FA8">
            <w:pPr>
              <w:pStyle w:val="EstilodePrrafoNormal1RdeC"/>
              <w:cnfStyle w:val="000000000000" w:firstRow="0" w:lastRow="0" w:firstColumn="0" w:lastColumn="0" w:oddVBand="0" w:evenVBand="0" w:oddHBand="0" w:evenHBand="0" w:firstRowFirstColumn="0" w:firstRowLastColumn="0" w:lastRowFirstColumn="0" w:lastRowLastColumn="0"/>
              <w:rPr>
                <w:rFonts w:eastAsia="Aptos"/>
                <w:color w:val="auto"/>
                <w:spacing w:val="0"/>
                <w:kern w:val="2"/>
              </w:rPr>
            </w:pPr>
            <w:r w:rsidRPr="00954407">
              <w:rPr>
                <w:rFonts w:eastAsia="Aptos"/>
                <w:color w:val="auto"/>
                <w:spacing w:val="0"/>
                <w:kern w:val="2"/>
              </w:rPr>
              <w:t>84.34%</w:t>
            </w:r>
          </w:p>
        </w:tc>
      </w:tr>
    </w:tbl>
    <w:p w14:paraId="56592F5F" w14:textId="77777777" w:rsidR="00BC27E9" w:rsidRPr="00A47C98" w:rsidRDefault="00BC27E9" w:rsidP="00A47C98">
      <w:pPr>
        <w:pStyle w:val="EstilodePrrafoNormal1RdeC"/>
        <w:jc w:val="center"/>
        <w:rPr>
          <w:b/>
          <w:bCs/>
          <w:sz w:val="20"/>
          <w:szCs w:val="20"/>
        </w:rPr>
      </w:pPr>
      <w:r w:rsidRPr="00A47C98">
        <w:rPr>
          <w:b/>
          <w:bCs/>
          <w:sz w:val="20"/>
          <w:szCs w:val="20"/>
        </w:rPr>
        <w:t>Leyenda del Progreso</w:t>
      </w:r>
    </w:p>
    <w:tbl>
      <w:tblPr>
        <w:tblStyle w:val="Tabladecuadrcula4-nfasis52"/>
        <w:tblW w:w="0" w:type="auto"/>
        <w:tblInd w:w="265" w:type="dxa"/>
        <w:tblLook w:val="04A0" w:firstRow="1" w:lastRow="0" w:firstColumn="1" w:lastColumn="0" w:noHBand="0" w:noVBand="1"/>
      </w:tblPr>
      <w:tblGrid>
        <w:gridCol w:w="7380"/>
      </w:tblGrid>
      <w:tr w:rsidR="00BC27E9" w:rsidRPr="00954407" w14:paraId="242F755F" w14:textId="77777777" w:rsidTr="00A47C98">
        <w:trPr>
          <w:cnfStyle w:val="100000000000" w:firstRow="1" w:lastRow="0" w:firstColumn="0" w:lastColumn="0" w:oddVBand="0" w:evenVBand="0" w:oddHBand="0" w:evenHBand="0" w:firstRowFirstColumn="0" w:firstRowLastColumn="0" w:lastRowFirstColumn="0" w:lastRowLastColumn="0"/>
          <w:trHeight w:hRule="exact" w:val="402"/>
        </w:trPr>
        <w:tc>
          <w:tcPr>
            <w:cnfStyle w:val="001000000000" w:firstRow="0" w:lastRow="0" w:firstColumn="1" w:lastColumn="0" w:oddVBand="0" w:evenVBand="0" w:oddHBand="0" w:evenHBand="0" w:firstRowFirstColumn="0" w:firstRowLastColumn="0" w:lastRowFirstColumn="0" w:lastRowLastColumn="0"/>
            <w:tcW w:w="7380" w:type="dxa"/>
          </w:tcPr>
          <w:p w14:paraId="2E418F9E" w14:textId="77777777" w:rsidR="00BC27E9" w:rsidRPr="00954407" w:rsidRDefault="00BC27E9" w:rsidP="00220FA8">
            <w:pPr>
              <w:pStyle w:val="EstilodePrrafoNormal1RdeC"/>
              <w:rPr>
                <w:rFonts w:eastAsia="Arial Unicode MS"/>
                <w:b w:val="0"/>
                <w:bCs w:val="0"/>
                <w:color w:val="auto"/>
                <w:spacing w:val="0"/>
                <w:sz w:val="20"/>
                <w:szCs w:val="20"/>
              </w:rPr>
            </w:pPr>
            <w:r w:rsidRPr="00954407">
              <w:rPr>
                <w:rFonts w:eastAsia="Arial Unicode MS"/>
                <w:b w:val="0"/>
                <w:bCs w:val="0"/>
                <w:color w:val="auto"/>
                <w:spacing w:val="0"/>
                <w:sz w:val="20"/>
                <w:szCs w:val="20"/>
              </w:rPr>
              <w:t>0%-39% Incipiente</w:t>
            </w:r>
          </w:p>
        </w:tc>
      </w:tr>
      <w:tr w:rsidR="00BC27E9" w:rsidRPr="00954407" w14:paraId="30FCACE0" w14:textId="77777777" w:rsidTr="00A47C98">
        <w:trPr>
          <w:cnfStyle w:val="000000100000" w:firstRow="0" w:lastRow="0" w:firstColumn="0" w:lastColumn="0" w:oddVBand="0" w:evenVBand="0" w:oddHBand="1" w:evenHBand="0" w:firstRowFirstColumn="0" w:firstRowLastColumn="0" w:lastRowFirstColumn="0" w:lastRowLastColumn="0"/>
          <w:trHeight w:hRule="exact" w:val="402"/>
        </w:trPr>
        <w:tc>
          <w:tcPr>
            <w:cnfStyle w:val="001000000000" w:firstRow="0" w:lastRow="0" w:firstColumn="1" w:lastColumn="0" w:oddVBand="0" w:evenVBand="0" w:oddHBand="0" w:evenHBand="0" w:firstRowFirstColumn="0" w:firstRowLastColumn="0" w:lastRowFirstColumn="0" w:lastRowLastColumn="0"/>
            <w:tcW w:w="7380" w:type="dxa"/>
          </w:tcPr>
          <w:p w14:paraId="4BB6703D" w14:textId="77777777" w:rsidR="00BC27E9" w:rsidRPr="00954407" w:rsidRDefault="00BC27E9" w:rsidP="00220FA8">
            <w:pPr>
              <w:pStyle w:val="EstilodePrrafoNormal1RdeC"/>
              <w:rPr>
                <w:rFonts w:eastAsia="Arial Unicode MS"/>
                <w:b w:val="0"/>
                <w:bCs w:val="0"/>
                <w:color w:val="auto"/>
                <w:spacing w:val="0"/>
                <w:sz w:val="20"/>
                <w:szCs w:val="20"/>
              </w:rPr>
            </w:pPr>
            <w:r w:rsidRPr="00954407">
              <w:rPr>
                <w:rFonts w:eastAsia="Arial Unicode MS"/>
                <w:b w:val="0"/>
                <w:bCs w:val="0"/>
                <w:color w:val="auto"/>
                <w:spacing w:val="0"/>
                <w:sz w:val="20"/>
                <w:szCs w:val="20"/>
              </w:rPr>
              <w:t>40%-79% Mediano</w:t>
            </w:r>
          </w:p>
        </w:tc>
      </w:tr>
      <w:tr w:rsidR="00BC27E9" w:rsidRPr="00954407" w14:paraId="348EF684" w14:textId="77777777" w:rsidTr="00A47C98">
        <w:trPr>
          <w:trHeight w:hRule="exact" w:val="402"/>
        </w:trPr>
        <w:tc>
          <w:tcPr>
            <w:cnfStyle w:val="001000000000" w:firstRow="0" w:lastRow="0" w:firstColumn="1" w:lastColumn="0" w:oddVBand="0" w:evenVBand="0" w:oddHBand="0" w:evenHBand="0" w:firstRowFirstColumn="0" w:firstRowLastColumn="0" w:lastRowFirstColumn="0" w:lastRowLastColumn="0"/>
            <w:tcW w:w="7380" w:type="dxa"/>
          </w:tcPr>
          <w:p w14:paraId="6880E99C" w14:textId="77777777" w:rsidR="00BC27E9" w:rsidRPr="00954407" w:rsidRDefault="00BC27E9" w:rsidP="00220FA8">
            <w:pPr>
              <w:pStyle w:val="EstilodePrrafoNormal1RdeC"/>
              <w:rPr>
                <w:rFonts w:eastAsia="Arial Unicode MS"/>
                <w:b w:val="0"/>
                <w:bCs w:val="0"/>
                <w:color w:val="auto"/>
                <w:spacing w:val="0"/>
                <w:sz w:val="20"/>
                <w:szCs w:val="20"/>
              </w:rPr>
            </w:pPr>
            <w:r w:rsidRPr="00954407">
              <w:rPr>
                <w:rFonts w:eastAsia="Arial Unicode MS"/>
                <w:b w:val="0"/>
                <w:bCs w:val="0"/>
                <w:color w:val="auto"/>
                <w:spacing w:val="0"/>
                <w:sz w:val="20"/>
                <w:szCs w:val="20"/>
              </w:rPr>
              <w:t>80%-99% Satisfactorio</w:t>
            </w:r>
          </w:p>
        </w:tc>
      </w:tr>
      <w:tr w:rsidR="00BC27E9" w:rsidRPr="00954407" w14:paraId="2533BE2A" w14:textId="77777777" w:rsidTr="00A47C98">
        <w:trPr>
          <w:cnfStyle w:val="000000100000" w:firstRow="0" w:lastRow="0" w:firstColumn="0" w:lastColumn="0" w:oddVBand="0" w:evenVBand="0" w:oddHBand="1" w:evenHBand="0" w:firstRowFirstColumn="0" w:firstRowLastColumn="0" w:lastRowFirstColumn="0" w:lastRowLastColumn="0"/>
          <w:trHeight w:hRule="exact" w:val="402"/>
        </w:trPr>
        <w:tc>
          <w:tcPr>
            <w:cnfStyle w:val="001000000000" w:firstRow="0" w:lastRow="0" w:firstColumn="1" w:lastColumn="0" w:oddVBand="0" w:evenVBand="0" w:oddHBand="0" w:evenHBand="0" w:firstRowFirstColumn="0" w:firstRowLastColumn="0" w:lastRowFirstColumn="0" w:lastRowLastColumn="0"/>
            <w:tcW w:w="7380" w:type="dxa"/>
          </w:tcPr>
          <w:p w14:paraId="6B93EE8E" w14:textId="77777777" w:rsidR="00BC27E9" w:rsidRPr="00954407" w:rsidRDefault="00BC27E9" w:rsidP="00220FA8">
            <w:pPr>
              <w:pStyle w:val="EstilodePrrafoNormal1RdeC"/>
              <w:rPr>
                <w:rFonts w:eastAsia="Arial Unicode MS"/>
                <w:b w:val="0"/>
                <w:bCs w:val="0"/>
                <w:color w:val="auto"/>
                <w:spacing w:val="0"/>
                <w:sz w:val="20"/>
                <w:szCs w:val="20"/>
              </w:rPr>
            </w:pPr>
            <w:r w:rsidRPr="00954407">
              <w:rPr>
                <w:rFonts w:eastAsia="Arial Unicode MS"/>
                <w:b w:val="0"/>
                <w:bCs w:val="0"/>
                <w:color w:val="auto"/>
                <w:spacing w:val="0"/>
                <w:sz w:val="20"/>
                <w:szCs w:val="20"/>
              </w:rPr>
              <w:t>100% Implementado</w:t>
            </w:r>
          </w:p>
        </w:tc>
      </w:tr>
    </w:tbl>
    <w:p w14:paraId="4D131F68" w14:textId="77777777" w:rsidR="00BC27E9" w:rsidRPr="00954407" w:rsidRDefault="00BC27E9" w:rsidP="00BC27E9">
      <w:pPr>
        <w:pStyle w:val="EstilodePrrafoNormal1RdeC"/>
      </w:pPr>
    </w:p>
    <w:p w14:paraId="7271518E" w14:textId="77777777" w:rsidR="00BC27E9" w:rsidRPr="00954407" w:rsidRDefault="00BC27E9" w:rsidP="00BC27E9">
      <w:pPr>
        <w:pStyle w:val="EstilodePrrafoNormal1RdeC"/>
      </w:pPr>
    </w:p>
    <w:p w14:paraId="06A13E10" w14:textId="55066FF7"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 xml:space="preserve">Estadísticas Institucional </w:t>
      </w:r>
    </w:p>
    <w:p w14:paraId="72D69DB6" w14:textId="77777777" w:rsidR="00BC27E9" w:rsidRPr="00954407" w:rsidRDefault="00BC27E9" w:rsidP="00BC27E9">
      <w:pPr>
        <w:pStyle w:val="EstilodePrrafoNormal1RdeC"/>
      </w:pPr>
    </w:p>
    <w:p w14:paraId="32609059" w14:textId="77777777" w:rsidR="00BC27E9" w:rsidRPr="00954407" w:rsidRDefault="00BC27E9" w:rsidP="00BC27E9">
      <w:pPr>
        <w:pStyle w:val="EstilodePrrafoNormal1RdeC"/>
      </w:pPr>
      <w:r w:rsidRPr="00954407">
        <w:t xml:space="preserve">La División de Estadística del MOPC, ejecutó durante el período enero-diciembre del año 2025, las actividades planificadas para dar cumplimiento a los requerimientos del Ministerio de la Administración Pública (MAP) y a los indicadores de competencia, que tienen como objetivo fortalecer y la estandarización de los procesos estadísticos institucionales. </w:t>
      </w:r>
    </w:p>
    <w:p w14:paraId="3D8E73A9" w14:textId="77777777" w:rsidR="00BC27E9" w:rsidRPr="00954407" w:rsidRDefault="00BC27E9" w:rsidP="00BC27E9">
      <w:pPr>
        <w:pStyle w:val="EstilodePrrafoNormal1RdeC"/>
      </w:pPr>
    </w:p>
    <w:p w14:paraId="1CF7DF42" w14:textId="75CA3B30" w:rsidR="00BC27E9" w:rsidRPr="00954407" w:rsidRDefault="00BC27E9" w:rsidP="00BC27E9">
      <w:pPr>
        <w:pStyle w:val="EstilodePrrafoNormal1RdeC"/>
      </w:pPr>
      <w:r w:rsidRPr="00954407">
        <w:t xml:space="preserve">Como instrumento clave para coordinar y planificar la producción de estadísticas oficiales del país y con el objetivo de generar información de calidad para el desarrollo de políticas públicas; dando cumplimiento a lo </w:t>
      </w:r>
      <w:r w:rsidRPr="00954407">
        <w:lastRenderedPageBreak/>
        <w:t>establecido por la Estrategia Nacional de Desarrollo (END), el Plan Nacional de Estadísticas, los Objetivos de Desarrollo Sostenible (ODS), así como los objetivos trazados por los organismos reguladores en materia de eliminación de cualquier forma de divulgación inadecuada y priorizar la calidad de los servicios de la institución tal como se refleja en la Ley No. 5096 de estadística.</w:t>
      </w:r>
    </w:p>
    <w:p w14:paraId="6C3C97AD" w14:textId="77777777" w:rsidR="00BC27E9" w:rsidRPr="00954407" w:rsidRDefault="00BC27E9" w:rsidP="00BC27E9">
      <w:pPr>
        <w:pStyle w:val="EstilodePrrafoNormal1RdeC"/>
      </w:pPr>
      <w:r w:rsidRPr="00954407">
        <w:t xml:space="preserve"> </w:t>
      </w:r>
    </w:p>
    <w:p w14:paraId="6B93CA98" w14:textId="77777777" w:rsidR="00BC27E9" w:rsidRPr="00A47C98" w:rsidRDefault="00BC27E9" w:rsidP="00BC27E9">
      <w:pPr>
        <w:pStyle w:val="EstilodePrrafoNormal1RdeC"/>
        <w:rPr>
          <w:b/>
          <w:bCs/>
        </w:rPr>
      </w:pPr>
      <w:r w:rsidRPr="00A47C98">
        <w:rPr>
          <w:b/>
          <w:bCs/>
        </w:rPr>
        <w:t>Modelo Estadístico Institucional</w:t>
      </w:r>
    </w:p>
    <w:p w14:paraId="1FD02813" w14:textId="584802BB" w:rsidR="00BC27E9" w:rsidRPr="00954407" w:rsidRDefault="00BC27E9" w:rsidP="00BC27E9">
      <w:pPr>
        <w:pStyle w:val="EstilodePrrafoNormal1RdeC"/>
      </w:pPr>
    </w:p>
    <w:p w14:paraId="0F9E2850" w14:textId="4B0A11EB" w:rsidR="00BC27E9" w:rsidRPr="00954407" w:rsidRDefault="00BC27E9" w:rsidP="00BC27E9">
      <w:pPr>
        <w:pStyle w:val="EstilodePrrafoNormal1RdeC"/>
      </w:pPr>
      <w:r w:rsidRPr="00954407">
        <w:t>Elaboración del procedimiento de generación de información institucional y de producción de información del MOPC. Este informe contiene los procesos de producción de información de las Direcciones priorizadas en el compromiso de los servicios. En este informe se reflejan la desagregación de los servicios brindados por mes durante el año 2025.  El cuadro siguiente, presenta el diagnóstico de situación de la producción estadística del MOPC:</w:t>
      </w:r>
    </w:p>
    <w:p w14:paraId="417D3C82" w14:textId="5C5E3AE9" w:rsidR="00BC27E9" w:rsidRDefault="00A47C98" w:rsidP="00BC27E9">
      <w:pPr>
        <w:pStyle w:val="EstilodePrrafoNormal1RdeC"/>
      </w:pPr>
      <w:r w:rsidRPr="00954407">
        <w:rPr>
          <w:noProof/>
          <w:lang w:eastAsia="es-DO"/>
        </w:rPr>
        <w:drawing>
          <wp:anchor distT="0" distB="0" distL="114300" distR="114300" simplePos="0" relativeHeight="251707392" behindDoc="0" locked="0" layoutInCell="1" allowOverlap="1" wp14:anchorId="7F101384" wp14:editId="399726FA">
            <wp:simplePos x="0" y="0"/>
            <wp:positionH relativeFrom="column">
              <wp:posOffset>107950</wp:posOffset>
            </wp:positionH>
            <wp:positionV relativeFrom="paragraph">
              <wp:posOffset>153035</wp:posOffset>
            </wp:positionV>
            <wp:extent cx="4774565" cy="3879215"/>
            <wp:effectExtent l="133350" t="133350" r="140335" b="1403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781769" cy="3885068"/>
                    </a:xfrm>
                    <a:prstGeom prst="rect">
                      <a:avLst/>
                    </a:prstGeom>
                    <a:noFill/>
                    <a:effectLst>
                      <a:glow rad="127000">
                        <a:schemeClr val="bg2"/>
                      </a:glow>
                    </a:effectLst>
                  </pic:spPr>
                </pic:pic>
              </a:graphicData>
            </a:graphic>
            <wp14:sizeRelH relativeFrom="margin">
              <wp14:pctWidth>0</wp14:pctWidth>
            </wp14:sizeRelH>
            <wp14:sizeRelV relativeFrom="margin">
              <wp14:pctHeight>0</wp14:pctHeight>
            </wp14:sizeRelV>
          </wp:anchor>
        </w:drawing>
      </w:r>
    </w:p>
    <w:p w14:paraId="7F2B95CF" w14:textId="77777777" w:rsidR="00A47C98" w:rsidRDefault="00A47C98" w:rsidP="00BC27E9">
      <w:pPr>
        <w:pStyle w:val="EstilodePrrafoNormal1RdeC"/>
      </w:pPr>
    </w:p>
    <w:p w14:paraId="2E97F74C" w14:textId="77777777" w:rsidR="00A47C98" w:rsidRDefault="00A47C98" w:rsidP="00BC27E9">
      <w:pPr>
        <w:pStyle w:val="EstilodePrrafoNormal1RdeC"/>
      </w:pPr>
    </w:p>
    <w:p w14:paraId="1A9AD17B" w14:textId="77777777" w:rsidR="00A47C98" w:rsidRDefault="00A47C98" w:rsidP="00BC27E9">
      <w:pPr>
        <w:pStyle w:val="EstilodePrrafoNormal1RdeC"/>
      </w:pPr>
    </w:p>
    <w:p w14:paraId="3329CAFD" w14:textId="77777777" w:rsidR="00A47C98" w:rsidRDefault="00A47C98" w:rsidP="00BC27E9">
      <w:pPr>
        <w:pStyle w:val="EstilodePrrafoNormal1RdeC"/>
      </w:pPr>
    </w:p>
    <w:p w14:paraId="42781D2C" w14:textId="77777777" w:rsidR="00A47C98" w:rsidRDefault="00A47C98" w:rsidP="00BC27E9">
      <w:pPr>
        <w:pStyle w:val="EstilodePrrafoNormal1RdeC"/>
      </w:pPr>
    </w:p>
    <w:p w14:paraId="5BD50D5D" w14:textId="77777777" w:rsidR="00A47C98" w:rsidRDefault="00A47C98" w:rsidP="00BC27E9">
      <w:pPr>
        <w:pStyle w:val="EstilodePrrafoNormal1RdeC"/>
      </w:pPr>
    </w:p>
    <w:p w14:paraId="18E192AB" w14:textId="77777777" w:rsidR="00A47C98" w:rsidRDefault="00A47C98" w:rsidP="00BC27E9">
      <w:pPr>
        <w:pStyle w:val="EstilodePrrafoNormal1RdeC"/>
      </w:pPr>
    </w:p>
    <w:p w14:paraId="28F4007F" w14:textId="77777777" w:rsidR="00A47C98" w:rsidRDefault="00A47C98" w:rsidP="00BC27E9">
      <w:pPr>
        <w:pStyle w:val="EstilodePrrafoNormal1RdeC"/>
      </w:pPr>
    </w:p>
    <w:p w14:paraId="7A2063C0" w14:textId="77777777" w:rsidR="00A47C98" w:rsidRDefault="00A47C98" w:rsidP="00BC27E9">
      <w:pPr>
        <w:pStyle w:val="EstilodePrrafoNormal1RdeC"/>
      </w:pPr>
    </w:p>
    <w:p w14:paraId="56D8A61C" w14:textId="77777777" w:rsidR="00A47C98" w:rsidRDefault="00A47C98" w:rsidP="00BC27E9">
      <w:pPr>
        <w:pStyle w:val="EstilodePrrafoNormal1RdeC"/>
      </w:pPr>
    </w:p>
    <w:p w14:paraId="7661033B" w14:textId="77777777" w:rsidR="00A47C98" w:rsidRDefault="00A47C98" w:rsidP="00BC27E9">
      <w:pPr>
        <w:pStyle w:val="EstilodePrrafoNormal1RdeC"/>
      </w:pPr>
    </w:p>
    <w:p w14:paraId="7D0AA446" w14:textId="77777777" w:rsidR="00A47C98" w:rsidRDefault="00A47C98" w:rsidP="00BC27E9">
      <w:pPr>
        <w:pStyle w:val="EstilodePrrafoNormal1RdeC"/>
      </w:pPr>
    </w:p>
    <w:p w14:paraId="525A0BBB" w14:textId="77777777" w:rsidR="00A47C98" w:rsidRDefault="00A47C98" w:rsidP="00BC27E9">
      <w:pPr>
        <w:pStyle w:val="EstilodePrrafoNormal1RdeC"/>
      </w:pPr>
    </w:p>
    <w:p w14:paraId="64D1E25D" w14:textId="77777777" w:rsidR="00A47C98" w:rsidRDefault="00A47C98" w:rsidP="00BC27E9">
      <w:pPr>
        <w:pStyle w:val="EstilodePrrafoNormal1RdeC"/>
      </w:pPr>
    </w:p>
    <w:p w14:paraId="52AC39FD" w14:textId="77777777" w:rsidR="00A47C98" w:rsidRPr="00954407" w:rsidRDefault="00A47C98" w:rsidP="00BC27E9">
      <w:pPr>
        <w:pStyle w:val="EstilodePrrafoNormal1RdeC"/>
      </w:pPr>
    </w:p>
    <w:p w14:paraId="3255C131" w14:textId="6D005812" w:rsidR="00BC27E9" w:rsidRPr="00954407" w:rsidRDefault="00BC27E9" w:rsidP="00BC27E9">
      <w:pPr>
        <w:pStyle w:val="EstilodePrrafoNormal1RdeC"/>
      </w:pPr>
      <w:r w:rsidRPr="00954407">
        <w:lastRenderedPageBreak/>
        <w:t xml:space="preserve">El cuadro anterior, presenta el proceso utilizado para monitorear y clasificar los servicios brindados como está definido en la estructura de los indicadores propuestos para el modelo estadístico del MOPC. </w:t>
      </w:r>
    </w:p>
    <w:p w14:paraId="1EE153AA" w14:textId="70BBD7F7" w:rsidR="00BC27E9" w:rsidRPr="00954407" w:rsidRDefault="00BC27E9" w:rsidP="00BC27E9">
      <w:pPr>
        <w:pStyle w:val="EstilodePrrafoNormal1RdeC"/>
      </w:pPr>
    </w:p>
    <w:p w14:paraId="45535296" w14:textId="1C5D4657" w:rsidR="00BC27E9" w:rsidRPr="00954407" w:rsidRDefault="00BC27E9" w:rsidP="00BC27E9">
      <w:pPr>
        <w:pStyle w:val="EstilodePrrafoNormal1RdeC"/>
      </w:pPr>
      <w:r w:rsidRPr="00954407">
        <w:t>Dentro de los servicios están los que tienen un compromiso asumido según la ley 41-08 y 107-13 sobre derecho y deberes del ciudadano; y mediante mediciones (encuestas), se busca conocer la satisfacción del ciudadano que recibe el servicio y poder mejorar la calidad de los servicios siguientes:</w:t>
      </w:r>
    </w:p>
    <w:p w14:paraId="28941651" w14:textId="77777777" w:rsidR="00BC27E9" w:rsidRPr="00954407" w:rsidRDefault="00BC27E9" w:rsidP="00BC27E9">
      <w:pPr>
        <w:pStyle w:val="EstilodePrrafoNormal1RdeC"/>
      </w:pPr>
    </w:p>
    <w:p w14:paraId="5428E263" w14:textId="77777777" w:rsidR="00BC27E9" w:rsidRPr="00954407" w:rsidRDefault="00BC27E9" w:rsidP="00A47C98">
      <w:pPr>
        <w:pStyle w:val="EstilodePrrafoNormal1RdeC"/>
        <w:numPr>
          <w:ilvl w:val="0"/>
          <w:numId w:val="215"/>
        </w:numPr>
      </w:pPr>
      <w:r w:rsidRPr="00954407">
        <w:t>Asistencia y Protección Vial (COMIPOL)</w:t>
      </w:r>
    </w:p>
    <w:p w14:paraId="73EDB590" w14:textId="77777777" w:rsidR="00BC27E9" w:rsidRPr="00954407" w:rsidRDefault="00BC27E9" w:rsidP="00A47C98">
      <w:pPr>
        <w:pStyle w:val="EstilodePrrafoNormal1RdeC"/>
        <w:numPr>
          <w:ilvl w:val="0"/>
          <w:numId w:val="215"/>
        </w:numPr>
      </w:pPr>
      <w:r w:rsidRPr="00954407">
        <w:t>Paso Rápido (RD-Vial)</w:t>
      </w:r>
    </w:p>
    <w:p w14:paraId="24CA7EB5" w14:textId="77777777" w:rsidR="00BC27E9" w:rsidRPr="00954407" w:rsidRDefault="00BC27E9" w:rsidP="00A47C98">
      <w:pPr>
        <w:pStyle w:val="EstilodePrrafoNormal1RdeC"/>
        <w:numPr>
          <w:ilvl w:val="0"/>
          <w:numId w:val="215"/>
        </w:numPr>
      </w:pPr>
      <w:r w:rsidRPr="00954407">
        <w:t>Mantenimiento Vial</w:t>
      </w:r>
    </w:p>
    <w:p w14:paraId="076BBE06" w14:textId="77777777" w:rsidR="00BC27E9" w:rsidRPr="00954407" w:rsidRDefault="00BC27E9" w:rsidP="00BC27E9">
      <w:pPr>
        <w:pStyle w:val="EstilodePrrafoNormal1RdeC"/>
      </w:pPr>
    </w:p>
    <w:p w14:paraId="4B65AA1C" w14:textId="18E1DAD0" w:rsidR="00BC27E9" w:rsidRPr="00A47C98" w:rsidRDefault="00BC27E9" w:rsidP="00BC27E9">
      <w:pPr>
        <w:pStyle w:val="EstilodePrrafoNormal1RdeC"/>
        <w:rPr>
          <w:b/>
          <w:bCs/>
        </w:rPr>
      </w:pPr>
      <w:r w:rsidRPr="00A47C98">
        <w:rPr>
          <w:b/>
          <w:bCs/>
        </w:rPr>
        <w:t xml:space="preserve">Encuesta de </w:t>
      </w:r>
      <w:r w:rsidR="00A47C98" w:rsidRPr="00A47C98">
        <w:rPr>
          <w:b/>
          <w:bCs/>
        </w:rPr>
        <w:t>Satisfacción</w:t>
      </w:r>
      <w:r w:rsidRPr="00A47C98">
        <w:rPr>
          <w:b/>
          <w:bCs/>
        </w:rPr>
        <w:t xml:space="preserve"> para Evaluar Calidad de Servicios </w:t>
      </w:r>
      <w:r w:rsidR="00A47C98" w:rsidRPr="00A47C98">
        <w:rPr>
          <w:b/>
          <w:bCs/>
        </w:rPr>
        <w:t>Públicos</w:t>
      </w:r>
      <w:r w:rsidRPr="00A47C98">
        <w:rPr>
          <w:b/>
          <w:bCs/>
        </w:rPr>
        <w:t xml:space="preserve"> MOPC</w:t>
      </w:r>
    </w:p>
    <w:p w14:paraId="163BBFAA" w14:textId="77777777" w:rsidR="00BC27E9" w:rsidRPr="00954407" w:rsidRDefault="00BC27E9" w:rsidP="00BC27E9">
      <w:pPr>
        <w:pStyle w:val="EstilodePrrafoNormal1RdeC"/>
      </w:pPr>
    </w:p>
    <w:p w14:paraId="0D34A37E" w14:textId="77777777" w:rsidR="00BC27E9" w:rsidRPr="00954407" w:rsidRDefault="00BC27E9" w:rsidP="00BC27E9">
      <w:pPr>
        <w:pStyle w:val="EstilodePrrafoNormal1RdeC"/>
      </w:pPr>
      <w:r w:rsidRPr="00954407">
        <w:t>Esta encuesta es un requerimiento del Ministerio de Administración Pública (MAP) con el objetivo de conocer la satisfacción de los usuarios con los servicios que se ofrecen en las instituciones del sector público. Este producto se utiliza como medio de verificación para los indicadores 01.4 Carta Compromiso, 01.6 Monitoreo sobre la Calidad de los Servicios ofrecidos por la institución y el 01.7 Índice de Satisfacción Ciudadana del SISMAP.</w:t>
      </w:r>
    </w:p>
    <w:p w14:paraId="3770DE3C" w14:textId="77777777" w:rsidR="00BC27E9" w:rsidRPr="00954407" w:rsidRDefault="00BC27E9" w:rsidP="00BC27E9">
      <w:pPr>
        <w:pStyle w:val="EstilodePrrafoNormal1RdeC"/>
      </w:pPr>
      <w:r w:rsidRPr="00954407">
        <w:t xml:space="preserve"> </w:t>
      </w:r>
    </w:p>
    <w:p w14:paraId="000A65E3" w14:textId="77777777" w:rsidR="00BC27E9" w:rsidRPr="00954407" w:rsidRDefault="00BC27E9" w:rsidP="00BC27E9">
      <w:pPr>
        <w:pStyle w:val="EstilodePrrafoNormal1RdeC"/>
      </w:pPr>
      <w:r w:rsidRPr="00954407">
        <w:t xml:space="preserve">Las encuestas se realizaron utilizando la plataforma de monitoreo de los servicios públicos del SISMAP, para los servicios del MOPC identificados como de mayor demanda para el ciudadano, específicamente: Asistencia Vial, Mantenimiento Vial, y Paso Rápido, Sección de Pasantía, Solicitud y Descarga de Reglamentos, Solicitud de estacionamiento, Calificación para Laboratorio apto para Ensayos, Calificación de empresas para levantamientos estructural, Calificación para Estudios Geotécnicos Ext. En </w:t>
      </w:r>
      <w:r w:rsidRPr="00954407">
        <w:lastRenderedPageBreak/>
        <w:t>las mismas fueron evaluadas las siguientes dimensiones del servicio: Fiabilidad, Capacidad de respuesta, Seguridad, Empatía, y elementos tangibles.</w:t>
      </w:r>
    </w:p>
    <w:p w14:paraId="29F370E2" w14:textId="77777777" w:rsidR="00BC27E9" w:rsidRPr="00954407" w:rsidRDefault="00BC27E9" w:rsidP="00BC27E9">
      <w:pPr>
        <w:pStyle w:val="EstilodePrrafoNormal1RdeC"/>
      </w:pPr>
    </w:p>
    <w:p w14:paraId="2462C525" w14:textId="77777777" w:rsidR="00BC27E9" w:rsidRPr="00954407" w:rsidRDefault="00BC27E9" w:rsidP="00BC27E9">
      <w:pPr>
        <w:pStyle w:val="EstilodePrrafoNormal1RdeC"/>
      </w:pPr>
    </w:p>
    <w:p w14:paraId="7C31EE56" w14:textId="77777777" w:rsidR="00BC27E9" w:rsidRPr="00A47C98" w:rsidRDefault="00BC27E9" w:rsidP="00A47C98">
      <w:pPr>
        <w:pStyle w:val="EstilodePrrafoNormal1RdeC"/>
        <w:jc w:val="center"/>
        <w:rPr>
          <w:b/>
          <w:bCs/>
        </w:rPr>
      </w:pPr>
      <w:r w:rsidRPr="00A47C98">
        <w:rPr>
          <w:b/>
          <w:bCs/>
        </w:rPr>
        <w:t>Resultados promedios Encuesta de Satisfacción para Evaluar la Calidad de los Servicios Públicos MOPC. 2024.</w:t>
      </w:r>
    </w:p>
    <w:tbl>
      <w:tblPr>
        <w:tblStyle w:val="Tabladecuadrcula4-nfasis51"/>
        <w:tblW w:w="8559" w:type="dxa"/>
        <w:tblLook w:val="04A0" w:firstRow="1" w:lastRow="0" w:firstColumn="1" w:lastColumn="0" w:noHBand="0" w:noVBand="1"/>
      </w:tblPr>
      <w:tblGrid>
        <w:gridCol w:w="2721"/>
        <w:gridCol w:w="1946"/>
        <w:gridCol w:w="1946"/>
        <w:gridCol w:w="1946"/>
      </w:tblGrid>
      <w:tr w:rsidR="00BC27E9" w:rsidRPr="00954407" w14:paraId="3B122194" w14:textId="77777777" w:rsidTr="00A47C98">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21" w:type="dxa"/>
            <w:shd w:val="clear" w:color="auto" w:fill="002060"/>
          </w:tcPr>
          <w:p w14:paraId="2291478A" w14:textId="2FEFA5A8" w:rsidR="00BC27E9" w:rsidRPr="00954407" w:rsidRDefault="00BC27E9" w:rsidP="00A47C98">
            <w:pPr>
              <w:pStyle w:val="EstilodePrrafoNormal1RdeC"/>
              <w:jc w:val="center"/>
              <w:rPr>
                <w:rFonts w:eastAsia="Aptos"/>
                <w:b w:val="0"/>
                <w:bCs w:val="0"/>
                <w:color w:val="auto"/>
                <w:spacing w:val="0"/>
                <w:kern w:val="2"/>
              </w:rPr>
            </w:pPr>
            <w:r w:rsidRPr="00954407">
              <w:rPr>
                <w:rFonts w:eastAsia="Aptos"/>
                <w:b w:val="0"/>
                <w:bCs w:val="0"/>
                <w:color w:val="auto"/>
                <w:spacing w:val="0"/>
                <w:kern w:val="2"/>
              </w:rPr>
              <w:t>INDICADORES</w:t>
            </w:r>
          </w:p>
        </w:tc>
        <w:tc>
          <w:tcPr>
            <w:tcW w:w="1946" w:type="dxa"/>
            <w:shd w:val="clear" w:color="auto" w:fill="002060"/>
          </w:tcPr>
          <w:p w14:paraId="3A723AFF" w14:textId="77777777" w:rsidR="00BC27E9" w:rsidRPr="00954407" w:rsidRDefault="00BC27E9" w:rsidP="00A47C98">
            <w:pPr>
              <w:pStyle w:val="EstilodePrrafoNormal1RdeC"/>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auto"/>
                <w:spacing w:val="0"/>
                <w:kern w:val="2"/>
              </w:rPr>
            </w:pPr>
            <w:r w:rsidRPr="00954407">
              <w:rPr>
                <w:rFonts w:eastAsia="Aptos"/>
                <w:b w:val="0"/>
                <w:bCs w:val="0"/>
                <w:color w:val="auto"/>
                <w:spacing w:val="0"/>
                <w:kern w:val="2"/>
              </w:rPr>
              <w:t>AÑO</w:t>
            </w:r>
          </w:p>
        </w:tc>
        <w:tc>
          <w:tcPr>
            <w:tcW w:w="1946" w:type="dxa"/>
            <w:shd w:val="clear" w:color="auto" w:fill="002060"/>
          </w:tcPr>
          <w:p w14:paraId="4B4E1583" w14:textId="77777777" w:rsidR="00BC27E9" w:rsidRPr="00954407" w:rsidRDefault="00BC27E9" w:rsidP="00A47C98">
            <w:pPr>
              <w:pStyle w:val="EstilodePrrafoNormal1RdeC"/>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auto"/>
                <w:spacing w:val="0"/>
                <w:kern w:val="2"/>
              </w:rPr>
            </w:pPr>
            <w:r w:rsidRPr="00954407">
              <w:rPr>
                <w:rFonts w:eastAsia="Aptos"/>
                <w:b w:val="0"/>
                <w:bCs w:val="0"/>
                <w:color w:val="auto"/>
                <w:spacing w:val="0"/>
                <w:kern w:val="2"/>
              </w:rPr>
              <w:t># - IND</w:t>
            </w:r>
          </w:p>
        </w:tc>
        <w:tc>
          <w:tcPr>
            <w:tcW w:w="1946" w:type="dxa"/>
            <w:shd w:val="clear" w:color="auto" w:fill="002060"/>
          </w:tcPr>
          <w:p w14:paraId="0D9C2A5E" w14:textId="77777777" w:rsidR="00BC27E9" w:rsidRPr="00954407" w:rsidRDefault="00BC27E9" w:rsidP="00A47C98">
            <w:pPr>
              <w:pStyle w:val="EstilodePrrafoNormal1RdeC"/>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auto"/>
                <w:spacing w:val="0"/>
                <w:kern w:val="2"/>
              </w:rPr>
            </w:pPr>
            <w:r w:rsidRPr="00954407">
              <w:rPr>
                <w:rFonts w:eastAsia="Aptos"/>
                <w:b w:val="0"/>
                <w:bCs w:val="0"/>
                <w:color w:val="auto"/>
                <w:spacing w:val="0"/>
                <w:kern w:val="2"/>
              </w:rPr>
              <w:t>VALOR</w:t>
            </w:r>
          </w:p>
        </w:tc>
      </w:tr>
      <w:tr w:rsidR="00BC27E9" w:rsidRPr="00954407" w14:paraId="3164CBB8" w14:textId="77777777" w:rsidTr="00220F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21" w:type="dxa"/>
          </w:tcPr>
          <w:p w14:paraId="419F04E8"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Monitoreo de los servicios</w:t>
            </w:r>
          </w:p>
        </w:tc>
        <w:tc>
          <w:tcPr>
            <w:tcW w:w="1946" w:type="dxa"/>
          </w:tcPr>
          <w:p w14:paraId="0C8BFF77"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2025</w:t>
            </w:r>
          </w:p>
        </w:tc>
        <w:tc>
          <w:tcPr>
            <w:tcW w:w="1946" w:type="dxa"/>
          </w:tcPr>
          <w:p w14:paraId="71D44122"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01.6</w:t>
            </w:r>
          </w:p>
        </w:tc>
        <w:tc>
          <w:tcPr>
            <w:tcW w:w="1946" w:type="dxa"/>
          </w:tcPr>
          <w:p w14:paraId="76D3AB6F"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100%</w:t>
            </w:r>
          </w:p>
        </w:tc>
      </w:tr>
      <w:tr w:rsidR="00BC27E9" w:rsidRPr="00954407" w14:paraId="66EB1DED" w14:textId="77777777" w:rsidTr="00220FA8">
        <w:trPr>
          <w:trHeight w:val="576"/>
        </w:trPr>
        <w:tc>
          <w:tcPr>
            <w:cnfStyle w:val="001000000000" w:firstRow="0" w:lastRow="0" w:firstColumn="1" w:lastColumn="0" w:oddVBand="0" w:evenVBand="0" w:oddHBand="0" w:evenHBand="0" w:firstRowFirstColumn="0" w:firstRowLastColumn="0" w:lastRowFirstColumn="0" w:lastRowLastColumn="0"/>
            <w:tcW w:w="2721" w:type="dxa"/>
          </w:tcPr>
          <w:p w14:paraId="02E81835"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Satisfacción Ciudadana</w:t>
            </w:r>
          </w:p>
        </w:tc>
        <w:tc>
          <w:tcPr>
            <w:tcW w:w="1946" w:type="dxa"/>
          </w:tcPr>
          <w:p w14:paraId="1CF54BE0" w14:textId="77777777" w:rsidR="00BC27E9" w:rsidRPr="00954407" w:rsidRDefault="00BC27E9" w:rsidP="00220FA8">
            <w:pPr>
              <w:pStyle w:val="EstilodePrrafoNormal1RdeC"/>
              <w:cnfStyle w:val="000000000000" w:firstRow="0" w:lastRow="0" w:firstColumn="0" w:lastColumn="0" w:oddVBand="0" w:evenVBand="0" w:oddHBand="0" w:evenHBand="0" w:firstRowFirstColumn="0" w:firstRowLastColumn="0" w:lastRowFirstColumn="0" w:lastRowLastColumn="0"/>
              <w:rPr>
                <w:rFonts w:eastAsia="Aptos"/>
                <w:color w:val="auto"/>
                <w:spacing w:val="0"/>
                <w:kern w:val="2"/>
              </w:rPr>
            </w:pPr>
            <w:r w:rsidRPr="00954407">
              <w:rPr>
                <w:rFonts w:eastAsia="Aptos"/>
                <w:color w:val="auto"/>
                <w:spacing w:val="0"/>
                <w:kern w:val="2"/>
              </w:rPr>
              <w:t>2025</w:t>
            </w:r>
          </w:p>
        </w:tc>
        <w:tc>
          <w:tcPr>
            <w:tcW w:w="1946" w:type="dxa"/>
          </w:tcPr>
          <w:p w14:paraId="096C80B6" w14:textId="77777777" w:rsidR="00BC27E9" w:rsidRPr="00954407" w:rsidRDefault="00BC27E9" w:rsidP="00220FA8">
            <w:pPr>
              <w:pStyle w:val="EstilodePrrafoNormal1RdeC"/>
              <w:cnfStyle w:val="000000000000" w:firstRow="0" w:lastRow="0" w:firstColumn="0" w:lastColumn="0" w:oddVBand="0" w:evenVBand="0" w:oddHBand="0" w:evenHBand="0" w:firstRowFirstColumn="0" w:firstRowLastColumn="0" w:lastRowFirstColumn="0" w:lastRowLastColumn="0"/>
              <w:rPr>
                <w:rFonts w:eastAsia="Aptos"/>
                <w:color w:val="auto"/>
                <w:spacing w:val="0"/>
                <w:kern w:val="2"/>
              </w:rPr>
            </w:pPr>
            <w:r w:rsidRPr="00954407">
              <w:rPr>
                <w:rFonts w:eastAsia="Aptos"/>
                <w:color w:val="auto"/>
                <w:spacing w:val="0"/>
                <w:kern w:val="2"/>
              </w:rPr>
              <w:t>01.7</w:t>
            </w:r>
          </w:p>
        </w:tc>
        <w:tc>
          <w:tcPr>
            <w:tcW w:w="1946" w:type="dxa"/>
          </w:tcPr>
          <w:p w14:paraId="2292704E" w14:textId="77777777" w:rsidR="00BC27E9" w:rsidRPr="00954407" w:rsidRDefault="00BC27E9" w:rsidP="00220FA8">
            <w:pPr>
              <w:pStyle w:val="EstilodePrrafoNormal1RdeC"/>
              <w:cnfStyle w:val="000000000000" w:firstRow="0" w:lastRow="0" w:firstColumn="0" w:lastColumn="0" w:oddVBand="0" w:evenVBand="0" w:oddHBand="0" w:evenHBand="0" w:firstRowFirstColumn="0" w:firstRowLastColumn="0" w:lastRowFirstColumn="0" w:lastRowLastColumn="0"/>
              <w:rPr>
                <w:rFonts w:eastAsia="Aptos"/>
                <w:color w:val="auto"/>
                <w:spacing w:val="0"/>
                <w:kern w:val="2"/>
              </w:rPr>
            </w:pPr>
            <w:r w:rsidRPr="00954407">
              <w:rPr>
                <w:rFonts w:eastAsia="Aptos"/>
                <w:color w:val="auto"/>
                <w:spacing w:val="0"/>
                <w:kern w:val="2"/>
              </w:rPr>
              <w:t>84%</w:t>
            </w:r>
          </w:p>
        </w:tc>
      </w:tr>
      <w:tr w:rsidR="00BC27E9" w:rsidRPr="00954407" w14:paraId="3CD754F0" w14:textId="77777777" w:rsidTr="00220FA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721" w:type="dxa"/>
          </w:tcPr>
          <w:p w14:paraId="64E7F2C6" w14:textId="77777777" w:rsidR="00BC27E9" w:rsidRPr="00954407" w:rsidRDefault="00BC27E9" w:rsidP="00220FA8">
            <w:pPr>
              <w:pStyle w:val="EstilodePrrafoNormal1RdeC"/>
              <w:rPr>
                <w:rFonts w:eastAsia="Aptos"/>
                <w:b w:val="0"/>
                <w:bCs w:val="0"/>
                <w:color w:val="auto"/>
                <w:spacing w:val="0"/>
                <w:kern w:val="2"/>
              </w:rPr>
            </w:pPr>
            <w:r w:rsidRPr="00954407">
              <w:rPr>
                <w:rFonts w:eastAsia="Aptos"/>
                <w:b w:val="0"/>
                <w:bCs w:val="0"/>
                <w:color w:val="auto"/>
                <w:spacing w:val="0"/>
                <w:kern w:val="2"/>
              </w:rPr>
              <w:t>Carta Compromiso</w:t>
            </w:r>
          </w:p>
        </w:tc>
        <w:tc>
          <w:tcPr>
            <w:tcW w:w="1946" w:type="dxa"/>
          </w:tcPr>
          <w:p w14:paraId="3159826D"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2025</w:t>
            </w:r>
          </w:p>
        </w:tc>
        <w:tc>
          <w:tcPr>
            <w:tcW w:w="1946" w:type="dxa"/>
          </w:tcPr>
          <w:p w14:paraId="51ED6A09"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01.4</w:t>
            </w:r>
          </w:p>
        </w:tc>
        <w:tc>
          <w:tcPr>
            <w:tcW w:w="1946" w:type="dxa"/>
          </w:tcPr>
          <w:p w14:paraId="1C09BE54" w14:textId="77777777" w:rsidR="00BC27E9" w:rsidRPr="00954407" w:rsidRDefault="00BC27E9" w:rsidP="00220FA8">
            <w:pPr>
              <w:pStyle w:val="EstilodePrrafoNormal1RdeC"/>
              <w:cnfStyle w:val="000000100000" w:firstRow="0" w:lastRow="0" w:firstColumn="0" w:lastColumn="0" w:oddVBand="0" w:evenVBand="0" w:oddHBand="1" w:evenHBand="0" w:firstRowFirstColumn="0" w:firstRowLastColumn="0" w:lastRowFirstColumn="0" w:lastRowLastColumn="0"/>
              <w:rPr>
                <w:rFonts w:eastAsia="Aptos"/>
                <w:color w:val="auto"/>
                <w:spacing w:val="0"/>
                <w:kern w:val="2"/>
              </w:rPr>
            </w:pPr>
            <w:r w:rsidRPr="00954407">
              <w:rPr>
                <w:rFonts w:eastAsia="Aptos"/>
                <w:color w:val="auto"/>
                <w:spacing w:val="0"/>
                <w:kern w:val="2"/>
              </w:rPr>
              <w:t>85%</w:t>
            </w:r>
          </w:p>
        </w:tc>
      </w:tr>
    </w:tbl>
    <w:p w14:paraId="2BE24C69" w14:textId="77777777" w:rsidR="00BC27E9" w:rsidRPr="00954407" w:rsidRDefault="00BC27E9" w:rsidP="00BC27E9">
      <w:pPr>
        <w:pStyle w:val="EstilodePrrafoNormal1RdeC"/>
      </w:pPr>
    </w:p>
    <w:p w14:paraId="239A2E17" w14:textId="77777777" w:rsidR="00BC27E9" w:rsidRPr="00954407" w:rsidRDefault="00BC27E9" w:rsidP="00BC27E9">
      <w:pPr>
        <w:pStyle w:val="EstilodePrrafoNormal1RdeC"/>
      </w:pPr>
    </w:p>
    <w:p w14:paraId="6CE6E8F1" w14:textId="77777777" w:rsidR="00BC27E9" w:rsidRPr="00954407" w:rsidRDefault="00BC27E9" w:rsidP="00BC27E9">
      <w:pPr>
        <w:pStyle w:val="EstilodePrrafoNormal1RdeC"/>
      </w:pPr>
      <w:r w:rsidRPr="00954407">
        <w:t>La escala de respuesta va de 0 a 10, donde 0 representa la peor valoración y por tanto el menor grado de satisfacción y 10 representa la mejor valoración y consecuentemente el máximo grado de satisfacción. El informe de resultados y el plan de acción fue enviado al MAP, obteniendo la calificación para los indicadores 01.6 y el 01.7 Índice de Satisfacción Ciudadana.</w:t>
      </w:r>
    </w:p>
    <w:p w14:paraId="7183556B" w14:textId="77777777" w:rsidR="00BC27E9" w:rsidRPr="00954407" w:rsidRDefault="00BC27E9" w:rsidP="00BC27E9">
      <w:pPr>
        <w:pStyle w:val="EstilodePrrafoNormal1RdeC"/>
      </w:pPr>
    </w:p>
    <w:p w14:paraId="402AA231" w14:textId="17B2FC12"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Igualdad de Género</w:t>
      </w:r>
    </w:p>
    <w:p w14:paraId="3E9CFDEE" w14:textId="77777777" w:rsidR="00BC27E9" w:rsidRPr="00954407" w:rsidRDefault="00BC27E9" w:rsidP="00BC27E9">
      <w:pPr>
        <w:pStyle w:val="EstilodePrrafoNormal1RdeC"/>
      </w:pPr>
    </w:p>
    <w:p w14:paraId="27C65BEB" w14:textId="77777777" w:rsidR="00BC27E9" w:rsidRPr="00954407" w:rsidRDefault="00BC27E9" w:rsidP="00BC27E9">
      <w:pPr>
        <w:pStyle w:val="EstilodePrrafoNormal1RdeC"/>
      </w:pPr>
      <w:r w:rsidRPr="00954407">
        <w:t>La División de Igualdad de Género del MOPC, asumió durante el año 2025 diversidad de retos que giraron en torno a los principales objetivos de trabajo, los cuales se puntualizan a continuación:</w:t>
      </w:r>
    </w:p>
    <w:p w14:paraId="7FC112A5" w14:textId="77777777" w:rsidR="00BC27E9" w:rsidRPr="00954407" w:rsidRDefault="00BC27E9" w:rsidP="00BC27E9">
      <w:pPr>
        <w:pStyle w:val="EstilodePrrafoNormal1RdeC"/>
      </w:pPr>
    </w:p>
    <w:p w14:paraId="2CF540B3" w14:textId="487CF071" w:rsidR="00BC27E9" w:rsidRPr="00A47C98" w:rsidRDefault="00BC27E9" w:rsidP="00A47C98">
      <w:pPr>
        <w:pStyle w:val="EstilodePrrafoNormal1RdeC"/>
        <w:numPr>
          <w:ilvl w:val="0"/>
          <w:numId w:val="216"/>
        </w:numPr>
        <w:ind w:left="360"/>
        <w:rPr>
          <w:b/>
          <w:bCs/>
        </w:rPr>
      </w:pPr>
      <w:r w:rsidRPr="00A47C98">
        <w:rPr>
          <w:b/>
          <w:bCs/>
        </w:rPr>
        <w:t xml:space="preserve">Fortalecimiento de las capacidades internas para la gestión y operación de la división de Igualdad de Género. </w:t>
      </w:r>
    </w:p>
    <w:p w14:paraId="57BFD723" w14:textId="77777777" w:rsidR="00BC27E9" w:rsidRPr="00954407" w:rsidRDefault="00BC27E9" w:rsidP="00BC27E9">
      <w:pPr>
        <w:pStyle w:val="EstilodePrrafoNormal1RdeC"/>
      </w:pPr>
    </w:p>
    <w:p w14:paraId="75AD37D2" w14:textId="77777777" w:rsidR="00BC27E9" w:rsidRPr="00954407" w:rsidRDefault="00BC27E9" w:rsidP="00A47C98">
      <w:pPr>
        <w:pStyle w:val="EstilodePrrafoNormal1RdeC"/>
        <w:numPr>
          <w:ilvl w:val="0"/>
          <w:numId w:val="219"/>
        </w:numPr>
      </w:pPr>
      <w:r w:rsidRPr="00954407">
        <w:t xml:space="preserve">Se otorgó autonomía y reorganizó el Comité Institucional    de Transversalización del Enfoque de Género de MOPC. </w:t>
      </w:r>
    </w:p>
    <w:p w14:paraId="114378E4" w14:textId="77777777" w:rsidR="00BC27E9" w:rsidRPr="00954407" w:rsidRDefault="00BC27E9" w:rsidP="00BC27E9">
      <w:pPr>
        <w:pStyle w:val="EstilodePrrafoNormal1RdeC"/>
      </w:pPr>
    </w:p>
    <w:p w14:paraId="64817135" w14:textId="77777777" w:rsidR="00BC27E9" w:rsidRPr="00954407" w:rsidRDefault="00BC27E9" w:rsidP="00A47C98">
      <w:pPr>
        <w:pStyle w:val="EstilodePrrafoNormal1RdeC"/>
        <w:numPr>
          <w:ilvl w:val="0"/>
          <w:numId w:val="219"/>
        </w:numPr>
      </w:pPr>
      <w:r w:rsidRPr="00954407">
        <w:t xml:space="preserve">Se conformó la subcomisión de cumplimiento normativo. </w:t>
      </w:r>
    </w:p>
    <w:p w14:paraId="54E0E8CD" w14:textId="77777777" w:rsidR="00BC27E9" w:rsidRPr="00954407" w:rsidRDefault="00BC27E9" w:rsidP="00BC27E9">
      <w:pPr>
        <w:pStyle w:val="EstilodePrrafoNormal1RdeC"/>
      </w:pPr>
    </w:p>
    <w:p w14:paraId="534FE58D" w14:textId="77777777" w:rsidR="00BC27E9" w:rsidRPr="00954407" w:rsidRDefault="00BC27E9" w:rsidP="00A47C98">
      <w:pPr>
        <w:pStyle w:val="EstilodePrrafoNormal1RdeC"/>
        <w:numPr>
          <w:ilvl w:val="0"/>
          <w:numId w:val="219"/>
        </w:numPr>
      </w:pPr>
      <w:r w:rsidRPr="00954407">
        <w:t xml:space="preserve">Se creó una mesa de trabajo permanente con la Dirección de Recursos Humanos y la División de Género que ha fortalecido el trabajo institucional. </w:t>
      </w:r>
    </w:p>
    <w:p w14:paraId="3B262D56" w14:textId="77777777" w:rsidR="00BC27E9" w:rsidRPr="00954407" w:rsidRDefault="00BC27E9" w:rsidP="00BC27E9">
      <w:pPr>
        <w:pStyle w:val="EstilodePrrafoNormal1RdeC"/>
      </w:pPr>
    </w:p>
    <w:p w14:paraId="42A61149" w14:textId="77777777" w:rsidR="00BC27E9" w:rsidRPr="00954407" w:rsidRDefault="00BC27E9" w:rsidP="00BC27E9">
      <w:pPr>
        <w:pStyle w:val="EstilodePrrafoNormal1RdeC"/>
      </w:pPr>
    </w:p>
    <w:p w14:paraId="77F1FD93" w14:textId="2565982C" w:rsidR="00BC27E9" w:rsidRPr="00A47C98" w:rsidRDefault="00BC27E9" w:rsidP="00A47C98">
      <w:pPr>
        <w:pStyle w:val="EstilodePrrafoNormal1RdeC"/>
        <w:numPr>
          <w:ilvl w:val="0"/>
          <w:numId w:val="216"/>
        </w:numPr>
        <w:ind w:left="360"/>
        <w:rPr>
          <w:b/>
          <w:bCs/>
        </w:rPr>
      </w:pPr>
      <w:r w:rsidRPr="00A47C98">
        <w:rPr>
          <w:b/>
          <w:bCs/>
        </w:rPr>
        <w:t xml:space="preserve">Transversalización del enfoque de género </w:t>
      </w:r>
    </w:p>
    <w:p w14:paraId="1999EB5D" w14:textId="77777777" w:rsidR="00BC27E9" w:rsidRPr="00954407" w:rsidRDefault="00BC27E9" w:rsidP="00BC27E9">
      <w:pPr>
        <w:pStyle w:val="EstilodePrrafoNormal1RdeC"/>
      </w:pPr>
    </w:p>
    <w:p w14:paraId="40E7051C" w14:textId="77777777" w:rsidR="00BC27E9" w:rsidRPr="00954407" w:rsidRDefault="00BC27E9" w:rsidP="00A47C98">
      <w:pPr>
        <w:pStyle w:val="EstilodePrrafoNormal1RdeC"/>
        <w:numPr>
          <w:ilvl w:val="0"/>
          <w:numId w:val="218"/>
        </w:numPr>
      </w:pPr>
      <w:r w:rsidRPr="00954407">
        <w:t xml:space="preserve">Se planificaron, organizaron y ejecutaron las principales acciones para sensibilizar los colaboradores, en especial de los grupos ocupacionales 4 y 5, en visibilizar el enfoque de género dentro de planes, programas, proyectos y presupuestos de las diversas áreas estratégicas, técnicas, tácticas y operativas. </w:t>
      </w:r>
    </w:p>
    <w:p w14:paraId="79BBD118" w14:textId="77777777" w:rsidR="00BC27E9" w:rsidRPr="00954407" w:rsidRDefault="00BC27E9" w:rsidP="00BC27E9">
      <w:pPr>
        <w:pStyle w:val="EstilodePrrafoNormal1RdeC"/>
      </w:pPr>
    </w:p>
    <w:p w14:paraId="35518253" w14:textId="77777777" w:rsidR="00BC27E9" w:rsidRPr="00954407" w:rsidRDefault="00BC27E9" w:rsidP="00A47C98">
      <w:pPr>
        <w:pStyle w:val="EstilodePrrafoNormal1RdeC"/>
        <w:numPr>
          <w:ilvl w:val="0"/>
          <w:numId w:val="218"/>
        </w:numPr>
      </w:pPr>
      <w:r w:rsidRPr="00954407">
        <w:t>Se impulsó la contratación de pequeñas y medianas empresas que promuevan la participación femenina en el sector construcción a través del Programa de Mejoramiento de Infraestructura vial donde se le otorgaron contratos para 11 lotes.</w:t>
      </w:r>
    </w:p>
    <w:p w14:paraId="130186B1" w14:textId="77777777" w:rsidR="00BC27E9" w:rsidRPr="00954407" w:rsidRDefault="00BC27E9" w:rsidP="00BC27E9">
      <w:pPr>
        <w:pStyle w:val="EstilodePrrafoNormal1RdeC"/>
      </w:pPr>
    </w:p>
    <w:p w14:paraId="3C98F44A" w14:textId="77777777" w:rsidR="00BC27E9" w:rsidRPr="00954407" w:rsidRDefault="00BC27E9" w:rsidP="00A47C98">
      <w:pPr>
        <w:pStyle w:val="EstilodePrrafoNormal1RdeC"/>
        <w:numPr>
          <w:ilvl w:val="0"/>
          <w:numId w:val="218"/>
        </w:numPr>
      </w:pPr>
      <w:r w:rsidRPr="00954407">
        <w:rPr>
          <w:lang w:val="es-DO"/>
        </w:rPr>
        <w:t xml:space="preserve">El </w:t>
      </w:r>
      <w:r w:rsidRPr="00954407">
        <w:t xml:space="preserve">MOPC realizó compras y contrataciones MIPyMES Mujeres por valor de RD$16,191,360.25 (Dieciseis Millones Ciento Noventa y Un Mil Trescientos Sesenta Pesos con 25/100), representando el 36.41% de lo adjudicado al sector MIPyMES.  </w:t>
      </w:r>
    </w:p>
    <w:p w14:paraId="52E0995E" w14:textId="77777777" w:rsidR="00BC27E9" w:rsidRPr="00954407" w:rsidRDefault="00BC27E9" w:rsidP="00BC27E9">
      <w:pPr>
        <w:pStyle w:val="EstilodePrrafoNormal1RdeC"/>
      </w:pPr>
    </w:p>
    <w:p w14:paraId="0D6886DD" w14:textId="77777777" w:rsidR="00BC27E9" w:rsidRPr="00954407" w:rsidRDefault="00BC27E9" w:rsidP="00A47C98">
      <w:pPr>
        <w:pStyle w:val="EstilodePrrafoNormal1RdeC"/>
        <w:numPr>
          <w:ilvl w:val="0"/>
          <w:numId w:val="218"/>
        </w:numPr>
      </w:pPr>
      <w:r w:rsidRPr="00954407">
        <w:t xml:space="preserve">Se graduaron 27 colaboradas que concluyeron el programa de oficios no tradicionales que promovió UEPFRE, como maestras </w:t>
      </w:r>
      <w:r w:rsidRPr="00954407">
        <w:lastRenderedPageBreak/>
        <w:t xml:space="preserve">constructoras. </w:t>
      </w:r>
    </w:p>
    <w:p w14:paraId="7E0A8C58" w14:textId="77777777" w:rsidR="00BC27E9" w:rsidRPr="00954407" w:rsidRDefault="00BC27E9" w:rsidP="00BC27E9">
      <w:pPr>
        <w:pStyle w:val="EstilodePrrafoNormal1RdeC"/>
      </w:pPr>
    </w:p>
    <w:p w14:paraId="75B717C8" w14:textId="77777777" w:rsidR="00BC27E9" w:rsidRPr="00954407" w:rsidRDefault="00BC27E9" w:rsidP="00A47C98">
      <w:pPr>
        <w:pStyle w:val="EstilodePrrafoNormal1RdeC"/>
        <w:numPr>
          <w:ilvl w:val="0"/>
          <w:numId w:val="218"/>
        </w:numPr>
      </w:pPr>
      <w:r w:rsidRPr="00954407">
        <w:t xml:space="preserve">Se desarrollaron jornadas de salud que abordaron las principales causales de muerte por enfermedades en mujeres y hombres con alianzas importantes del Centro de Desarrollo Integral de la Mujer (CEDI-Mujer) y el Servicio Nacional de Salud (SNS), entre otras.  </w:t>
      </w:r>
    </w:p>
    <w:p w14:paraId="0C1851C4" w14:textId="77777777" w:rsidR="00BC27E9" w:rsidRPr="00954407" w:rsidRDefault="00BC27E9" w:rsidP="00BC27E9">
      <w:pPr>
        <w:pStyle w:val="EstilodePrrafoNormal1RdeC"/>
      </w:pPr>
    </w:p>
    <w:p w14:paraId="184B1B8B" w14:textId="57606251" w:rsidR="00BC27E9" w:rsidRPr="00A47C98" w:rsidRDefault="00BC27E9" w:rsidP="00A47C98">
      <w:pPr>
        <w:pStyle w:val="EstilodePrrafoNormal1RdeC"/>
        <w:numPr>
          <w:ilvl w:val="0"/>
          <w:numId w:val="216"/>
        </w:numPr>
        <w:ind w:left="360"/>
        <w:rPr>
          <w:b/>
          <w:bCs/>
        </w:rPr>
      </w:pPr>
      <w:r w:rsidRPr="00A47C98">
        <w:rPr>
          <w:b/>
          <w:bCs/>
        </w:rPr>
        <w:t xml:space="preserve">Sensibilización para la Igualdad </w:t>
      </w:r>
    </w:p>
    <w:p w14:paraId="146C631D" w14:textId="77777777" w:rsidR="00BC27E9" w:rsidRPr="00954407" w:rsidRDefault="00BC27E9" w:rsidP="00BC27E9">
      <w:pPr>
        <w:pStyle w:val="EstilodePrrafoNormal1RdeC"/>
      </w:pPr>
    </w:p>
    <w:p w14:paraId="1D230B2E" w14:textId="77777777" w:rsidR="00BC27E9" w:rsidRPr="00954407" w:rsidRDefault="00BC27E9" w:rsidP="00A47C98">
      <w:pPr>
        <w:pStyle w:val="EstilodePrrafoNormal1RdeC"/>
        <w:numPr>
          <w:ilvl w:val="0"/>
          <w:numId w:val="217"/>
        </w:numPr>
      </w:pPr>
      <w:r w:rsidRPr="00954407">
        <w:t xml:space="preserve">Se desarrollaron acciones concretas que permitieron la sensibilización de los y las colaboradores de MOPC, en todos los grupos ocupacionales, y desmitificando la División de Igualdad de Género como una oficina de la mujer. </w:t>
      </w:r>
    </w:p>
    <w:p w14:paraId="6470ADAA" w14:textId="77777777" w:rsidR="00BC27E9" w:rsidRPr="00954407" w:rsidRDefault="00BC27E9" w:rsidP="00BC27E9">
      <w:pPr>
        <w:pStyle w:val="EstilodePrrafoNormal1RdeC"/>
      </w:pPr>
    </w:p>
    <w:p w14:paraId="51C33750" w14:textId="77777777" w:rsidR="00BC27E9" w:rsidRDefault="00BC27E9" w:rsidP="00A47C98">
      <w:pPr>
        <w:pStyle w:val="EstilodePrrafoNormal1RdeC"/>
        <w:numPr>
          <w:ilvl w:val="0"/>
          <w:numId w:val="217"/>
        </w:numPr>
      </w:pPr>
      <w:r w:rsidRPr="00954407">
        <w:t>Se desarrollaron 14 capacitaciones con enfoque de género, impactaron a 1,354 colaboradores de la sede central, de ellos 425 hombres y 929 mujeres, entre otras.</w:t>
      </w:r>
    </w:p>
    <w:p w14:paraId="555E64F1" w14:textId="77777777" w:rsidR="00634A56" w:rsidRDefault="00634A56" w:rsidP="00BC27E9">
      <w:pPr>
        <w:pStyle w:val="EstilodePrrafoNormal1RdeC"/>
      </w:pPr>
    </w:p>
    <w:p w14:paraId="16546C6A" w14:textId="6377713B" w:rsidR="00634A56" w:rsidRPr="00634A56" w:rsidRDefault="00634A56" w:rsidP="00634A56">
      <w:pPr>
        <w:pStyle w:val="Heading2"/>
        <w:rPr>
          <w:rFonts w:ascii="Times New Roman" w:hAnsi="Times New Roman" w:cs="Times New Roman"/>
          <w:b/>
          <w:bCs/>
          <w:color w:val="767171"/>
          <w:sz w:val="24"/>
          <w:szCs w:val="24"/>
        </w:rPr>
      </w:pPr>
      <w:bookmarkStart w:id="138" w:name="_Toc217402138"/>
      <w:r w:rsidRPr="00634A56">
        <w:rPr>
          <w:rFonts w:ascii="Times New Roman" w:hAnsi="Times New Roman" w:cs="Times New Roman"/>
          <w:b/>
          <w:bCs/>
          <w:color w:val="767171"/>
          <w:sz w:val="24"/>
          <w:szCs w:val="24"/>
        </w:rPr>
        <w:t>Desempeño del Área de Comunicaciones</w:t>
      </w:r>
      <w:bookmarkEnd w:id="138"/>
    </w:p>
    <w:p w14:paraId="492DC8C3" w14:textId="77777777" w:rsidR="00BC27E9" w:rsidRPr="00954407" w:rsidRDefault="00BC27E9" w:rsidP="00BC27E9">
      <w:pPr>
        <w:pStyle w:val="EstilodePrrafoNormal1RdeC"/>
      </w:pPr>
    </w:p>
    <w:p w14:paraId="7C7BAC5D" w14:textId="626FA5F8"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Comunicación Interna</w:t>
      </w:r>
    </w:p>
    <w:p w14:paraId="2F906F96" w14:textId="77777777" w:rsidR="00BC27E9" w:rsidRPr="00954407" w:rsidRDefault="00BC27E9" w:rsidP="00BC27E9">
      <w:pPr>
        <w:pStyle w:val="EstilodePrrafoNormal1RdeC"/>
      </w:pPr>
    </w:p>
    <w:p w14:paraId="7DECDA23" w14:textId="77777777" w:rsidR="00BC27E9" w:rsidRPr="00954407" w:rsidRDefault="00BC27E9" w:rsidP="00BC27E9">
      <w:pPr>
        <w:pStyle w:val="EstilodePrrafoNormal1RdeC"/>
      </w:pPr>
      <w:r w:rsidRPr="00954407">
        <w:t xml:space="preserve">Durante el año 2025, la Unidad de Comunicación Interna fortaleció de manera sostenida su rol estratégico dentro del Ministerio.  A través de campañas temáticas, acompañamiento comunicacional y producción de contenidos, la Unidad promovió la integración del personal, la apropiación de valores organizacionales y el fortalecimiento de la identidad institucional. Este año ha marcado la diferencia por promover una comunicación interna más dinámica y cercana, con iniciativas que </w:t>
      </w:r>
      <w:r w:rsidRPr="00954407">
        <w:lastRenderedPageBreak/>
        <w:t>impulsaron el bienestar, la igualdad, la ética, la sostenibilidad y la participación del personal.</w:t>
      </w:r>
    </w:p>
    <w:p w14:paraId="0279732B" w14:textId="77777777" w:rsidR="00BC27E9" w:rsidRPr="00954407" w:rsidRDefault="00BC27E9" w:rsidP="00BC27E9">
      <w:pPr>
        <w:pStyle w:val="EstilodePrrafoNormal1RdeC"/>
      </w:pPr>
    </w:p>
    <w:p w14:paraId="0843F53E" w14:textId="77777777" w:rsidR="00BC27E9" w:rsidRPr="00954407" w:rsidRDefault="00BC27E9" w:rsidP="00BC27E9">
      <w:pPr>
        <w:pStyle w:val="EstilodePrrafoNormal1RdeC"/>
      </w:pPr>
      <w:r w:rsidRPr="00954407">
        <w:t>Entre los Principales Proyectos y Campañas Desarrolladas, se destacan:</w:t>
      </w:r>
    </w:p>
    <w:p w14:paraId="3223FCFB" w14:textId="77777777" w:rsidR="00BC27E9" w:rsidRPr="00954407" w:rsidRDefault="00BC27E9" w:rsidP="00BC27E9">
      <w:pPr>
        <w:pStyle w:val="EstilodePrrafoNormal1RdeC"/>
      </w:pPr>
    </w:p>
    <w:p w14:paraId="29ACEF29" w14:textId="77777777" w:rsidR="00BC27E9" w:rsidRPr="00954407" w:rsidRDefault="00BC27E9" w:rsidP="00A47C98">
      <w:pPr>
        <w:pStyle w:val="EstilodePrrafoNormal1RdeC"/>
        <w:numPr>
          <w:ilvl w:val="0"/>
          <w:numId w:val="220"/>
        </w:numPr>
      </w:pPr>
      <w:r w:rsidRPr="00954407">
        <w:t>Campaña Beneficios de Salud</w:t>
      </w:r>
    </w:p>
    <w:p w14:paraId="6A5FB525" w14:textId="77777777" w:rsidR="00BC27E9" w:rsidRPr="00954407" w:rsidRDefault="00BC27E9" w:rsidP="00BC27E9">
      <w:pPr>
        <w:pStyle w:val="EstilodePrrafoNormal1RdeC"/>
      </w:pPr>
    </w:p>
    <w:p w14:paraId="74B54C4E" w14:textId="77777777" w:rsidR="00BC27E9" w:rsidRPr="00954407" w:rsidRDefault="00BC27E9" w:rsidP="00A47C98">
      <w:pPr>
        <w:pStyle w:val="EstilodePrrafoNormal1RdeC"/>
        <w:numPr>
          <w:ilvl w:val="0"/>
          <w:numId w:val="220"/>
        </w:numPr>
      </w:pPr>
      <w:r w:rsidRPr="00954407">
        <w:t>Campaña sobre el Valor del Trabajo en Equipo</w:t>
      </w:r>
    </w:p>
    <w:p w14:paraId="6A3D383B" w14:textId="77777777" w:rsidR="00BC27E9" w:rsidRPr="00954407" w:rsidRDefault="00BC27E9" w:rsidP="00BC27E9">
      <w:pPr>
        <w:pStyle w:val="EstilodePrrafoNormal1RdeC"/>
      </w:pPr>
    </w:p>
    <w:p w14:paraId="49A31EDA" w14:textId="77777777" w:rsidR="00BC27E9" w:rsidRPr="00954407" w:rsidRDefault="00BC27E9" w:rsidP="00A47C98">
      <w:pPr>
        <w:pStyle w:val="EstilodePrrafoNormal1RdeC"/>
        <w:numPr>
          <w:ilvl w:val="0"/>
          <w:numId w:val="220"/>
        </w:numPr>
      </w:pPr>
      <w:r w:rsidRPr="00954407">
        <w:t>Campañas de Igualdad de Género</w:t>
      </w:r>
    </w:p>
    <w:p w14:paraId="11E36EDC" w14:textId="77777777" w:rsidR="00BC27E9" w:rsidRPr="00954407" w:rsidRDefault="00BC27E9" w:rsidP="00BC27E9">
      <w:pPr>
        <w:pStyle w:val="EstilodePrrafoNormal1RdeC"/>
      </w:pPr>
    </w:p>
    <w:p w14:paraId="5D20A358" w14:textId="77777777" w:rsidR="00BC27E9" w:rsidRPr="00954407" w:rsidRDefault="00BC27E9" w:rsidP="00A47C98">
      <w:pPr>
        <w:pStyle w:val="EstilodePrrafoNormal1RdeC"/>
        <w:numPr>
          <w:ilvl w:val="0"/>
          <w:numId w:val="220"/>
        </w:numPr>
      </w:pPr>
      <w:r w:rsidRPr="00954407">
        <w:t>Campaña de Gestión Ambiental</w:t>
      </w:r>
    </w:p>
    <w:p w14:paraId="4827545D" w14:textId="77777777" w:rsidR="00BC27E9" w:rsidRPr="00954407" w:rsidRDefault="00BC27E9" w:rsidP="00BC27E9">
      <w:pPr>
        <w:pStyle w:val="EstilodePrrafoNormal1RdeC"/>
      </w:pPr>
    </w:p>
    <w:p w14:paraId="27DC551E" w14:textId="77777777" w:rsidR="00BC27E9" w:rsidRPr="00954407" w:rsidRDefault="00BC27E9" w:rsidP="00A47C98">
      <w:pPr>
        <w:pStyle w:val="EstilodePrrafoNormal1RdeC"/>
        <w:numPr>
          <w:ilvl w:val="0"/>
          <w:numId w:val="220"/>
        </w:numPr>
      </w:pPr>
      <w:r w:rsidRPr="00954407">
        <w:t>Entre otras Campañas Temáticas y de Sensibilización</w:t>
      </w:r>
    </w:p>
    <w:p w14:paraId="4ABA37DD" w14:textId="77777777" w:rsidR="00BC27E9" w:rsidRPr="00954407" w:rsidRDefault="00BC27E9" w:rsidP="00BC27E9">
      <w:pPr>
        <w:pStyle w:val="EstilodePrrafoNormal1RdeC"/>
        <w:rPr>
          <w:spacing w:val="20"/>
        </w:rPr>
      </w:pPr>
    </w:p>
    <w:p w14:paraId="7ECF1400" w14:textId="77777777" w:rsidR="00BC27E9" w:rsidRPr="00954407" w:rsidRDefault="00BC27E9" w:rsidP="00BC27E9">
      <w:pPr>
        <w:pStyle w:val="EstilodePrrafoNormal1RdeC"/>
        <w:rPr>
          <w:color w:val="767171"/>
        </w:rPr>
      </w:pPr>
      <w:bookmarkStart w:id="139" w:name="_Toc91143829"/>
      <w:r w:rsidRPr="00954407">
        <w:rPr>
          <w:color w:val="767171"/>
        </w:rPr>
        <w:t>Las acciones ejecutadas por la Dirección General de Comunicaciones y Prensa del Ministerio de Obras Públicas y Comunicaciones (MOPC), durante el periodo enero-diciembre del 2025, se efectuaron con la finalidad de suministrar informaciones a los usuarios sobre los productos y servicios ejecutados o en proceso, facilitando por medio de canales optimizados de las redes sociales, los logros de la institución durante un periodo establecido, contribuyendo al desarrollo económico, social y por ende, a la mejora de la calidad de vida de los beneficiarios de los mismos.</w:t>
      </w:r>
    </w:p>
    <w:p w14:paraId="693F2F38" w14:textId="77777777" w:rsidR="00BC27E9" w:rsidRPr="00954407" w:rsidRDefault="00BC27E9" w:rsidP="00BC27E9">
      <w:pPr>
        <w:pStyle w:val="EstilodePrrafoNormal1RdeC"/>
        <w:rPr>
          <w:color w:val="767171"/>
          <w:szCs w:val="22"/>
        </w:rPr>
      </w:pPr>
    </w:p>
    <w:bookmarkEnd w:id="139"/>
    <w:p w14:paraId="77A68C2F" w14:textId="77777777" w:rsidR="00BC27E9" w:rsidRDefault="00BC27E9" w:rsidP="00BC27E9">
      <w:pPr>
        <w:pStyle w:val="EstilodePrrafoNormal1RdeC"/>
      </w:pPr>
    </w:p>
    <w:p w14:paraId="593FE9FD" w14:textId="77777777" w:rsidR="00E81F11" w:rsidRDefault="00E81F11" w:rsidP="00BC27E9">
      <w:pPr>
        <w:pStyle w:val="EstilodePrrafoNormal1RdeC"/>
      </w:pPr>
    </w:p>
    <w:p w14:paraId="1EB6BFD0" w14:textId="77777777" w:rsidR="00E81F11" w:rsidRDefault="00E81F11" w:rsidP="00BC27E9">
      <w:pPr>
        <w:pStyle w:val="EstilodePrrafoNormal1RdeC"/>
      </w:pPr>
    </w:p>
    <w:p w14:paraId="086056BF" w14:textId="77777777" w:rsidR="00E81F11" w:rsidRPr="00954407" w:rsidRDefault="00E81F11" w:rsidP="00BC27E9">
      <w:pPr>
        <w:pStyle w:val="EstilodePrrafoNormal1RdeC"/>
      </w:pPr>
    </w:p>
    <w:p w14:paraId="4B5CE1BB" w14:textId="77777777" w:rsidR="00BC27E9" w:rsidRPr="00954407" w:rsidRDefault="00BC27E9" w:rsidP="00BC27E9">
      <w:pPr>
        <w:pStyle w:val="EstilodePrrafoNormal1RdeC"/>
        <w:rPr>
          <w:spacing w:val="0"/>
          <w:sz w:val="20"/>
        </w:rPr>
      </w:pPr>
    </w:p>
    <w:p w14:paraId="454CAA1C" w14:textId="77777777" w:rsidR="00BC27E9" w:rsidRPr="00BC27E9" w:rsidRDefault="00BC27E9" w:rsidP="00BC27E9">
      <w:pPr>
        <w:pStyle w:val="Heading1"/>
        <w:numPr>
          <w:ilvl w:val="0"/>
          <w:numId w:val="108"/>
        </w:numPr>
        <w:jc w:val="center"/>
        <w:rPr>
          <w:rFonts w:ascii="Times New Roman" w:hAnsi="Times New Roman" w:cs="Times New Roman"/>
          <w:color w:val="767171"/>
          <w:sz w:val="28"/>
          <w:szCs w:val="28"/>
        </w:rPr>
      </w:pPr>
      <w:bookmarkStart w:id="140" w:name="_Toc78583669"/>
      <w:bookmarkStart w:id="141" w:name="_Toc186924373"/>
      <w:bookmarkStart w:id="142" w:name="_Toc217387679"/>
      <w:bookmarkStart w:id="143" w:name="_Toc217402139"/>
      <w:r w:rsidRPr="00BC27E9">
        <w:rPr>
          <w:rFonts w:ascii="Times New Roman" w:hAnsi="Times New Roman" w:cs="Times New Roman"/>
          <w:color w:val="767171"/>
          <w:sz w:val="28"/>
          <w:szCs w:val="28"/>
        </w:rPr>
        <w:lastRenderedPageBreak/>
        <w:t>SERVICIO AL CIUDADANO Y TRANSPARENCIA INSTITUCIONAL</w:t>
      </w:r>
      <w:bookmarkEnd w:id="140"/>
      <w:bookmarkEnd w:id="141"/>
      <w:bookmarkEnd w:id="142"/>
      <w:bookmarkEnd w:id="143"/>
    </w:p>
    <w:p w14:paraId="2926D295" w14:textId="77777777" w:rsidR="00BC27E9" w:rsidRPr="00954407" w:rsidRDefault="00BC27E9" w:rsidP="00BC27E9">
      <w:pPr>
        <w:pStyle w:val="EstilodePrrafoNormal1RdeC"/>
        <w:rPr>
          <w:rFonts w:eastAsia="Calibri"/>
          <w:sz w:val="18"/>
        </w:rPr>
      </w:pPr>
      <w:r w:rsidRPr="00954407">
        <w:rPr>
          <w:rFonts w:eastAsia="Calibri"/>
          <w:noProof/>
          <w:sz w:val="18"/>
          <w:lang w:eastAsia="es-DO"/>
        </w:rPr>
        <mc:AlternateContent>
          <mc:Choice Requires="wps">
            <w:drawing>
              <wp:anchor distT="0" distB="0" distL="114300" distR="114300" simplePos="0" relativeHeight="251671552" behindDoc="0" locked="0" layoutInCell="1" allowOverlap="1" wp14:anchorId="239BF47C" wp14:editId="30FEEC73">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9F04B" id="Straight Connector 3"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16972DF" w14:textId="77777777" w:rsidR="00BC27E9" w:rsidRPr="00954407" w:rsidRDefault="00BC27E9" w:rsidP="00A47C98">
      <w:pPr>
        <w:pStyle w:val="EstilodePrrafoNormal1RdeC"/>
        <w:jc w:val="center"/>
        <w:rPr>
          <w:rFonts w:eastAsia="Calibri"/>
          <w:color w:val="767171"/>
        </w:rPr>
      </w:pPr>
      <w:r w:rsidRPr="00954407">
        <w:rPr>
          <w:rFonts w:eastAsia="Calibri"/>
          <w:color w:val="767171"/>
        </w:rPr>
        <w:t>Memoria institucional 2025</w:t>
      </w:r>
    </w:p>
    <w:p w14:paraId="5568BF8F" w14:textId="77777777" w:rsidR="00BC27E9" w:rsidRPr="00954407" w:rsidRDefault="00BC27E9" w:rsidP="00BC27E9">
      <w:pPr>
        <w:pStyle w:val="EstilodePrrafoNormal1RdeC"/>
        <w:rPr>
          <w:rFonts w:eastAsia="Calibri"/>
          <w:sz w:val="18"/>
        </w:rPr>
      </w:pPr>
    </w:p>
    <w:p w14:paraId="2E89B607" w14:textId="77777777" w:rsidR="00BC27E9" w:rsidRPr="00954407" w:rsidRDefault="00BC27E9" w:rsidP="00BC27E9">
      <w:pPr>
        <w:pStyle w:val="EstilodePrrafoNormal1RdeC"/>
        <w:rPr>
          <w:color w:val="767171"/>
        </w:rPr>
      </w:pPr>
      <w:bookmarkStart w:id="144" w:name="_Hlk216864164"/>
      <w:bookmarkStart w:id="145" w:name="_Toc186924374"/>
    </w:p>
    <w:p w14:paraId="741905A7" w14:textId="77777777" w:rsidR="00BC27E9" w:rsidRPr="00954407" w:rsidRDefault="00BC27E9" w:rsidP="00BC27E9">
      <w:pPr>
        <w:pStyle w:val="EstilodePrrafoNormal1RdeC"/>
        <w:rPr>
          <w:color w:val="767171"/>
        </w:rPr>
      </w:pPr>
      <w:r w:rsidRPr="00954407">
        <w:rPr>
          <w:color w:val="767171"/>
        </w:rPr>
        <w:t>La Dirección de Libre Acceso a la Información Pública (OAI), del Ministerio de Obras Públicas y Comunicaciones (MOPC), es la unidad encargada de garantizar el derecho de todo ciudadano de solicitar y recibir información relacionada con la gestión, funciones, actividades y documentos del ministerio, en cumplimiento con la Ley General de Libre Acceso a la Información Pública No. 200-04 y su reglamento No.130-05.</w:t>
      </w:r>
    </w:p>
    <w:p w14:paraId="7EFAD312" w14:textId="77777777" w:rsidR="00BC27E9" w:rsidRPr="00954407" w:rsidRDefault="00BC27E9" w:rsidP="00BC27E9">
      <w:pPr>
        <w:pStyle w:val="EstilodePrrafoNormal1RdeC"/>
        <w:rPr>
          <w:color w:val="767171"/>
        </w:rPr>
      </w:pPr>
    </w:p>
    <w:p w14:paraId="77806008" w14:textId="77777777" w:rsidR="00BC27E9" w:rsidRPr="00954407" w:rsidRDefault="00BC27E9" w:rsidP="00BC27E9">
      <w:pPr>
        <w:pStyle w:val="EstilodePrrafoNormal1RdeC"/>
        <w:rPr>
          <w:color w:val="767171"/>
        </w:rPr>
      </w:pPr>
      <w:r w:rsidRPr="00954407">
        <w:rPr>
          <w:color w:val="767171"/>
        </w:rPr>
        <w:t>Durante el periodo comprendido enero-diciembre del año 2025 esta Dirección recibió un total de 501 (Quinientas Una) solicitudes a través del Portal Único (SAIP), de las cuales 435 (Cuatrocientos Treinta y Cinco) fueron completadas y están disponibles en el Sistema SAIP; 15 (Quince) fueron presentadas con informaciones incompletas por el ciudadano; 15 (Quince) fueron cerradas por requerimiento ciudadano; 2 (Dos) tuvieron plazo de contacto vencido; 34 (Treinta y Cuatro) se encuentran en proceso abierto recopilando las informaciones correspondientes.</w:t>
      </w:r>
    </w:p>
    <w:p w14:paraId="54B9071B" w14:textId="77777777" w:rsidR="00BC27E9" w:rsidRPr="00954407" w:rsidRDefault="00BC27E9" w:rsidP="00BC27E9">
      <w:pPr>
        <w:pStyle w:val="EstilodePrrafoNormal1RdeC"/>
        <w:rPr>
          <w:color w:val="E97132" w:themeColor="accent2"/>
        </w:rPr>
      </w:pPr>
    </w:p>
    <w:p w14:paraId="1EF0F526" w14:textId="77777777" w:rsidR="00634A56" w:rsidRPr="00634A56" w:rsidRDefault="00634A56" w:rsidP="00634A56">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146" w:name="_Toc217394552"/>
      <w:bookmarkStart w:id="147" w:name="_Toc217394806"/>
      <w:bookmarkStart w:id="148" w:name="_Toc217394911"/>
      <w:bookmarkStart w:id="149" w:name="_Toc217402071"/>
      <w:bookmarkStart w:id="150" w:name="_Toc217402140"/>
      <w:bookmarkEnd w:id="146"/>
      <w:bookmarkEnd w:id="147"/>
      <w:bookmarkEnd w:id="148"/>
      <w:bookmarkEnd w:id="149"/>
      <w:bookmarkEnd w:id="150"/>
    </w:p>
    <w:p w14:paraId="595269E7" w14:textId="01F4947B" w:rsidR="00BC27E9" w:rsidRPr="00634A56" w:rsidRDefault="00BC27E9" w:rsidP="00634A56">
      <w:pPr>
        <w:pStyle w:val="Heading2"/>
        <w:rPr>
          <w:rFonts w:ascii="Times New Roman" w:hAnsi="Times New Roman" w:cs="Times New Roman"/>
          <w:b/>
          <w:bCs/>
          <w:color w:val="767171"/>
          <w:sz w:val="24"/>
          <w:szCs w:val="24"/>
        </w:rPr>
      </w:pPr>
      <w:bookmarkStart w:id="151" w:name="_Toc217402141"/>
      <w:r w:rsidRPr="00634A56">
        <w:rPr>
          <w:rFonts w:ascii="Times New Roman" w:hAnsi="Times New Roman" w:cs="Times New Roman"/>
          <w:b/>
          <w:bCs/>
          <w:color w:val="767171"/>
          <w:sz w:val="24"/>
          <w:szCs w:val="24"/>
        </w:rPr>
        <w:t>Nivel de Cumplimiento Acceso a la Información</w:t>
      </w:r>
      <w:bookmarkEnd w:id="151"/>
    </w:p>
    <w:p w14:paraId="49B5AD9E" w14:textId="77777777" w:rsidR="00BC27E9" w:rsidRPr="00954407" w:rsidRDefault="00BC27E9" w:rsidP="00BC27E9">
      <w:pPr>
        <w:pStyle w:val="EstilodePrrafoNormal1RdeC"/>
        <w:rPr>
          <w:rFonts w:eastAsiaTheme="minorHAnsi"/>
          <w:color w:val="767171"/>
          <w:szCs w:val="22"/>
          <w:lang w:val="es-DO" w:eastAsia="en-US" w:bidi="ar-SA"/>
        </w:rPr>
      </w:pPr>
    </w:p>
    <w:p w14:paraId="59D2530D" w14:textId="77777777" w:rsidR="00BC27E9" w:rsidRPr="00954407" w:rsidRDefault="00BC27E9" w:rsidP="00BC27E9">
      <w:pPr>
        <w:pStyle w:val="EstilodePrrafoNormal1RdeC"/>
      </w:pPr>
      <w:r w:rsidRPr="00954407">
        <w:t>El objetivo principal de la Oficina de Acceso a la Información (OAI), es impulsar la cultura de la transparencia institucional dentro del MOPC, para colaborar en el desarrollo de un Estado eficiente, transparente y digno, apegado a los valores de la Moral y la Ética.</w:t>
      </w:r>
    </w:p>
    <w:p w14:paraId="74C8EC97" w14:textId="77777777" w:rsidR="00BC27E9" w:rsidRPr="00954407" w:rsidRDefault="00BC27E9" w:rsidP="00BC27E9">
      <w:pPr>
        <w:pStyle w:val="EstilodePrrafoNormal1RdeC"/>
        <w:rPr>
          <w:color w:val="767171"/>
        </w:rPr>
      </w:pPr>
    </w:p>
    <w:p w14:paraId="5B295903" w14:textId="77777777" w:rsidR="00BC27E9" w:rsidRPr="00954407" w:rsidRDefault="00BC27E9" w:rsidP="00BC27E9">
      <w:pPr>
        <w:pStyle w:val="EstilodePrrafoNormal1RdeC"/>
        <w:rPr>
          <w:color w:val="767171"/>
        </w:rPr>
      </w:pPr>
    </w:p>
    <w:p w14:paraId="5C48A12E" w14:textId="77777777" w:rsidR="00BC27E9" w:rsidRPr="00954407" w:rsidRDefault="00BC27E9" w:rsidP="00BC27E9">
      <w:pPr>
        <w:pStyle w:val="EstilodePrrafoNormal1RdeC"/>
        <w:rPr>
          <w:color w:val="767171"/>
        </w:rPr>
      </w:pPr>
      <w:r w:rsidRPr="00954407">
        <w:rPr>
          <w:color w:val="767171"/>
        </w:rPr>
        <w:lastRenderedPageBreak/>
        <w:t>Las estadísticas correspondientes al periodo enero-diciembre2025, sobre las informaciones solicitadas y el suministro de estas a la ciudadanía interesada, se detallan en el siguiente registro:</w:t>
      </w:r>
    </w:p>
    <w:p w14:paraId="695C3A6D" w14:textId="77777777" w:rsidR="00BC27E9" w:rsidRPr="00954407" w:rsidRDefault="00BC27E9" w:rsidP="00BC27E9">
      <w:pPr>
        <w:pStyle w:val="EstilodePrrafoNormal1RdeC"/>
        <w:rPr>
          <w:color w:val="767171"/>
        </w:rPr>
      </w:pPr>
    </w:p>
    <w:p w14:paraId="327A0B99" w14:textId="77777777" w:rsidR="001308EC" w:rsidRDefault="001308EC" w:rsidP="001308EC">
      <w:pPr>
        <w:pStyle w:val="BodyText"/>
        <w:spacing w:line="360" w:lineRule="auto"/>
        <w:jc w:val="both"/>
        <w:rPr>
          <w:color w:val="767171"/>
        </w:rPr>
      </w:pPr>
    </w:p>
    <w:tbl>
      <w:tblPr>
        <w:tblW w:w="8018" w:type="dxa"/>
        <w:tblCellMar>
          <w:left w:w="70" w:type="dxa"/>
          <w:right w:w="70" w:type="dxa"/>
        </w:tblCellMar>
        <w:tblLook w:val="04A0" w:firstRow="1" w:lastRow="0" w:firstColumn="1" w:lastColumn="0" w:noHBand="0" w:noVBand="1"/>
      </w:tblPr>
      <w:tblGrid>
        <w:gridCol w:w="5284"/>
        <w:gridCol w:w="2734"/>
      </w:tblGrid>
      <w:tr w:rsidR="001308EC" w14:paraId="36BD78BC" w14:textId="77777777">
        <w:trPr>
          <w:trHeight w:val="421"/>
        </w:trPr>
        <w:tc>
          <w:tcPr>
            <w:tcW w:w="8018" w:type="dxa"/>
            <w:gridSpan w:val="2"/>
            <w:tcBorders>
              <w:top w:val="single" w:sz="8" w:space="0" w:color="FFFFFF"/>
              <w:left w:val="single" w:sz="8" w:space="0" w:color="FFFFFF"/>
              <w:bottom w:val="single" w:sz="8" w:space="0" w:color="FFFFFF"/>
              <w:right w:val="single" w:sz="8" w:space="0" w:color="FFFFFF"/>
            </w:tcBorders>
            <w:shd w:val="clear" w:color="auto" w:fill="002060"/>
            <w:vAlign w:val="center"/>
            <w:hideMark/>
          </w:tcPr>
          <w:p w14:paraId="0F1BC0BB" w14:textId="77777777" w:rsidR="001308EC" w:rsidRDefault="001308EC">
            <w:pPr>
              <w:spacing w:line="240" w:lineRule="auto"/>
              <w:jc w:val="center"/>
              <w:rPr>
                <w:rFonts w:eastAsia="Times New Roman" w:cs="Times New Roman"/>
                <w:b/>
                <w:bCs/>
                <w:color w:val="FFFFFF"/>
                <w:spacing w:val="0"/>
                <w:szCs w:val="24"/>
                <w:lang w:eastAsia="es-DO"/>
              </w:rPr>
            </w:pPr>
            <w:r>
              <w:rPr>
                <w:rFonts w:eastAsia="Times New Roman" w:cs="Times New Roman"/>
                <w:b/>
                <w:bCs/>
                <w:color w:val="FFFFFF"/>
                <w:spacing w:val="0"/>
                <w:szCs w:val="24"/>
                <w:lang w:eastAsia="es-DO"/>
              </w:rPr>
              <w:t>SOLICITUDES RECIBIDAS</w:t>
            </w:r>
          </w:p>
        </w:tc>
      </w:tr>
      <w:tr w:rsidR="001308EC" w14:paraId="4E96D0D3" w14:textId="77777777">
        <w:trPr>
          <w:trHeight w:val="489"/>
        </w:trPr>
        <w:tc>
          <w:tcPr>
            <w:tcW w:w="5284" w:type="dxa"/>
            <w:tcBorders>
              <w:top w:val="nil"/>
              <w:left w:val="single" w:sz="8" w:space="0" w:color="FFFFFF"/>
              <w:bottom w:val="single" w:sz="8" w:space="0" w:color="FFFFFF"/>
              <w:right w:val="single" w:sz="8" w:space="0" w:color="FFFFFF"/>
            </w:tcBorders>
            <w:shd w:val="clear" w:color="auto" w:fill="E7E6E6"/>
            <w:vAlign w:val="center"/>
            <w:hideMark/>
          </w:tcPr>
          <w:p w14:paraId="1DCDA3FC" w14:textId="77777777" w:rsidR="001308EC" w:rsidRDefault="001308EC">
            <w:pPr>
              <w:spacing w:line="240" w:lineRule="auto"/>
              <w:rPr>
                <w:rFonts w:eastAsia="Times New Roman" w:cs="Times New Roman"/>
                <w:b/>
                <w:bCs/>
                <w:color w:val="auto"/>
                <w:spacing w:val="0"/>
                <w:szCs w:val="24"/>
                <w:lang w:eastAsia="es-DO"/>
              </w:rPr>
            </w:pPr>
            <w:r>
              <w:rPr>
                <w:rFonts w:eastAsia="Times New Roman" w:cs="Times New Roman"/>
                <w:b/>
                <w:bCs/>
                <w:color w:val="auto"/>
                <w:spacing w:val="0"/>
                <w:szCs w:val="24"/>
                <w:lang w:eastAsia="es-DO"/>
              </w:rPr>
              <w:t xml:space="preserve">Total Solicitudes Recibidas  </w:t>
            </w:r>
          </w:p>
        </w:tc>
        <w:tc>
          <w:tcPr>
            <w:tcW w:w="2734" w:type="dxa"/>
            <w:tcBorders>
              <w:top w:val="nil"/>
              <w:left w:val="nil"/>
              <w:bottom w:val="single" w:sz="8" w:space="0" w:color="FFFFFF"/>
              <w:right w:val="single" w:sz="8" w:space="0" w:color="FFFFFF"/>
            </w:tcBorders>
            <w:shd w:val="clear" w:color="auto" w:fill="E7E6E6"/>
            <w:vAlign w:val="center"/>
            <w:hideMark/>
          </w:tcPr>
          <w:p w14:paraId="7518AC4C" w14:textId="77777777" w:rsidR="001308EC" w:rsidRDefault="001308EC">
            <w:pPr>
              <w:spacing w:line="240" w:lineRule="auto"/>
              <w:jc w:val="center"/>
              <w:rPr>
                <w:rFonts w:eastAsia="Times New Roman" w:cs="Times New Roman"/>
                <w:b/>
                <w:bCs/>
                <w:color w:val="auto"/>
                <w:spacing w:val="0"/>
                <w:szCs w:val="24"/>
                <w:lang w:eastAsia="es-DO"/>
              </w:rPr>
            </w:pPr>
            <w:r>
              <w:rPr>
                <w:rFonts w:eastAsia="Times New Roman" w:cs="Times New Roman"/>
                <w:b/>
                <w:bCs/>
                <w:color w:val="auto"/>
                <w:spacing w:val="0"/>
                <w:szCs w:val="24"/>
                <w:lang w:eastAsia="es-DO"/>
              </w:rPr>
              <w:t>501</w:t>
            </w:r>
          </w:p>
        </w:tc>
      </w:tr>
      <w:tr w:rsidR="001308EC" w14:paraId="5111DC00" w14:textId="77777777">
        <w:trPr>
          <w:trHeight w:val="435"/>
        </w:trPr>
        <w:tc>
          <w:tcPr>
            <w:tcW w:w="5284" w:type="dxa"/>
            <w:tcBorders>
              <w:top w:val="nil"/>
              <w:left w:val="single" w:sz="8" w:space="0" w:color="FFFFFF"/>
              <w:bottom w:val="single" w:sz="8" w:space="0" w:color="FFFFFF"/>
              <w:right w:val="single" w:sz="8" w:space="0" w:color="FFFFFF"/>
            </w:tcBorders>
            <w:shd w:val="clear" w:color="auto" w:fill="FFFFFF"/>
            <w:vAlign w:val="center"/>
            <w:hideMark/>
          </w:tcPr>
          <w:p w14:paraId="0AD61A2E" w14:textId="77777777" w:rsidR="001308EC" w:rsidRDefault="001308EC">
            <w:pPr>
              <w:spacing w:line="240" w:lineRule="auto"/>
              <w:rPr>
                <w:rFonts w:eastAsia="Times New Roman" w:cs="Times New Roman"/>
                <w:color w:val="auto"/>
                <w:spacing w:val="0"/>
                <w:szCs w:val="24"/>
                <w:lang w:eastAsia="es-DO"/>
              </w:rPr>
            </w:pPr>
            <w:r>
              <w:rPr>
                <w:rFonts w:eastAsia="Times New Roman" w:cs="Times New Roman"/>
                <w:color w:val="auto"/>
                <w:spacing w:val="0"/>
                <w:szCs w:val="24"/>
                <w:lang w:eastAsia="es-DO"/>
              </w:rPr>
              <w:t>Cerradas por Requerimiento del Ciudadano</w:t>
            </w:r>
          </w:p>
        </w:tc>
        <w:tc>
          <w:tcPr>
            <w:tcW w:w="2734" w:type="dxa"/>
            <w:tcBorders>
              <w:top w:val="nil"/>
              <w:left w:val="nil"/>
              <w:bottom w:val="single" w:sz="8" w:space="0" w:color="FFFFFF"/>
              <w:right w:val="single" w:sz="8" w:space="0" w:color="FFFFFF"/>
            </w:tcBorders>
            <w:shd w:val="clear" w:color="auto" w:fill="FFFFFF"/>
            <w:vAlign w:val="center"/>
            <w:hideMark/>
          </w:tcPr>
          <w:p w14:paraId="52B6FCEC" w14:textId="77777777" w:rsidR="001308EC" w:rsidRDefault="001308EC">
            <w:pPr>
              <w:spacing w:line="240" w:lineRule="auto"/>
              <w:jc w:val="center"/>
              <w:rPr>
                <w:rFonts w:eastAsia="Times New Roman" w:cs="Times New Roman"/>
                <w:color w:val="auto"/>
                <w:spacing w:val="0"/>
                <w:szCs w:val="24"/>
                <w:lang w:eastAsia="es-DO"/>
              </w:rPr>
            </w:pPr>
            <w:r>
              <w:rPr>
                <w:rFonts w:eastAsia="Times New Roman" w:cs="Times New Roman"/>
                <w:color w:val="auto"/>
                <w:spacing w:val="0"/>
                <w:szCs w:val="24"/>
                <w:lang w:eastAsia="es-DO"/>
              </w:rPr>
              <w:t>15</w:t>
            </w:r>
          </w:p>
        </w:tc>
      </w:tr>
      <w:tr w:rsidR="001308EC" w14:paraId="15A80793" w14:textId="77777777">
        <w:trPr>
          <w:trHeight w:val="435"/>
        </w:trPr>
        <w:tc>
          <w:tcPr>
            <w:tcW w:w="5284" w:type="dxa"/>
            <w:tcBorders>
              <w:top w:val="nil"/>
              <w:left w:val="single" w:sz="8" w:space="0" w:color="FFFFFF"/>
              <w:bottom w:val="single" w:sz="8" w:space="0" w:color="FFFFFF"/>
              <w:right w:val="single" w:sz="8" w:space="0" w:color="FFFFFF"/>
            </w:tcBorders>
            <w:shd w:val="clear" w:color="auto" w:fill="E7E6E6"/>
            <w:vAlign w:val="center"/>
            <w:hideMark/>
          </w:tcPr>
          <w:p w14:paraId="3531C5EA" w14:textId="77777777" w:rsidR="001308EC" w:rsidRDefault="001308EC">
            <w:pPr>
              <w:spacing w:line="240" w:lineRule="auto"/>
              <w:rPr>
                <w:rFonts w:eastAsia="Times New Roman" w:cs="Times New Roman"/>
                <w:color w:val="auto"/>
                <w:spacing w:val="0"/>
                <w:szCs w:val="24"/>
                <w:lang w:eastAsia="es-DO"/>
              </w:rPr>
            </w:pPr>
            <w:r>
              <w:rPr>
                <w:rFonts w:eastAsia="Times New Roman" w:cs="Times New Roman"/>
                <w:color w:val="auto"/>
                <w:spacing w:val="0"/>
                <w:szCs w:val="24"/>
                <w:lang w:eastAsia="es-DO"/>
              </w:rPr>
              <w:t>Completadas Disponibles en SAIP</w:t>
            </w:r>
          </w:p>
        </w:tc>
        <w:tc>
          <w:tcPr>
            <w:tcW w:w="2734" w:type="dxa"/>
            <w:tcBorders>
              <w:top w:val="nil"/>
              <w:left w:val="nil"/>
              <w:bottom w:val="single" w:sz="8" w:space="0" w:color="FFFFFF"/>
              <w:right w:val="single" w:sz="8" w:space="0" w:color="FFFFFF"/>
            </w:tcBorders>
            <w:shd w:val="clear" w:color="auto" w:fill="E7E6E6"/>
            <w:vAlign w:val="center"/>
            <w:hideMark/>
          </w:tcPr>
          <w:p w14:paraId="51827AA6" w14:textId="77777777" w:rsidR="001308EC" w:rsidRDefault="001308EC">
            <w:pPr>
              <w:spacing w:line="240" w:lineRule="auto"/>
              <w:jc w:val="center"/>
              <w:rPr>
                <w:rFonts w:eastAsia="Times New Roman" w:cs="Times New Roman"/>
                <w:color w:val="auto"/>
                <w:spacing w:val="0"/>
                <w:szCs w:val="24"/>
                <w:lang w:eastAsia="es-DO"/>
              </w:rPr>
            </w:pPr>
            <w:r>
              <w:rPr>
                <w:rFonts w:eastAsia="Times New Roman" w:cs="Times New Roman"/>
                <w:color w:val="auto"/>
                <w:spacing w:val="0"/>
                <w:szCs w:val="24"/>
                <w:lang w:eastAsia="es-DO"/>
              </w:rPr>
              <w:t>435</w:t>
            </w:r>
          </w:p>
        </w:tc>
      </w:tr>
      <w:tr w:rsidR="001308EC" w14:paraId="014243F5" w14:textId="77777777">
        <w:trPr>
          <w:trHeight w:val="435"/>
        </w:trPr>
        <w:tc>
          <w:tcPr>
            <w:tcW w:w="5284" w:type="dxa"/>
            <w:tcBorders>
              <w:top w:val="nil"/>
              <w:left w:val="single" w:sz="8" w:space="0" w:color="FFFFFF"/>
              <w:bottom w:val="single" w:sz="8" w:space="0" w:color="FFFFFF"/>
              <w:right w:val="single" w:sz="8" w:space="0" w:color="FFFFFF"/>
            </w:tcBorders>
            <w:shd w:val="clear" w:color="auto" w:fill="FFFFFF"/>
            <w:vAlign w:val="center"/>
            <w:hideMark/>
          </w:tcPr>
          <w:p w14:paraId="6A376100" w14:textId="77777777" w:rsidR="001308EC" w:rsidRDefault="001308EC">
            <w:pPr>
              <w:spacing w:line="240" w:lineRule="auto"/>
              <w:rPr>
                <w:rFonts w:eastAsia="Times New Roman" w:cs="Times New Roman"/>
                <w:color w:val="auto"/>
                <w:spacing w:val="0"/>
                <w:szCs w:val="24"/>
                <w:lang w:eastAsia="es-DO"/>
              </w:rPr>
            </w:pPr>
            <w:r>
              <w:rPr>
                <w:rFonts w:eastAsia="Times New Roman" w:cs="Times New Roman"/>
                <w:color w:val="auto"/>
                <w:spacing w:val="0"/>
                <w:szCs w:val="24"/>
                <w:lang w:eastAsia="es-DO"/>
              </w:rPr>
              <w:t>En Prórroga</w:t>
            </w:r>
          </w:p>
        </w:tc>
        <w:tc>
          <w:tcPr>
            <w:tcW w:w="2734" w:type="dxa"/>
            <w:tcBorders>
              <w:top w:val="nil"/>
              <w:left w:val="nil"/>
              <w:bottom w:val="single" w:sz="8" w:space="0" w:color="FFFFFF"/>
              <w:right w:val="single" w:sz="8" w:space="0" w:color="FFFFFF"/>
            </w:tcBorders>
            <w:shd w:val="clear" w:color="auto" w:fill="FFFFFF"/>
            <w:vAlign w:val="center"/>
            <w:hideMark/>
          </w:tcPr>
          <w:p w14:paraId="69912B98" w14:textId="77777777" w:rsidR="001308EC" w:rsidRDefault="001308EC">
            <w:pPr>
              <w:spacing w:line="240" w:lineRule="auto"/>
              <w:jc w:val="center"/>
              <w:rPr>
                <w:rFonts w:eastAsia="Times New Roman" w:cs="Times New Roman"/>
                <w:color w:val="auto"/>
                <w:spacing w:val="0"/>
                <w:szCs w:val="24"/>
                <w:lang w:eastAsia="es-DO"/>
              </w:rPr>
            </w:pPr>
            <w:r>
              <w:rPr>
                <w:rFonts w:eastAsia="Times New Roman" w:cs="Times New Roman"/>
                <w:color w:val="auto"/>
                <w:spacing w:val="0"/>
                <w:szCs w:val="24"/>
                <w:lang w:eastAsia="es-DO"/>
              </w:rPr>
              <w:t>0</w:t>
            </w:r>
          </w:p>
        </w:tc>
      </w:tr>
      <w:tr w:rsidR="001308EC" w14:paraId="4A6189E7" w14:textId="77777777">
        <w:trPr>
          <w:trHeight w:val="435"/>
        </w:trPr>
        <w:tc>
          <w:tcPr>
            <w:tcW w:w="5284" w:type="dxa"/>
            <w:tcBorders>
              <w:top w:val="nil"/>
              <w:left w:val="single" w:sz="8" w:space="0" w:color="FFFFFF"/>
              <w:bottom w:val="single" w:sz="8" w:space="0" w:color="FFFFFF"/>
              <w:right w:val="single" w:sz="8" w:space="0" w:color="FFFFFF"/>
            </w:tcBorders>
            <w:shd w:val="clear" w:color="auto" w:fill="E7E6E6"/>
            <w:vAlign w:val="center"/>
            <w:hideMark/>
          </w:tcPr>
          <w:p w14:paraId="6635CA65" w14:textId="77777777" w:rsidR="001308EC" w:rsidRDefault="001308EC">
            <w:pPr>
              <w:spacing w:line="240" w:lineRule="auto"/>
              <w:rPr>
                <w:rFonts w:eastAsia="Times New Roman" w:cs="Times New Roman"/>
                <w:color w:val="auto"/>
                <w:spacing w:val="0"/>
                <w:szCs w:val="24"/>
                <w:lang w:eastAsia="es-DO"/>
              </w:rPr>
            </w:pPr>
            <w:r>
              <w:rPr>
                <w:rFonts w:eastAsia="Times New Roman" w:cs="Times New Roman"/>
                <w:color w:val="auto"/>
                <w:spacing w:val="0"/>
                <w:szCs w:val="24"/>
                <w:lang w:eastAsia="es-DO"/>
              </w:rPr>
              <w:t>Entregadas en Oficina</w:t>
            </w:r>
          </w:p>
        </w:tc>
        <w:tc>
          <w:tcPr>
            <w:tcW w:w="2734" w:type="dxa"/>
            <w:tcBorders>
              <w:top w:val="nil"/>
              <w:left w:val="nil"/>
              <w:bottom w:val="single" w:sz="8" w:space="0" w:color="FFFFFF"/>
              <w:right w:val="single" w:sz="8" w:space="0" w:color="FFFFFF"/>
            </w:tcBorders>
            <w:shd w:val="clear" w:color="auto" w:fill="E7E6E6"/>
            <w:vAlign w:val="center"/>
            <w:hideMark/>
          </w:tcPr>
          <w:p w14:paraId="38A26DF8" w14:textId="77777777" w:rsidR="001308EC" w:rsidRDefault="001308EC">
            <w:pPr>
              <w:spacing w:line="240" w:lineRule="auto"/>
              <w:jc w:val="center"/>
              <w:rPr>
                <w:rFonts w:eastAsia="Times New Roman" w:cs="Times New Roman"/>
                <w:color w:val="auto"/>
                <w:spacing w:val="0"/>
                <w:szCs w:val="24"/>
                <w:lang w:eastAsia="es-DO"/>
              </w:rPr>
            </w:pPr>
            <w:r>
              <w:rPr>
                <w:rFonts w:eastAsia="Times New Roman" w:cs="Times New Roman"/>
                <w:color w:val="auto"/>
                <w:spacing w:val="0"/>
                <w:szCs w:val="24"/>
                <w:lang w:eastAsia="es-DO"/>
              </w:rPr>
              <w:t>0</w:t>
            </w:r>
          </w:p>
        </w:tc>
      </w:tr>
      <w:tr w:rsidR="001308EC" w14:paraId="53F570C4" w14:textId="77777777">
        <w:trPr>
          <w:trHeight w:val="857"/>
        </w:trPr>
        <w:tc>
          <w:tcPr>
            <w:tcW w:w="5284" w:type="dxa"/>
            <w:tcBorders>
              <w:top w:val="nil"/>
              <w:left w:val="single" w:sz="8" w:space="0" w:color="FFFFFF"/>
              <w:bottom w:val="single" w:sz="8" w:space="0" w:color="FFFFFF"/>
              <w:right w:val="single" w:sz="8" w:space="0" w:color="FFFFFF"/>
            </w:tcBorders>
            <w:shd w:val="clear" w:color="auto" w:fill="FFFFFF"/>
            <w:vAlign w:val="center"/>
            <w:hideMark/>
          </w:tcPr>
          <w:p w14:paraId="1AF42F59" w14:textId="77777777" w:rsidR="001308EC" w:rsidRDefault="001308EC">
            <w:pPr>
              <w:spacing w:line="240" w:lineRule="auto"/>
              <w:rPr>
                <w:rFonts w:eastAsia="Times New Roman" w:cs="Times New Roman"/>
                <w:color w:val="auto"/>
                <w:spacing w:val="0"/>
                <w:szCs w:val="24"/>
                <w:lang w:eastAsia="es-DO"/>
              </w:rPr>
            </w:pPr>
            <w:r>
              <w:rPr>
                <w:rFonts w:eastAsia="Times New Roman" w:cs="Times New Roman"/>
                <w:color w:val="auto"/>
                <w:spacing w:val="0"/>
                <w:szCs w:val="24"/>
                <w:lang w:eastAsia="es-DO"/>
              </w:rPr>
              <w:t>Presentadas con Información Incompleta por el Ciudadano</w:t>
            </w:r>
          </w:p>
        </w:tc>
        <w:tc>
          <w:tcPr>
            <w:tcW w:w="2734" w:type="dxa"/>
            <w:tcBorders>
              <w:top w:val="nil"/>
              <w:left w:val="nil"/>
              <w:bottom w:val="single" w:sz="8" w:space="0" w:color="FFFFFF"/>
              <w:right w:val="single" w:sz="8" w:space="0" w:color="FFFFFF"/>
            </w:tcBorders>
            <w:shd w:val="clear" w:color="auto" w:fill="FFFFFF"/>
            <w:vAlign w:val="center"/>
            <w:hideMark/>
          </w:tcPr>
          <w:p w14:paraId="24C9274D" w14:textId="77777777" w:rsidR="001308EC" w:rsidRDefault="001308EC">
            <w:pPr>
              <w:spacing w:line="240" w:lineRule="auto"/>
              <w:jc w:val="center"/>
              <w:rPr>
                <w:rFonts w:eastAsia="Times New Roman" w:cs="Times New Roman"/>
                <w:color w:val="auto"/>
                <w:spacing w:val="0"/>
                <w:szCs w:val="24"/>
                <w:lang w:eastAsia="es-DO"/>
              </w:rPr>
            </w:pPr>
            <w:r>
              <w:rPr>
                <w:rFonts w:eastAsia="Times New Roman" w:cs="Times New Roman"/>
                <w:color w:val="auto"/>
                <w:spacing w:val="0"/>
                <w:szCs w:val="24"/>
                <w:lang w:eastAsia="es-DO"/>
              </w:rPr>
              <w:t>15</w:t>
            </w:r>
          </w:p>
        </w:tc>
      </w:tr>
      <w:tr w:rsidR="001308EC" w14:paraId="1C71E45B" w14:textId="77777777">
        <w:trPr>
          <w:trHeight w:val="435"/>
        </w:trPr>
        <w:tc>
          <w:tcPr>
            <w:tcW w:w="5284" w:type="dxa"/>
            <w:tcBorders>
              <w:top w:val="nil"/>
              <w:left w:val="single" w:sz="8" w:space="0" w:color="FFFFFF"/>
              <w:bottom w:val="single" w:sz="8" w:space="0" w:color="FFFFFF"/>
              <w:right w:val="single" w:sz="8" w:space="0" w:color="FFFFFF"/>
            </w:tcBorders>
            <w:shd w:val="clear" w:color="auto" w:fill="E7E6E6"/>
            <w:vAlign w:val="center"/>
            <w:hideMark/>
          </w:tcPr>
          <w:p w14:paraId="09F3E719" w14:textId="77777777" w:rsidR="001308EC" w:rsidRDefault="001308EC">
            <w:pPr>
              <w:spacing w:line="240" w:lineRule="auto"/>
              <w:rPr>
                <w:rFonts w:eastAsia="Times New Roman" w:cs="Times New Roman"/>
                <w:color w:val="auto"/>
                <w:spacing w:val="0"/>
                <w:szCs w:val="24"/>
                <w:lang w:eastAsia="es-DO"/>
              </w:rPr>
            </w:pPr>
            <w:r>
              <w:rPr>
                <w:rFonts w:eastAsia="Times New Roman" w:cs="Times New Roman"/>
                <w:color w:val="auto"/>
                <w:spacing w:val="0"/>
                <w:szCs w:val="24"/>
                <w:lang w:eastAsia="es-DO"/>
              </w:rPr>
              <w:t>Plazo de Contacto Vencido</w:t>
            </w:r>
          </w:p>
        </w:tc>
        <w:tc>
          <w:tcPr>
            <w:tcW w:w="2734" w:type="dxa"/>
            <w:tcBorders>
              <w:top w:val="nil"/>
              <w:left w:val="nil"/>
              <w:bottom w:val="single" w:sz="8" w:space="0" w:color="FFFFFF"/>
              <w:right w:val="single" w:sz="8" w:space="0" w:color="FFFFFF"/>
            </w:tcBorders>
            <w:shd w:val="clear" w:color="auto" w:fill="E7E6E6"/>
            <w:vAlign w:val="center"/>
            <w:hideMark/>
          </w:tcPr>
          <w:p w14:paraId="6CF56007" w14:textId="77777777" w:rsidR="001308EC" w:rsidRDefault="001308EC">
            <w:pPr>
              <w:spacing w:line="240" w:lineRule="auto"/>
              <w:jc w:val="center"/>
              <w:rPr>
                <w:rFonts w:eastAsia="Times New Roman" w:cs="Times New Roman"/>
                <w:color w:val="auto"/>
                <w:spacing w:val="0"/>
                <w:szCs w:val="24"/>
                <w:lang w:eastAsia="es-DO"/>
              </w:rPr>
            </w:pPr>
            <w:r>
              <w:rPr>
                <w:rFonts w:eastAsia="Times New Roman" w:cs="Times New Roman"/>
                <w:color w:val="auto"/>
                <w:spacing w:val="0"/>
                <w:szCs w:val="24"/>
                <w:lang w:eastAsia="es-DO"/>
              </w:rPr>
              <w:t>2</w:t>
            </w:r>
          </w:p>
        </w:tc>
      </w:tr>
      <w:tr w:rsidR="001308EC" w14:paraId="77AC6682" w14:textId="77777777">
        <w:trPr>
          <w:trHeight w:val="435"/>
        </w:trPr>
        <w:tc>
          <w:tcPr>
            <w:tcW w:w="5284" w:type="dxa"/>
            <w:tcBorders>
              <w:top w:val="nil"/>
              <w:left w:val="single" w:sz="8" w:space="0" w:color="FFFFFF"/>
              <w:bottom w:val="single" w:sz="8" w:space="0" w:color="FFFFFF"/>
              <w:right w:val="single" w:sz="8" w:space="0" w:color="FFFFFF"/>
            </w:tcBorders>
            <w:shd w:val="clear" w:color="auto" w:fill="FFFFFF"/>
            <w:vAlign w:val="center"/>
            <w:hideMark/>
          </w:tcPr>
          <w:p w14:paraId="58523B9E" w14:textId="77777777" w:rsidR="001308EC" w:rsidRDefault="001308EC">
            <w:pPr>
              <w:spacing w:line="240" w:lineRule="auto"/>
              <w:rPr>
                <w:rFonts w:eastAsia="Times New Roman" w:cs="Times New Roman"/>
                <w:color w:val="auto"/>
                <w:spacing w:val="0"/>
                <w:szCs w:val="24"/>
                <w:lang w:eastAsia="es-DO"/>
              </w:rPr>
            </w:pPr>
            <w:r>
              <w:rPr>
                <w:rFonts w:eastAsia="Times New Roman" w:cs="Times New Roman"/>
                <w:color w:val="auto"/>
                <w:spacing w:val="0"/>
                <w:szCs w:val="24"/>
                <w:lang w:eastAsia="es-DO"/>
              </w:rPr>
              <w:t>Recopilando Información (abiertas)</w:t>
            </w:r>
          </w:p>
        </w:tc>
        <w:tc>
          <w:tcPr>
            <w:tcW w:w="2734" w:type="dxa"/>
            <w:tcBorders>
              <w:top w:val="nil"/>
              <w:left w:val="nil"/>
              <w:bottom w:val="single" w:sz="8" w:space="0" w:color="FFFFFF"/>
              <w:right w:val="single" w:sz="8" w:space="0" w:color="FFFFFF"/>
            </w:tcBorders>
            <w:shd w:val="clear" w:color="auto" w:fill="FFFFFF"/>
            <w:vAlign w:val="center"/>
            <w:hideMark/>
          </w:tcPr>
          <w:p w14:paraId="65C5FDF4" w14:textId="77777777" w:rsidR="001308EC" w:rsidRDefault="001308EC">
            <w:pPr>
              <w:spacing w:line="240" w:lineRule="auto"/>
              <w:jc w:val="center"/>
              <w:rPr>
                <w:rFonts w:eastAsia="Times New Roman" w:cs="Times New Roman"/>
                <w:color w:val="auto"/>
                <w:spacing w:val="0"/>
                <w:szCs w:val="24"/>
                <w:lang w:eastAsia="es-DO"/>
              </w:rPr>
            </w:pPr>
            <w:r>
              <w:rPr>
                <w:rFonts w:eastAsia="Times New Roman" w:cs="Times New Roman"/>
                <w:color w:val="auto"/>
                <w:spacing w:val="0"/>
                <w:szCs w:val="24"/>
                <w:lang w:eastAsia="es-DO"/>
              </w:rPr>
              <w:t>34</w:t>
            </w:r>
          </w:p>
        </w:tc>
      </w:tr>
    </w:tbl>
    <w:p w14:paraId="2BE58682" w14:textId="77777777" w:rsidR="001308EC" w:rsidRDefault="001308EC" w:rsidP="001308EC">
      <w:pPr>
        <w:pStyle w:val="BodyText"/>
        <w:spacing w:line="360" w:lineRule="auto"/>
        <w:jc w:val="both"/>
        <w:rPr>
          <w:b/>
        </w:rPr>
      </w:pPr>
    </w:p>
    <w:p w14:paraId="1F65F7AE" w14:textId="77777777" w:rsidR="001308EC" w:rsidRDefault="001308EC" w:rsidP="001308EC">
      <w:pPr>
        <w:pStyle w:val="BodyText"/>
        <w:spacing w:line="360" w:lineRule="auto"/>
        <w:jc w:val="both"/>
        <w:rPr>
          <w:b/>
        </w:rPr>
      </w:pPr>
    </w:p>
    <w:p w14:paraId="25DB8882" w14:textId="003E0F6C" w:rsidR="001308EC" w:rsidRDefault="001308EC" w:rsidP="001308EC">
      <w:pPr>
        <w:pStyle w:val="BodyText"/>
        <w:spacing w:line="360" w:lineRule="auto"/>
        <w:jc w:val="both"/>
        <w:rPr>
          <w:b/>
        </w:rPr>
      </w:pPr>
      <w:r>
        <w:rPr>
          <w:b/>
          <w:noProof/>
          <w:lang w:val="es-DO" w:eastAsia="es-DO" w:bidi="ar-SA"/>
        </w:rPr>
        <w:drawing>
          <wp:inline distT="0" distB="0" distL="0" distR="0" wp14:anchorId="595F2778" wp14:editId="03A8916D">
            <wp:extent cx="5029200" cy="2890520"/>
            <wp:effectExtent l="0" t="0" r="0" b="5080"/>
            <wp:docPr id="1589202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29200" cy="2890520"/>
                    </a:xfrm>
                    <a:prstGeom prst="rect">
                      <a:avLst/>
                    </a:prstGeom>
                    <a:noFill/>
                    <a:ln>
                      <a:noFill/>
                    </a:ln>
                  </pic:spPr>
                </pic:pic>
              </a:graphicData>
            </a:graphic>
          </wp:inline>
        </w:drawing>
      </w:r>
    </w:p>
    <w:p w14:paraId="0AC0CD41" w14:textId="77777777" w:rsidR="00BC27E9" w:rsidRPr="00954407" w:rsidRDefault="00BC27E9" w:rsidP="00BC27E9">
      <w:pPr>
        <w:pStyle w:val="EstilodePrrafoNormal1RdeC"/>
        <w:rPr>
          <w:color w:val="767171"/>
        </w:rPr>
      </w:pPr>
    </w:p>
    <w:p w14:paraId="218EF8A1" w14:textId="38F7BFBE" w:rsidR="00BC27E9" w:rsidRPr="00634A56" w:rsidRDefault="00BC27E9" w:rsidP="00634A56">
      <w:pPr>
        <w:pStyle w:val="Heading2"/>
        <w:rPr>
          <w:rFonts w:ascii="Times New Roman" w:hAnsi="Times New Roman" w:cs="Times New Roman"/>
          <w:b/>
          <w:bCs/>
          <w:color w:val="767171"/>
          <w:sz w:val="24"/>
          <w:szCs w:val="24"/>
        </w:rPr>
      </w:pPr>
      <w:bookmarkStart w:id="152" w:name="_Toc217402142"/>
      <w:r w:rsidRPr="00634A56">
        <w:rPr>
          <w:rFonts w:ascii="Times New Roman" w:hAnsi="Times New Roman" w:cs="Times New Roman"/>
          <w:b/>
          <w:bCs/>
          <w:color w:val="767171"/>
          <w:sz w:val="24"/>
          <w:szCs w:val="24"/>
        </w:rPr>
        <w:lastRenderedPageBreak/>
        <w:t>Nivel de la Satisfacción con el Servicio</w:t>
      </w:r>
      <w:bookmarkEnd w:id="152"/>
    </w:p>
    <w:p w14:paraId="04E4ECF1" w14:textId="77777777" w:rsidR="00BC27E9" w:rsidRPr="00954407" w:rsidRDefault="00BC27E9" w:rsidP="00BC27E9">
      <w:pPr>
        <w:pStyle w:val="EstilodePrrafoNormal1RdeC"/>
        <w:rPr>
          <w:rFonts w:eastAsia="Calibri"/>
          <w:spacing w:val="0"/>
          <w:sz w:val="18"/>
        </w:rPr>
      </w:pPr>
    </w:p>
    <w:p w14:paraId="29A38D63" w14:textId="77777777" w:rsidR="00BC27E9" w:rsidRPr="00954407" w:rsidRDefault="00BC27E9" w:rsidP="00BC27E9">
      <w:pPr>
        <w:pStyle w:val="EstilodePrrafoNormal1RdeC"/>
        <w:rPr>
          <w:color w:val="767171"/>
        </w:rPr>
      </w:pPr>
      <w:r w:rsidRPr="00954407">
        <w:rPr>
          <w:color w:val="767171"/>
        </w:rPr>
        <w:t xml:space="preserve">Para el Ministerio de Obras Públicas y Comunicaciones MOPC, medir el nivel de satisfacción del Servicio de Transparencia de Libre Acceso a la Información es fundamental, dado que fortalece la confianza pública de la institución, promueve una gestión más eficiente y orientada al usuario, aporta evidencia de las decisiones y el cumplimiento de las obligaciones legales en materia de transparencia y con esto el ciudadano experimenta mayor seguridad para participar, fiscalizar y relacionarse con el Estado fortaleciendo su compromiso cívico y valoración positiva de la gestión pública. </w:t>
      </w:r>
    </w:p>
    <w:p w14:paraId="0273E210" w14:textId="77777777" w:rsidR="00BC27E9" w:rsidRPr="00954407" w:rsidRDefault="00BC27E9" w:rsidP="00BC27E9">
      <w:pPr>
        <w:pStyle w:val="EstilodePrrafoNormal1RdeC"/>
        <w:rPr>
          <w:color w:val="767171"/>
        </w:rPr>
      </w:pPr>
    </w:p>
    <w:p w14:paraId="32B44426" w14:textId="72981149" w:rsidR="00BC27E9" w:rsidRPr="00954407" w:rsidRDefault="00BC27E9" w:rsidP="00BC27E9">
      <w:pPr>
        <w:pStyle w:val="EstilodePrrafoNormal1RdeC"/>
        <w:rPr>
          <w:color w:val="767171"/>
        </w:rPr>
      </w:pPr>
      <w:r w:rsidRPr="00954407">
        <w:rPr>
          <w:color w:val="767171"/>
        </w:rPr>
        <w:t xml:space="preserve">A </w:t>
      </w:r>
      <w:r w:rsidR="00B75A1C" w:rsidRPr="00954407">
        <w:rPr>
          <w:color w:val="767171"/>
        </w:rPr>
        <w:t>continuación,</w:t>
      </w:r>
      <w:r w:rsidRPr="00954407">
        <w:rPr>
          <w:color w:val="767171"/>
        </w:rPr>
        <w:t xml:space="preserve"> presentamos la valoración del servicio realizado por la OAI, durante el periodo enero-diciembre2025, parametrizados por una escala de calificación de 4 actitudes. (1) Malo (2), Regular, (3) Bueno y (4) Excelente, adicionalmente se consideró un (1) ítem abierto (comentarios), en el cual se solicitó cualquier información, dudas, quejas y/o reclamación que nos permita mejorar nuestros servicios:</w:t>
      </w:r>
    </w:p>
    <w:p w14:paraId="48A73275" w14:textId="77777777" w:rsidR="00BC27E9" w:rsidRPr="00954407" w:rsidRDefault="00BC27E9" w:rsidP="00BC27E9">
      <w:pPr>
        <w:pStyle w:val="EstilodePrrafoNormal1RdeC"/>
        <w:rPr>
          <w:color w:val="767171"/>
        </w:rPr>
      </w:pPr>
    </w:p>
    <w:p w14:paraId="51479C60" w14:textId="7B986422" w:rsidR="00BC27E9" w:rsidRPr="00B75A1C" w:rsidRDefault="00B75A1C" w:rsidP="00B75A1C">
      <w:pPr>
        <w:pStyle w:val="EstilodePrrafoNormal1RdeC"/>
        <w:jc w:val="center"/>
        <w:rPr>
          <w:b/>
          <w:bCs/>
          <w:color w:val="767171"/>
        </w:rPr>
      </w:pPr>
      <w:r w:rsidRPr="00B75A1C">
        <w:rPr>
          <w:b/>
          <w:bCs/>
          <w:color w:val="767171"/>
        </w:rPr>
        <w:t>Percepción de Calidad en el Servicio</w:t>
      </w:r>
    </w:p>
    <w:p w14:paraId="26D8837A" w14:textId="77777777" w:rsidR="001308EC" w:rsidRDefault="001308EC" w:rsidP="001308EC">
      <w:pPr>
        <w:pStyle w:val="BodyText"/>
        <w:jc w:val="center"/>
        <w:rPr>
          <w:b/>
          <w:bCs/>
          <w:color w:val="767171"/>
        </w:rPr>
      </w:pPr>
      <w:bookmarkStart w:id="153" w:name="_Toc78583670"/>
    </w:p>
    <w:tbl>
      <w:tblPr>
        <w:tblW w:w="5795" w:type="dxa"/>
        <w:jc w:val="center"/>
        <w:tblCellMar>
          <w:left w:w="70" w:type="dxa"/>
          <w:right w:w="70" w:type="dxa"/>
        </w:tblCellMar>
        <w:tblLook w:val="04A0" w:firstRow="1" w:lastRow="0" w:firstColumn="1" w:lastColumn="0" w:noHBand="0" w:noVBand="1"/>
      </w:tblPr>
      <w:tblGrid>
        <w:gridCol w:w="1964"/>
        <w:gridCol w:w="2059"/>
        <w:gridCol w:w="1626"/>
        <w:gridCol w:w="146"/>
      </w:tblGrid>
      <w:tr w:rsidR="001308EC" w14:paraId="3D669D73" w14:textId="77777777">
        <w:trPr>
          <w:gridAfter w:val="1"/>
          <w:trHeight w:val="610"/>
          <w:jc w:val="center"/>
        </w:trPr>
        <w:tc>
          <w:tcPr>
            <w:tcW w:w="2014" w:type="dxa"/>
            <w:tcBorders>
              <w:top w:val="single" w:sz="8" w:space="0" w:color="FFFFFF"/>
              <w:left w:val="single" w:sz="8" w:space="0" w:color="FFFFFF"/>
              <w:bottom w:val="single" w:sz="8" w:space="0" w:color="FFFFFF"/>
              <w:right w:val="nil"/>
            </w:tcBorders>
            <w:shd w:val="clear" w:color="auto" w:fill="002060"/>
            <w:vAlign w:val="center"/>
          </w:tcPr>
          <w:p w14:paraId="5B389FD5" w14:textId="77777777" w:rsidR="001308EC" w:rsidRDefault="001308EC">
            <w:pPr>
              <w:spacing w:line="240" w:lineRule="auto"/>
              <w:rPr>
                <w:rFonts w:eastAsia="Times New Roman" w:cs="Times New Roman"/>
                <w:b/>
                <w:bCs/>
                <w:color w:val="FFFFFF"/>
                <w:spacing w:val="0"/>
                <w:sz w:val="22"/>
                <w:lang w:eastAsia="es-DO"/>
              </w:rPr>
            </w:pPr>
          </w:p>
          <w:p w14:paraId="26589748" w14:textId="77777777" w:rsidR="001308EC" w:rsidRDefault="001308EC">
            <w:pPr>
              <w:spacing w:line="240" w:lineRule="auto"/>
              <w:rPr>
                <w:rFonts w:eastAsia="Times New Roman" w:cs="Times New Roman"/>
                <w:b/>
                <w:bCs/>
                <w:color w:val="FFFFFF"/>
                <w:spacing w:val="0"/>
                <w:sz w:val="22"/>
                <w:lang w:eastAsia="es-DO"/>
              </w:rPr>
            </w:pPr>
          </w:p>
          <w:p w14:paraId="2FB06406" w14:textId="77777777" w:rsidR="001308EC" w:rsidRDefault="001308EC">
            <w:pPr>
              <w:spacing w:line="240" w:lineRule="auto"/>
              <w:jc w:val="center"/>
              <w:rPr>
                <w:rFonts w:eastAsia="Times New Roman" w:cs="Times New Roman"/>
                <w:b/>
                <w:bCs/>
                <w:color w:val="FFFFFF"/>
                <w:spacing w:val="0"/>
                <w:sz w:val="22"/>
                <w:lang w:eastAsia="es-DO"/>
              </w:rPr>
            </w:pPr>
            <w:r>
              <w:rPr>
                <w:rFonts w:eastAsia="Times New Roman" w:cs="Times New Roman"/>
                <w:b/>
                <w:bCs/>
                <w:color w:val="FFFFFF"/>
                <w:spacing w:val="0"/>
                <w:sz w:val="22"/>
                <w:lang w:eastAsia="es-DO"/>
              </w:rPr>
              <w:t>PERIODO</w:t>
            </w:r>
          </w:p>
        </w:tc>
        <w:tc>
          <w:tcPr>
            <w:tcW w:w="3781" w:type="dxa"/>
            <w:gridSpan w:val="2"/>
            <w:tcBorders>
              <w:top w:val="single" w:sz="8" w:space="0" w:color="FFFFFF"/>
              <w:left w:val="nil"/>
              <w:bottom w:val="single" w:sz="8" w:space="0" w:color="FFFFFF"/>
              <w:right w:val="nil"/>
            </w:tcBorders>
            <w:shd w:val="clear" w:color="auto" w:fill="002060"/>
            <w:vAlign w:val="bottom"/>
            <w:hideMark/>
          </w:tcPr>
          <w:p w14:paraId="1CF9FCDE" w14:textId="77777777" w:rsidR="001308EC" w:rsidRDefault="001308EC">
            <w:pPr>
              <w:spacing w:line="240" w:lineRule="auto"/>
              <w:jc w:val="center"/>
              <w:rPr>
                <w:rFonts w:eastAsia="Times New Roman" w:cs="Times New Roman"/>
                <w:b/>
                <w:bCs/>
                <w:color w:val="FFFFFF"/>
                <w:spacing w:val="0"/>
                <w:sz w:val="22"/>
                <w:lang w:eastAsia="es-DO"/>
              </w:rPr>
            </w:pPr>
            <w:r>
              <w:rPr>
                <w:rFonts w:eastAsia="Times New Roman" w:cs="Times New Roman"/>
                <w:b/>
                <w:bCs/>
                <w:color w:val="FFFFFF"/>
                <w:spacing w:val="0"/>
                <w:sz w:val="22"/>
                <w:lang w:eastAsia="es-DO"/>
              </w:rPr>
              <w:t>ENERO-NOVIEMBRE 2025</w:t>
            </w:r>
          </w:p>
        </w:tc>
      </w:tr>
      <w:tr w:rsidR="001308EC" w14:paraId="548B678B" w14:textId="77777777">
        <w:trPr>
          <w:gridAfter w:val="1"/>
          <w:trHeight w:val="480"/>
          <w:jc w:val="center"/>
        </w:trPr>
        <w:tc>
          <w:tcPr>
            <w:tcW w:w="2014" w:type="dxa"/>
            <w:vMerge w:val="restart"/>
            <w:tcBorders>
              <w:top w:val="nil"/>
              <w:left w:val="single" w:sz="8" w:space="0" w:color="FFFFFF"/>
              <w:bottom w:val="single" w:sz="8" w:space="0" w:color="FFFFFF"/>
              <w:right w:val="single" w:sz="8" w:space="0" w:color="FFFFFF"/>
            </w:tcBorders>
            <w:shd w:val="clear" w:color="auto" w:fill="002060"/>
            <w:vAlign w:val="center"/>
            <w:hideMark/>
          </w:tcPr>
          <w:p w14:paraId="24B32596" w14:textId="77777777" w:rsidR="001308EC" w:rsidRDefault="001308EC">
            <w:pPr>
              <w:spacing w:line="240" w:lineRule="auto"/>
              <w:jc w:val="center"/>
              <w:rPr>
                <w:rFonts w:eastAsia="Times New Roman" w:cs="Times New Roman"/>
                <w:b/>
                <w:bCs/>
                <w:color w:val="FFFFFF"/>
                <w:spacing w:val="0"/>
                <w:sz w:val="22"/>
                <w:lang w:eastAsia="es-DO"/>
              </w:rPr>
            </w:pPr>
            <w:r>
              <w:rPr>
                <w:rFonts w:eastAsia="Times New Roman" w:cs="Times New Roman"/>
                <w:b/>
                <w:bCs/>
                <w:color w:val="FFFFFF"/>
                <w:spacing w:val="0"/>
                <w:sz w:val="22"/>
                <w:lang w:eastAsia="es-DO"/>
              </w:rPr>
              <w:t>Valoración</w:t>
            </w:r>
          </w:p>
        </w:tc>
        <w:tc>
          <w:tcPr>
            <w:tcW w:w="2125" w:type="dxa"/>
            <w:vMerge w:val="restart"/>
            <w:tcBorders>
              <w:top w:val="nil"/>
              <w:left w:val="single" w:sz="8" w:space="0" w:color="FFFFFF"/>
              <w:bottom w:val="single" w:sz="8" w:space="0" w:color="FFFFFF"/>
              <w:right w:val="single" w:sz="8" w:space="0" w:color="FFFFFF"/>
            </w:tcBorders>
            <w:shd w:val="clear" w:color="auto" w:fill="002060"/>
            <w:vAlign w:val="center"/>
            <w:hideMark/>
          </w:tcPr>
          <w:p w14:paraId="07B5B90C" w14:textId="77777777" w:rsidR="001308EC" w:rsidRDefault="001308EC">
            <w:pPr>
              <w:spacing w:line="240" w:lineRule="auto"/>
              <w:jc w:val="center"/>
              <w:rPr>
                <w:rFonts w:eastAsia="Times New Roman" w:cs="Times New Roman"/>
                <w:b/>
                <w:bCs/>
                <w:color w:val="FFFFFF"/>
                <w:spacing w:val="0"/>
                <w:sz w:val="22"/>
                <w:lang w:eastAsia="es-DO"/>
              </w:rPr>
            </w:pPr>
            <w:r>
              <w:rPr>
                <w:rFonts w:eastAsia="Times New Roman" w:cs="Times New Roman"/>
                <w:b/>
                <w:bCs/>
                <w:color w:val="FFFFFF"/>
                <w:spacing w:val="0"/>
                <w:sz w:val="22"/>
                <w:lang w:eastAsia="es-DO"/>
              </w:rPr>
              <w:t>Cantidad</w:t>
            </w:r>
          </w:p>
        </w:tc>
        <w:tc>
          <w:tcPr>
            <w:tcW w:w="1655" w:type="dxa"/>
            <w:vMerge w:val="restart"/>
            <w:tcBorders>
              <w:top w:val="nil"/>
              <w:left w:val="single" w:sz="8" w:space="0" w:color="FFFFFF"/>
              <w:bottom w:val="single" w:sz="8" w:space="0" w:color="FFFFFF"/>
              <w:right w:val="single" w:sz="8" w:space="0" w:color="FFFFFF"/>
            </w:tcBorders>
            <w:shd w:val="clear" w:color="auto" w:fill="002060"/>
            <w:vAlign w:val="center"/>
            <w:hideMark/>
          </w:tcPr>
          <w:p w14:paraId="6188B4C2" w14:textId="77777777" w:rsidR="001308EC" w:rsidRDefault="001308EC">
            <w:pPr>
              <w:spacing w:line="240" w:lineRule="auto"/>
              <w:jc w:val="center"/>
              <w:rPr>
                <w:rFonts w:eastAsia="Times New Roman" w:cs="Times New Roman"/>
                <w:b/>
                <w:bCs/>
                <w:color w:val="FFFFFF"/>
                <w:spacing w:val="0"/>
                <w:sz w:val="22"/>
                <w:lang w:eastAsia="es-DO"/>
              </w:rPr>
            </w:pPr>
            <w:r>
              <w:rPr>
                <w:rFonts w:eastAsia="Times New Roman" w:cs="Times New Roman"/>
                <w:b/>
                <w:bCs/>
                <w:color w:val="FFFFFF"/>
                <w:spacing w:val="0"/>
                <w:sz w:val="22"/>
                <w:lang w:eastAsia="es-DO"/>
              </w:rPr>
              <w:t>Porcentaje</w:t>
            </w:r>
          </w:p>
        </w:tc>
      </w:tr>
      <w:tr w:rsidR="001308EC" w14:paraId="48A64949" w14:textId="77777777">
        <w:trPr>
          <w:trHeight w:val="458"/>
          <w:jc w:val="center"/>
        </w:trPr>
        <w:tc>
          <w:tcPr>
            <w:tcW w:w="0" w:type="auto"/>
            <w:vMerge/>
            <w:tcBorders>
              <w:top w:val="nil"/>
              <w:left w:val="single" w:sz="8" w:space="0" w:color="FFFFFF"/>
              <w:bottom w:val="single" w:sz="8" w:space="0" w:color="FFFFFF"/>
              <w:right w:val="single" w:sz="8" w:space="0" w:color="FFFFFF"/>
            </w:tcBorders>
            <w:vAlign w:val="center"/>
            <w:hideMark/>
          </w:tcPr>
          <w:p w14:paraId="03101D03" w14:textId="77777777" w:rsidR="001308EC" w:rsidRDefault="001308EC">
            <w:pPr>
              <w:spacing w:line="256" w:lineRule="auto"/>
              <w:jc w:val="left"/>
              <w:rPr>
                <w:rFonts w:eastAsia="Times New Roman" w:cs="Times New Roman"/>
                <w:b/>
                <w:bCs/>
                <w:color w:val="FFFFFF"/>
                <w:spacing w:val="0"/>
                <w:sz w:val="22"/>
                <w:lang w:eastAsia="es-DO"/>
              </w:rPr>
            </w:pPr>
          </w:p>
        </w:tc>
        <w:tc>
          <w:tcPr>
            <w:tcW w:w="0" w:type="auto"/>
            <w:vMerge/>
            <w:tcBorders>
              <w:top w:val="nil"/>
              <w:left w:val="single" w:sz="8" w:space="0" w:color="FFFFFF"/>
              <w:bottom w:val="single" w:sz="8" w:space="0" w:color="FFFFFF"/>
              <w:right w:val="single" w:sz="8" w:space="0" w:color="FFFFFF"/>
            </w:tcBorders>
            <w:vAlign w:val="center"/>
            <w:hideMark/>
          </w:tcPr>
          <w:p w14:paraId="1C35A394" w14:textId="77777777" w:rsidR="001308EC" w:rsidRDefault="001308EC">
            <w:pPr>
              <w:spacing w:line="256" w:lineRule="auto"/>
              <w:jc w:val="left"/>
              <w:rPr>
                <w:rFonts w:eastAsia="Times New Roman" w:cs="Times New Roman"/>
                <w:b/>
                <w:bCs/>
                <w:color w:val="FFFFFF"/>
                <w:spacing w:val="0"/>
                <w:sz w:val="22"/>
                <w:lang w:eastAsia="es-DO"/>
              </w:rPr>
            </w:pPr>
          </w:p>
        </w:tc>
        <w:tc>
          <w:tcPr>
            <w:tcW w:w="0" w:type="auto"/>
            <w:vMerge/>
            <w:tcBorders>
              <w:top w:val="nil"/>
              <w:left w:val="single" w:sz="8" w:space="0" w:color="FFFFFF"/>
              <w:bottom w:val="single" w:sz="8" w:space="0" w:color="FFFFFF"/>
              <w:right w:val="single" w:sz="8" w:space="0" w:color="FFFFFF"/>
            </w:tcBorders>
            <w:vAlign w:val="center"/>
            <w:hideMark/>
          </w:tcPr>
          <w:p w14:paraId="50D1340B" w14:textId="77777777" w:rsidR="001308EC" w:rsidRDefault="001308EC">
            <w:pPr>
              <w:spacing w:line="256" w:lineRule="auto"/>
              <w:jc w:val="left"/>
              <w:rPr>
                <w:rFonts w:eastAsia="Times New Roman" w:cs="Times New Roman"/>
                <w:b/>
                <w:bCs/>
                <w:color w:val="FFFFFF"/>
                <w:spacing w:val="0"/>
                <w:sz w:val="22"/>
                <w:lang w:eastAsia="es-DO"/>
              </w:rPr>
            </w:pPr>
          </w:p>
        </w:tc>
        <w:tc>
          <w:tcPr>
            <w:tcW w:w="0" w:type="auto"/>
            <w:vAlign w:val="center"/>
            <w:hideMark/>
          </w:tcPr>
          <w:p w14:paraId="04C65B39" w14:textId="77777777" w:rsidR="001308EC" w:rsidRDefault="001308EC">
            <w:pPr>
              <w:rPr>
                <w:rFonts w:eastAsia="Times New Roman" w:cs="Times New Roman"/>
                <w:b/>
                <w:bCs/>
                <w:color w:val="FFFFFF"/>
                <w:spacing w:val="0"/>
                <w:sz w:val="22"/>
                <w:lang w:eastAsia="es-DO"/>
              </w:rPr>
            </w:pPr>
          </w:p>
        </w:tc>
      </w:tr>
      <w:tr w:rsidR="001308EC" w14:paraId="702C5661" w14:textId="77777777">
        <w:trPr>
          <w:trHeight w:val="458"/>
          <w:jc w:val="center"/>
        </w:trPr>
        <w:tc>
          <w:tcPr>
            <w:tcW w:w="2014" w:type="dxa"/>
            <w:vMerge w:val="restart"/>
            <w:tcBorders>
              <w:top w:val="nil"/>
              <w:left w:val="single" w:sz="8" w:space="0" w:color="FFFFFF"/>
              <w:bottom w:val="single" w:sz="8" w:space="0" w:color="FFFFFF"/>
              <w:right w:val="single" w:sz="8" w:space="0" w:color="FFFFFF"/>
            </w:tcBorders>
            <w:shd w:val="clear" w:color="auto" w:fill="F2F2F2" w:themeFill="background1" w:themeFillShade="F2"/>
            <w:vAlign w:val="center"/>
            <w:hideMark/>
          </w:tcPr>
          <w:p w14:paraId="2E565C79" w14:textId="77777777" w:rsidR="001308EC" w:rsidRDefault="001308EC">
            <w:pPr>
              <w:spacing w:line="240" w:lineRule="auto"/>
              <w:jc w:val="center"/>
              <w:rPr>
                <w:rFonts w:eastAsia="Times New Roman" w:cs="Times New Roman"/>
                <w:b/>
                <w:bCs/>
                <w:color w:val="auto"/>
                <w:spacing w:val="0"/>
                <w:sz w:val="22"/>
                <w:lang w:eastAsia="es-DO"/>
              </w:rPr>
            </w:pPr>
            <w:r>
              <w:rPr>
                <w:rFonts w:eastAsia="Times New Roman" w:cs="Times New Roman"/>
                <w:b/>
                <w:bCs/>
                <w:color w:val="auto"/>
                <w:spacing w:val="0"/>
                <w:sz w:val="22"/>
                <w:lang w:eastAsia="es-DO"/>
              </w:rPr>
              <w:t xml:space="preserve">Excelente </w:t>
            </w:r>
          </w:p>
        </w:tc>
        <w:tc>
          <w:tcPr>
            <w:tcW w:w="2125" w:type="dxa"/>
            <w:vMerge w:val="restart"/>
            <w:tcBorders>
              <w:top w:val="nil"/>
              <w:left w:val="single" w:sz="8" w:space="0" w:color="FFFFFF"/>
              <w:bottom w:val="single" w:sz="8" w:space="0" w:color="FFFFFF"/>
              <w:right w:val="single" w:sz="8" w:space="0" w:color="FFFFFF"/>
            </w:tcBorders>
            <w:shd w:val="clear" w:color="auto" w:fill="F2F2F2" w:themeFill="background1" w:themeFillShade="F2"/>
            <w:vAlign w:val="center"/>
            <w:hideMark/>
          </w:tcPr>
          <w:p w14:paraId="42265776" w14:textId="77777777" w:rsidR="001308EC" w:rsidRDefault="001308EC">
            <w:pPr>
              <w:spacing w:line="240" w:lineRule="auto"/>
              <w:jc w:val="center"/>
              <w:rPr>
                <w:rFonts w:eastAsia="Times New Roman" w:cs="Times New Roman"/>
                <w:color w:val="000000"/>
                <w:spacing w:val="0"/>
                <w:sz w:val="22"/>
                <w:lang w:eastAsia="es-DO"/>
              </w:rPr>
            </w:pPr>
            <w:r>
              <w:rPr>
                <w:rFonts w:eastAsia="Times New Roman" w:cs="Times New Roman"/>
                <w:color w:val="000000"/>
                <w:spacing w:val="0"/>
                <w:sz w:val="22"/>
                <w:lang w:eastAsia="es-DO"/>
              </w:rPr>
              <w:t>103</w:t>
            </w:r>
          </w:p>
        </w:tc>
        <w:tc>
          <w:tcPr>
            <w:tcW w:w="1655" w:type="dxa"/>
            <w:vMerge w:val="restart"/>
            <w:tcBorders>
              <w:top w:val="nil"/>
              <w:left w:val="single" w:sz="8" w:space="0" w:color="FFFFFF"/>
              <w:bottom w:val="single" w:sz="8" w:space="0" w:color="FFFFFF"/>
              <w:right w:val="single" w:sz="8" w:space="0" w:color="FFFFFF"/>
            </w:tcBorders>
            <w:shd w:val="clear" w:color="auto" w:fill="F2F2F2" w:themeFill="background1" w:themeFillShade="F2"/>
            <w:vAlign w:val="center"/>
            <w:hideMark/>
          </w:tcPr>
          <w:p w14:paraId="53F62AF9" w14:textId="77777777" w:rsidR="001308EC" w:rsidRDefault="001308EC">
            <w:pPr>
              <w:spacing w:line="240" w:lineRule="auto"/>
              <w:jc w:val="center"/>
              <w:rPr>
                <w:rFonts w:eastAsia="Times New Roman" w:cs="Times New Roman"/>
                <w:color w:val="000000"/>
                <w:spacing w:val="0"/>
                <w:sz w:val="22"/>
                <w:lang w:eastAsia="es-DO"/>
              </w:rPr>
            </w:pPr>
            <w:r>
              <w:rPr>
                <w:rFonts w:eastAsia="Times New Roman" w:cs="Times New Roman"/>
                <w:color w:val="000000"/>
                <w:spacing w:val="0"/>
                <w:sz w:val="22"/>
                <w:lang w:eastAsia="es-DO"/>
              </w:rPr>
              <w:t>54%</w:t>
            </w:r>
          </w:p>
        </w:tc>
        <w:tc>
          <w:tcPr>
            <w:tcW w:w="0" w:type="auto"/>
            <w:vAlign w:val="center"/>
            <w:hideMark/>
          </w:tcPr>
          <w:p w14:paraId="25DB7BE2" w14:textId="77777777" w:rsidR="001308EC" w:rsidRDefault="001308EC">
            <w:pPr>
              <w:spacing w:line="256" w:lineRule="auto"/>
              <w:jc w:val="left"/>
              <w:rPr>
                <w:rFonts w:asciiTheme="minorHAnsi" w:hAnsiTheme="minorHAnsi"/>
                <w:color w:val="auto"/>
                <w:spacing w:val="0"/>
                <w:sz w:val="20"/>
                <w:szCs w:val="20"/>
                <w:lang w:val="en-US"/>
              </w:rPr>
            </w:pPr>
          </w:p>
        </w:tc>
      </w:tr>
      <w:tr w:rsidR="001308EC" w14:paraId="6C294162" w14:textId="77777777">
        <w:trPr>
          <w:trHeight w:val="458"/>
          <w:jc w:val="center"/>
        </w:trPr>
        <w:tc>
          <w:tcPr>
            <w:tcW w:w="0" w:type="auto"/>
            <w:vMerge/>
            <w:tcBorders>
              <w:top w:val="nil"/>
              <w:left w:val="single" w:sz="8" w:space="0" w:color="FFFFFF"/>
              <w:bottom w:val="single" w:sz="8" w:space="0" w:color="FFFFFF"/>
              <w:right w:val="single" w:sz="8" w:space="0" w:color="FFFFFF"/>
            </w:tcBorders>
            <w:vAlign w:val="center"/>
            <w:hideMark/>
          </w:tcPr>
          <w:p w14:paraId="6FFAB9CD" w14:textId="77777777" w:rsidR="001308EC" w:rsidRDefault="001308EC">
            <w:pPr>
              <w:spacing w:line="256" w:lineRule="auto"/>
              <w:jc w:val="left"/>
              <w:rPr>
                <w:rFonts w:eastAsia="Times New Roman" w:cs="Times New Roman"/>
                <w:b/>
                <w:bCs/>
                <w:color w:val="auto"/>
                <w:spacing w:val="0"/>
                <w:sz w:val="22"/>
                <w:lang w:eastAsia="es-DO"/>
              </w:rPr>
            </w:pPr>
          </w:p>
        </w:tc>
        <w:tc>
          <w:tcPr>
            <w:tcW w:w="0" w:type="auto"/>
            <w:vMerge/>
            <w:tcBorders>
              <w:top w:val="nil"/>
              <w:left w:val="single" w:sz="8" w:space="0" w:color="FFFFFF"/>
              <w:bottom w:val="single" w:sz="8" w:space="0" w:color="FFFFFF"/>
              <w:right w:val="single" w:sz="8" w:space="0" w:color="FFFFFF"/>
            </w:tcBorders>
            <w:vAlign w:val="center"/>
            <w:hideMark/>
          </w:tcPr>
          <w:p w14:paraId="00B6E357" w14:textId="77777777" w:rsidR="001308EC" w:rsidRDefault="001308EC">
            <w:pPr>
              <w:spacing w:line="256" w:lineRule="auto"/>
              <w:jc w:val="left"/>
              <w:rPr>
                <w:rFonts w:eastAsia="Times New Roman" w:cs="Times New Roman"/>
                <w:color w:val="000000"/>
                <w:spacing w:val="0"/>
                <w:sz w:val="22"/>
                <w:lang w:eastAsia="es-DO"/>
              </w:rPr>
            </w:pPr>
          </w:p>
        </w:tc>
        <w:tc>
          <w:tcPr>
            <w:tcW w:w="0" w:type="auto"/>
            <w:vMerge/>
            <w:tcBorders>
              <w:top w:val="nil"/>
              <w:left w:val="single" w:sz="8" w:space="0" w:color="FFFFFF"/>
              <w:bottom w:val="single" w:sz="8" w:space="0" w:color="FFFFFF"/>
              <w:right w:val="single" w:sz="8" w:space="0" w:color="FFFFFF"/>
            </w:tcBorders>
            <w:vAlign w:val="center"/>
            <w:hideMark/>
          </w:tcPr>
          <w:p w14:paraId="033C2972" w14:textId="77777777" w:rsidR="001308EC" w:rsidRDefault="001308EC">
            <w:pPr>
              <w:spacing w:line="256" w:lineRule="auto"/>
              <w:jc w:val="left"/>
              <w:rPr>
                <w:rFonts w:eastAsia="Times New Roman" w:cs="Times New Roman"/>
                <w:color w:val="000000"/>
                <w:spacing w:val="0"/>
                <w:sz w:val="22"/>
                <w:lang w:eastAsia="es-DO"/>
              </w:rPr>
            </w:pPr>
          </w:p>
        </w:tc>
        <w:tc>
          <w:tcPr>
            <w:tcW w:w="0" w:type="auto"/>
            <w:vAlign w:val="center"/>
            <w:hideMark/>
          </w:tcPr>
          <w:p w14:paraId="360EADAB" w14:textId="77777777" w:rsidR="001308EC" w:rsidRDefault="001308EC">
            <w:pPr>
              <w:rPr>
                <w:rFonts w:eastAsia="Times New Roman" w:cs="Times New Roman"/>
                <w:color w:val="000000"/>
                <w:spacing w:val="0"/>
                <w:sz w:val="22"/>
                <w:lang w:eastAsia="es-DO"/>
              </w:rPr>
            </w:pPr>
          </w:p>
        </w:tc>
      </w:tr>
      <w:tr w:rsidR="001308EC" w14:paraId="73D25688" w14:textId="77777777">
        <w:trPr>
          <w:trHeight w:val="315"/>
          <w:jc w:val="center"/>
        </w:trPr>
        <w:tc>
          <w:tcPr>
            <w:tcW w:w="2014" w:type="dxa"/>
            <w:tcBorders>
              <w:top w:val="nil"/>
              <w:left w:val="single" w:sz="8" w:space="0" w:color="FFFFFF"/>
              <w:bottom w:val="single" w:sz="8" w:space="0" w:color="FFFFFF"/>
              <w:right w:val="single" w:sz="8" w:space="0" w:color="FFFFFF"/>
            </w:tcBorders>
            <w:shd w:val="clear" w:color="auto" w:fill="F2F2F2" w:themeFill="background1" w:themeFillShade="F2"/>
            <w:vAlign w:val="center"/>
            <w:hideMark/>
          </w:tcPr>
          <w:p w14:paraId="05BE5068" w14:textId="77777777" w:rsidR="001308EC" w:rsidRDefault="001308EC">
            <w:pPr>
              <w:spacing w:line="240" w:lineRule="auto"/>
              <w:jc w:val="center"/>
              <w:rPr>
                <w:rFonts w:eastAsia="Times New Roman" w:cs="Times New Roman"/>
                <w:b/>
                <w:bCs/>
                <w:color w:val="auto"/>
                <w:spacing w:val="0"/>
                <w:sz w:val="22"/>
                <w:lang w:eastAsia="es-DO"/>
              </w:rPr>
            </w:pPr>
            <w:r>
              <w:rPr>
                <w:rFonts w:eastAsia="Times New Roman" w:cs="Times New Roman"/>
                <w:b/>
                <w:bCs/>
                <w:color w:val="auto"/>
                <w:spacing w:val="0"/>
                <w:sz w:val="22"/>
                <w:lang w:eastAsia="es-DO"/>
              </w:rPr>
              <w:t xml:space="preserve">Bueno </w:t>
            </w:r>
          </w:p>
        </w:tc>
        <w:tc>
          <w:tcPr>
            <w:tcW w:w="2125" w:type="dxa"/>
            <w:tcBorders>
              <w:top w:val="nil"/>
              <w:left w:val="nil"/>
              <w:bottom w:val="single" w:sz="8" w:space="0" w:color="FFFFFF"/>
              <w:right w:val="single" w:sz="8" w:space="0" w:color="FFFFFF"/>
            </w:tcBorders>
            <w:shd w:val="clear" w:color="auto" w:fill="FFFFFF"/>
            <w:vAlign w:val="center"/>
            <w:hideMark/>
          </w:tcPr>
          <w:p w14:paraId="711F465F" w14:textId="77777777" w:rsidR="001308EC" w:rsidRDefault="001308EC">
            <w:pPr>
              <w:spacing w:line="240" w:lineRule="auto"/>
              <w:jc w:val="center"/>
              <w:rPr>
                <w:rFonts w:eastAsia="Times New Roman" w:cs="Times New Roman"/>
                <w:color w:val="000000"/>
                <w:spacing w:val="0"/>
                <w:sz w:val="22"/>
                <w:lang w:eastAsia="es-DO"/>
              </w:rPr>
            </w:pPr>
            <w:r>
              <w:rPr>
                <w:rFonts w:eastAsia="Times New Roman" w:cs="Times New Roman"/>
                <w:color w:val="000000"/>
                <w:spacing w:val="0"/>
                <w:sz w:val="22"/>
                <w:lang w:eastAsia="es-DO"/>
              </w:rPr>
              <w:t>29</w:t>
            </w:r>
          </w:p>
        </w:tc>
        <w:tc>
          <w:tcPr>
            <w:tcW w:w="1655" w:type="dxa"/>
            <w:tcBorders>
              <w:top w:val="nil"/>
              <w:left w:val="nil"/>
              <w:bottom w:val="single" w:sz="8" w:space="0" w:color="FFFFFF"/>
              <w:right w:val="single" w:sz="8" w:space="0" w:color="FFFFFF"/>
            </w:tcBorders>
            <w:shd w:val="clear" w:color="auto" w:fill="FFFFFF"/>
            <w:vAlign w:val="center"/>
            <w:hideMark/>
          </w:tcPr>
          <w:p w14:paraId="57DBAB3D" w14:textId="77777777" w:rsidR="001308EC" w:rsidRDefault="001308EC">
            <w:pPr>
              <w:spacing w:line="240" w:lineRule="auto"/>
              <w:jc w:val="center"/>
              <w:rPr>
                <w:rFonts w:eastAsia="Times New Roman" w:cs="Times New Roman"/>
                <w:color w:val="000000"/>
                <w:spacing w:val="0"/>
                <w:sz w:val="22"/>
                <w:lang w:eastAsia="es-DO"/>
              </w:rPr>
            </w:pPr>
            <w:r>
              <w:rPr>
                <w:rFonts w:eastAsia="Times New Roman" w:cs="Times New Roman"/>
                <w:color w:val="000000"/>
                <w:spacing w:val="0"/>
                <w:sz w:val="22"/>
                <w:lang w:eastAsia="es-DO"/>
              </w:rPr>
              <w:t>15%</w:t>
            </w:r>
          </w:p>
        </w:tc>
        <w:tc>
          <w:tcPr>
            <w:tcW w:w="0" w:type="auto"/>
            <w:vAlign w:val="center"/>
            <w:hideMark/>
          </w:tcPr>
          <w:p w14:paraId="21451F66" w14:textId="77777777" w:rsidR="001308EC" w:rsidRDefault="001308EC">
            <w:pPr>
              <w:spacing w:line="256" w:lineRule="auto"/>
              <w:jc w:val="left"/>
              <w:rPr>
                <w:rFonts w:asciiTheme="minorHAnsi" w:hAnsiTheme="minorHAnsi"/>
                <w:color w:val="auto"/>
                <w:spacing w:val="0"/>
                <w:sz w:val="20"/>
                <w:szCs w:val="20"/>
                <w:lang w:val="en-US"/>
              </w:rPr>
            </w:pPr>
          </w:p>
        </w:tc>
      </w:tr>
      <w:tr w:rsidR="001308EC" w14:paraId="0A073265" w14:textId="77777777">
        <w:trPr>
          <w:trHeight w:val="451"/>
          <w:jc w:val="center"/>
        </w:trPr>
        <w:tc>
          <w:tcPr>
            <w:tcW w:w="2014" w:type="dxa"/>
            <w:tcBorders>
              <w:top w:val="nil"/>
              <w:left w:val="single" w:sz="8" w:space="0" w:color="FFFFFF"/>
              <w:bottom w:val="single" w:sz="8" w:space="0" w:color="FFFFFF"/>
              <w:right w:val="single" w:sz="8" w:space="0" w:color="FFFFFF"/>
            </w:tcBorders>
            <w:shd w:val="clear" w:color="auto" w:fill="F2F2F2" w:themeFill="background1" w:themeFillShade="F2"/>
            <w:vAlign w:val="center"/>
            <w:hideMark/>
          </w:tcPr>
          <w:p w14:paraId="674E8E5F" w14:textId="77777777" w:rsidR="001308EC" w:rsidRDefault="001308EC">
            <w:pPr>
              <w:spacing w:line="240" w:lineRule="auto"/>
              <w:jc w:val="center"/>
              <w:rPr>
                <w:rFonts w:eastAsia="Times New Roman" w:cs="Times New Roman"/>
                <w:b/>
                <w:bCs/>
                <w:color w:val="auto"/>
                <w:spacing w:val="0"/>
                <w:sz w:val="22"/>
                <w:lang w:eastAsia="es-DO"/>
              </w:rPr>
            </w:pPr>
            <w:r>
              <w:rPr>
                <w:rFonts w:eastAsia="Times New Roman" w:cs="Times New Roman"/>
                <w:b/>
                <w:bCs/>
                <w:color w:val="auto"/>
                <w:spacing w:val="0"/>
                <w:sz w:val="22"/>
                <w:lang w:eastAsia="es-DO"/>
              </w:rPr>
              <w:t xml:space="preserve">Regular </w:t>
            </w:r>
          </w:p>
        </w:tc>
        <w:tc>
          <w:tcPr>
            <w:tcW w:w="2125" w:type="dxa"/>
            <w:tcBorders>
              <w:top w:val="nil"/>
              <w:left w:val="nil"/>
              <w:bottom w:val="single" w:sz="8" w:space="0" w:color="FFFFFF"/>
              <w:right w:val="single" w:sz="8" w:space="0" w:color="FFFFFF"/>
            </w:tcBorders>
            <w:shd w:val="clear" w:color="auto" w:fill="F2F2F2" w:themeFill="background1" w:themeFillShade="F2"/>
            <w:vAlign w:val="center"/>
            <w:hideMark/>
          </w:tcPr>
          <w:p w14:paraId="4BB8D32A" w14:textId="77777777" w:rsidR="001308EC" w:rsidRDefault="001308EC">
            <w:pPr>
              <w:spacing w:line="240" w:lineRule="auto"/>
              <w:jc w:val="center"/>
              <w:rPr>
                <w:rFonts w:eastAsia="Times New Roman" w:cs="Times New Roman"/>
                <w:color w:val="000000"/>
                <w:spacing w:val="0"/>
                <w:sz w:val="22"/>
                <w:lang w:eastAsia="es-DO"/>
              </w:rPr>
            </w:pPr>
            <w:r>
              <w:rPr>
                <w:rFonts w:eastAsia="Times New Roman" w:cs="Times New Roman"/>
                <w:color w:val="000000"/>
                <w:spacing w:val="0"/>
                <w:sz w:val="22"/>
                <w:lang w:eastAsia="es-DO"/>
              </w:rPr>
              <w:t>14</w:t>
            </w:r>
          </w:p>
        </w:tc>
        <w:tc>
          <w:tcPr>
            <w:tcW w:w="1655" w:type="dxa"/>
            <w:tcBorders>
              <w:top w:val="nil"/>
              <w:left w:val="nil"/>
              <w:bottom w:val="single" w:sz="8" w:space="0" w:color="FFFFFF"/>
              <w:right w:val="single" w:sz="8" w:space="0" w:color="FFFFFF"/>
            </w:tcBorders>
            <w:shd w:val="clear" w:color="auto" w:fill="F2F2F2" w:themeFill="background1" w:themeFillShade="F2"/>
            <w:vAlign w:val="center"/>
            <w:hideMark/>
          </w:tcPr>
          <w:p w14:paraId="0C89C761" w14:textId="77777777" w:rsidR="001308EC" w:rsidRDefault="001308EC">
            <w:pPr>
              <w:spacing w:line="240" w:lineRule="auto"/>
              <w:jc w:val="center"/>
              <w:rPr>
                <w:rFonts w:eastAsia="Times New Roman" w:cs="Times New Roman"/>
                <w:color w:val="000000"/>
                <w:spacing w:val="0"/>
                <w:sz w:val="22"/>
                <w:lang w:eastAsia="es-DO"/>
              </w:rPr>
            </w:pPr>
            <w:r>
              <w:rPr>
                <w:rFonts w:eastAsia="Times New Roman" w:cs="Times New Roman"/>
                <w:color w:val="000000"/>
                <w:spacing w:val="0"/>
                <w:sz w:val="22"/>
                <w:lang w:eastAsia="es-DO"/>
              </w:rPr>
              <w:t>7%</w:t>
            </w:r>
          </w:p>
        </w:tc>
        <w:tc>
          <w:tcPr>
            <w:tcW w:w="0" w:type="auto"/>
            <w:vAlign w:val="center"/>
            <w:hideMark/>
          </w:tcPr>
          <w:p w14:paraId="1CB294E7" w14:textId="77777777" w:rsidR="001308EC" w:rsidRDefault="001308EC">
            <w:pPr>
              <w:spacing w:line="256" w:lineRule="auto"/>
              <w:jc w:val="left"/>
              <w:rPr>
                <w:rFonts w:asciiTheme="minorHAnsi" w:hAnsiTheme="minorHAnsi"/>
                <w:color w:val="auto"/>
                <w:spacing w:val="0"/>
                <w:sz w:val="20"/>
                <w:szCs w:val="20"/>
                <w:lang w:val="en-US"/>
              </w:rPr>
            </w:pPr>
          </w:p>
        </w:tc>
      </w:tr>
      <w:tr w:rsidR="001308EC" w14:paraId="7BDE1473" w14:textId="77777777">
        <w:trPr>
          <w:trHeight w:val="315"/>
          <w:jc w:val="center"/>
        </w:trPr>
        <w:tc>
          <w:tcPr>
            <w:tcW w:w="2014" w:type="dxa"/>
            <w:tcBorders>
              <w:top w:val="nil"/>
              <w:left w:val="single" w:sz="8" w:space="0" w:color="FFFFFF"/>
              <w:bottom w:val="single" w:sz="8" w:space="0" w:color="FFFFFF"/>
              <w:right w:val="single" w:sz="8" w:space="0" w:color="FFFFFF"/>
            </w:tcBorders>
            <w:shd w:val="clear" w:color="auto" w:fill="F2F2F2" w:themeFill="background1" w:themeFillShade="F2"/>
            <w:vAlign w:val="center"/>
            <w:hideMark/>
          </w:tcPr>
          <w:p w14:paraId="51250350" w14:textId="77777777" w:rsidR="001308EC" w:rsidRDefault="001308EC">
            <w:pPr>
              <w:spacing w:line="240" w:lineRule="auto"/>
              <w:jc w:val="center"/>
              <w:rPr>
                <w:rFonts w:eastAsia="Times New Roman" w:cs="Times New Roman"/>
                <w:b/>
                <w:bCs/>
                <w:color w:val="auto"/>
                <w:spacing w:val="0"/>
                <w:sz w:val="22"/>
                <w:lang w:eastAsia="es-DO"/>
              </w:rPr>
            </w:pPr>
            <w:r>
              <w:rPr>
                <w:rFonts w:eastAsia="Times New Roman" w:cs="Times New Roman"/>
                <w:b/>
                <w:bCs/>
                <w:color w:val="auto"/>
                <w:spacing w:val="0"/>
                <w:sz w:val="22"/>
                <w:lang w:eastAsia="es-DO"/>
              </w:rPr>
              <w:t xml:space="preserve">Malo </w:t>
            </w:r>
          </w:p>
        </w:tc>
        <w:tc>
          <w:tcPr>
            <w:tcW w:w="2125" w:type="dxa"/>
            <w:tcBorders>
              <w:top w:val="nil"/>
              <w:left w:val="nil"/>
              <w:bottom w:val="single" w:sz="8" w:space="0" w:color="FFFFFF"/>
              <w:right w:val="single" w:sz="8" w:space="0" w:color="FFFFFF"/>
            </w:tcBorders>
            <w:shd w:val="clear" w:color="auto" w:fill="FFFFFF"/>
            <w:vAlign w:val="center"/>
            <w:hideMark/>
          </w:tcPr>
          <w:p w14:paraId="13FCFDDD" w14:textId="77777777" w:rsidR="001308EC" w:rsidRDefault="001308EC">
            <w:pPr>
              <w:spacing w:line="240" w:lineRule="auto"/>
              <w:jc w:val="center"/>
              <w:rPr>
                <w:rFonts w:eastAsia="Times New Roman" w:cs="Times New Roman"/>
                <w:color w:val="000000"/>
                <w:spacing w:val="0"/>
                <w:sz w:val="22"/>
                <w:lang w:eastAsia="es-DO"/>
              </w:rPr>
            </w:pPr>
            <w:r>
              <w:rPr>
                <w:rFonts w:eastAsia="Times New Roman" w:cs="Times New Roman"/>
                <w:color w:val="000000"/>
                <w:spacing w:val="0"/>
                <w:sz w:val="22"/>
                <w:lang w:eastAsia="es-DO"/>
              </w:rPr>
              <w:t>46</w:t>
            </w:r>
          </w:p>
        </w:tc>
        <w:tc>
          <w:tcPr>
            <w:tcW w:w="1655" w:type="dxa"/>
            <w:tcBorders>
              <w:top w:val="nil"/>
              <w:left w:val="nil"/>
              <w:bottom w:val="single" w:sz="8" w:space="0" w:color="FFFFFF"/>
              <w:right w:val="single" w:sz="8" w:space="0" w:color="FFFFFF"/>
            </w:tcBorders>
            <w:shd w:val="clear" w:color="auto" w:fill="FFFFFF"/>
            <w:vAlign w:val="center"/>
            <w:hideMark/>
          </w:tcPr>
          <w:p w14:paraId="6BA3CD0B" w14:textId="77777777" w:rsidR="001308EC" w:rsidRDefault="001308EC">
            <w:pPr>
              <w:spacing w:line="240" w:lineRule="auto"/>
              <w:jc w:val="center"/>
              <w:rPr>
                <w:rFonts w:eastAsia="Times New Roman" w:cs="Times New Roman"/>
                <w:color w:val="000000"/>
                <w:spacing w:val="0"/>
                <w:sz w:val="22"/>
                <w:lang w:eastAsia="es-DO"/>
              </w:rPr>
            </w:pPr>
            <w:r>
              <w:rPr>
                <w:rFonts w:eastAsia="Times New Roman" w:cs="Times New Roman"/>
                <w:color w:val="000000"/>
                <w:spacing w:val="0"/>
                <w:sz w:val="22"/>
                <w:lang w:eastAsia="es-DO"/>
              </w:rPr>
              <w:t>24%</w:t>
            </w:r>
          </w:p>
        </w:tc>
        <w:tc>
          <w:tcPr>
            <w:tcW w:w="0" w:type="auto"/>
            <w:vAlign w:val="center"/>
            <w:hideMark/>
          </w:tcPr>
          <w:p w14:paraId="05FDFCF6" w14:textId="77777777" w:rsidR="001308EC" w:rsidRDefault="001308EC">
            <w:pPr>
              <w:spacing w:line="256" w:lineRule="auto"/>
              <w:jc w:val="left"/>
              <w:rPr>
                <w:rFonts w:asciiTheme="minorHAnsi" w:hAnsiTheme="minorHAnsi"/>
                <w:color w:val="auto"/>
                <w:spacing w:val="0"/>
                <w:sz w:val="20"/>
                <w:szCs w:val="20"/>
                <w:lang w:val="en-US"/>
              </w:rPr>
            </w:pPr>
          </w:p>
        </w:tc>
      </w:tr>
    </w:tbl>
    <w:p w14:paraId="11C36AA1" w14:textId="77777777" w:rsidR="001308EC" w:rsidRDefault="001308EC" w:rsidP="001308EC">
      <w:pPr>
        <w:pStyle w:val="BodyText"/>
        <w:jc w:val="center"/>
        <w:rPr>
          <w:b/>
          <w:bCs/>
          <w:color w:val="767171"/>
        </w:rPr>
      </w:pPr>
    </w:p>
    <w:p w14:paraId="10DE56DE" w14:textId="209F1E5E" w:rsidR="001308EC" w:rsidRDefault="001308EC" w:rsidP="001308EC">
      <w:pPr>
        <w:pStyle w:val="List2"/>
        <w:ind w:left="0" w:firstLine="0"/>
        <w:rPr>
          <w:rFonts w:cs="Times New Roman"/>
          <w:b/>
        </w:rPr>
      </w:pPr>
      <w:r>
        <w:rPr>
          <w:rFonts w:cs="Times New Roman"/>
          <w:b/>
          <w:noProof/>
          <w:lang w:eastAsia="es-DO"/>
        </w:rPr>
        <w:lastRenderedPageBreak/>
        <w:drawing>
          <wp:inline distT="0" distB="0" distL="0" distR="0" wp14:anchorId="74EF9949" wp14:editId="61A8B7C6">
            <wp:extent cx="5029200" cy="3197860"/>
            <wp:effectExtent l="0" t="0" r="0" b="2540"/>
            <wp:docPr id="15771326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9200" cy="3197860"/>
                    </a:xfrm>
                    <a:prstGeom prst="rect">
                      <a:avLst/>
                    </a:prstGeom>
                    <a:noFill/>
                    <a:ln>
                      <a:noFill/>
                    </a:ln>
                  </pic:spPr>
                </pic:pic>
              </a:graphicData>
            </a:graphic>
          </wp:inline>
        </w:drawing>
      </w:r>
    </w:p>
    <w:p w14:paraId="4AAD3C3A" w14:textId="77777777" w:rsidR="00BC27E9" w:rsidRPr="00954407" w:rsidRDefault="00BC27E9" w:rsidP="00BC27E9">
      <w:pPr>
        <w:pStyle w:val="EstilodePrrafoNormal1RdeC"/>
      </w:pPr>
    </w:p>
    <w:p w14:paraId="72EC4AFE" w14:textId="77777777" w:rsidR="00BC27E9" w:rsidRPr="00954407" w:rsidRDefault="00BC27E9" w:rsidP="00BC27E9">
      <w:pPr>
        <w:pStyle w:val="EstilodePrrafoNormal1RdeC"/>
      </w:pPr>
    </w:p>
    <w:p w14:paraId="6E05EEE0" w14:textId="41F5C7EE" w:rsidR="00BC27E9" w:rsidRPr="00634A56" w:rsidRDefault="00BC27E9" w:rsidP="00634A56">
      <w:pPr>
        <w:pStyle w:val="Heading2"/>
        <w:rPr>
          <w:rFonts w:ascii="Times New Roman" w:hAnsi="Times New Roman" w:cs="Times New Roman"/>
          <w:b/>
          <w:bCs/>
          <w:color w:val="767171"/>
          <w:sz w:val="24"/>
          <w:szCs w:val="24"/>
        </w:rPr>
      </w:pPr>
      <w:bookmarkStart w:id="154" w:name="_Toc217402143"/>
      <w:r w:rsidRPr="00634A56">
        <w:rPr>
          <w:rFonts w:ascii="Times New Roman" w:hAnsi="Times New Roman" w:cs="Times New Roman"/>
          <w:b/>
          <w:bCs/>
          <w:color w:val="767171"/>
          <w:sz w:val="24"/>
          <w:szCs w:val="24"/>
        </w:rPr>
        <w:t>Portal Transparencia</w:t>
      </w:r>
      <w:bookmarkEnd w:id="154"/>
    </w:p>
    <w:p w14:paraId="74AA0A46" w14:textId="77777777" w:rsidR="00BC27E9" w:rsidRPr="00954407" w:rsidRDefault="00BC27E9" w:rsidP="00BC27E9">
      <w:pPr>
        <w:pStyle w:val="EstilodePrrafoNormal1RdeC"/>
      </w:pPr>
    </w:p>
    <w:p w14:paraId="04428817" w14:textId="77777777" w:rsidR="00BC27E9" w:rsidRPr="00954407" w:rsidRDefault="00BC27E9" w:rsidP="00BC27E9">
      <w:pPr>
        <w:pStyle w:val="EstilodePrrafoNormal1RdeC"/>
        <w:rPr>
          <w:color w:val="767171"/>
        </w:rPr>
      </w:pPr>
      <w:r w:rsidRPr="00954407">
        <w:rPr>
          <w:color w:val="767171"/>
        </w:rPr>
        <w:t xml:space="preserve">El Portal de Transparencia del MOPC es clave para el Ministerio de Obras públicas y comunicaciones MOPC, porque permite garantizar el acceso a información relevante sobre obras, inversiones, contratos y gestión de recursos, fortaleciendo la rendición de cuentas y la institucionalidad. </w:t>
      </w:r>
    </w:p>
    <w:p w14:paraId="076B928E" w14:textId="77777777" w:rsidR="00BC27E9" w:rsidRPr="00954407" w:rsidRDefault="00BC27E9" w:rsidP="00BC27E9">
      <w:pPr>
        <w:pStyle w:val="EstilodePrrafoNormal1RdeC"/>
        <w:rPr>
          <w:color w:val="767171"/>
        </w:rPr>
      </w:pPr>
    </w:p>
    <w:p w14:paraId="2F3C393A" w14:textId="77777777" w:rsidR="00BC27E9" w:rsidRPr="00954407" w:rsidRDefault="00BC27E9" w:rsidP="00BC27E9">
      <w:pPr>
        <w:pStyle w:val="EstilodePrrafoNormal1RdeC"/>
        <w:rPr>
          <w:color w:val="767171"/>
          <w:lang w:val="es-DO"/>
        </w:rPr>
      </w:pPr>
      <w:r w:rsidRPr="00954407">
        <w:rPr>
          <w:color w:val="767171"/>
          <w:lang w:val="es-DO"/>
        </w:rPr>
        <w:t>A través de este portal, el ministerio demuestra un uso responsable de los fondos públicos, facilita el control ciudadano y previene la desinformación, especialmente en un sector con alto impacto social y territorial. Además, contribuye a mejorar la confianza de la ciudadanía, apoya la fiscalización interna y externa, y asegura el cumplimiento de las obligaciones legales en</w:t>
      </w:r>
    </w:p>
    <w:p w14:paraId="0507264E" w14:textId="77777777" w:rsidR="00BC27E9" w:rsidRPr="00954407" w:rsidRDefault="00BC27E9" w:rsidP="00BC27E9">
      <w:pPr>
        <w:pStyle w:val="EstilodePrrafoNormal1RdeC"/>
        <w:rPr>
          <w:color w:val="767171"/>
        </w:rPr>
      </w:pPr>
      <w:r w:rsidRPr="00954407">
        <w:rPr>
          <w:color w:val="767171"/>
          <w:lang w:val="es-DO"/>
        </w:rPr>
        <w:t>materia de transparencia y acceso a la información.</w:t>
      </w:r>
    </w:p>
    <w:p w14:paraId="7E553BC6" w14:textId="77777777" w:rsidR="00BC27E9" w:rsidRPr="00954407" w:rsidRDefault="00BC27E9" w:rsidP="00BC27E9">
      <w:pPr>
        <w:pStyle w:val="EstilodePrrafoNormal1RdeC"/>
      </w:pPr>
      <w:bookmarkStart w:id="155" w:name="_Toc91264842"/>
      <w:bookmarkStart w:id="156" w:name="_Toc20898275"/>
      <w:bookmarkEnd w:id="153"/>
      <w:bookmarkEnd w:id="155"/>
    </w:p>
    <w:p w14:paraId="26E31909" w14:textId="77777777" w:rsidR="00BC27E9" w:rsidRPr="00954407" w:rsidRDefault="00BC27E9" w:rsidP="00BC27E9">
      <w:pPr>
        <w:pStyle w:val="EstilodePrrafoNormal1RdeC"/>
      </w:pPr>
    </w:p>
    <w:p w14:paraId="71443CB7" w14:textId="204679AB" w:rsidR="00BC27E9" w:rsidRPr="00B75A1C" w:rsidRDefault="00BC27E9" w:rsidP="00755C02">
      <w:pPr>
        <w:pStyle w:val="Heading3"/>
        <w:rPr>
          <w:b/>
          <w:bCs/>
        </w:rPr>
      </w:pPr>
      <w:r w:rsidRPr="00755C02">
        <w:rPr>
          <w:b/>
          <w:bCs/>
          <w:color w:val="808080" w:themeColor="background1" w:themeShade="80"/>
          <w:sz w:val="24"/>
          <w:szCs w:val="24"/>
        </w:rPr>
        <w:lastRenderedPageBreak/>
        <w:t>Cantidad de Solicitudes Ingresadas</w:t>
      </w:r>
      <w:bookmarkEnd w:id="156"/>
    </w:p>
    <w:p w14:paraId="0CC2F7A1" w14:textId="77777777" w:rsidR="00BC27E9" w:rsidRPr="00954407" w:rsidRDefault="00BC27E9" w:rsidP="00BC27E9">
      <w:pPr>
        <w:pStyle w:val="EstilodePrrafoNormal1RdeC"/>
      </w:pPr>
    </w:p>
    <w:p w14:paraId="2EA2A512" w14:textId="77777777" w:rsidR="00BC27E9" w:rsidRPr="00954407" w:rsidRDefault="00BC27E9" w:rsidP="00BC27E9">
      <w:pPr>
        <w:pStyle w:val="EstilodePrrafoNormal1RdeC"/>
        <w:rPr>
          <w:color w:val="767171"/>
        </w:rPr>
      </w:pPr>
      <w:r w:rsidRPr="00954407">
        <w:rPr>
          <w:color w:val="767171"/>
        </w:rPr>
        <w:t>La Dirección de Libre Acceso a la Información Pública, Ética y Transparencia del MOPC, recibió durante el periodo enero-diciembre de 2025, a través del Portal Único (SAIP), un total de quinientas una (501) solicitudes de información relacionadas a las funciones y ejecutorias de la institución.</w:t>
      </w:r>
    </w:p>
    <w:p w14:paraId="07702D8F" w14:textId="77777777" w:rsidR="00BC27E9" w:rsidRPr="00954407" w:rsidRDefault="00BC27E9" w:rsidP="00BC27E9">
      <w:pPr>
        <w:pStyle w:val="EstilodePrrafoNormal1RdeC"/>
      </w:pPr>
    </w:p>
    <w:p w14:paraId="75906A3D" w14:textId="4AB65EC6"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Solicitudes Ingresadas por periodo mensual</w:t>
      </w:r>
    </w:p>
    <w:p w14:paraId="40489534" w14:textId="77777777" w:rsidR="00BC27E9" w:rsidRPr="00954407" w:rsidRDefault="00BC27E9" w:rsidP="00BC27E9">
      <w:pPr>
        <w:pStyle w:val="EstilodePrrafoNormal1RdeC"/>
        <w:rPr>
          <w:color w:val="767171"/>
        </w:rPr>
      </w:pPr>
    </w:p>
    <w:p w14:paraId="3D1DDBAC" w14:textId="77777777" w:rsidR="00BC27E9" w:rsidRPr="00954407" w:rsidRDefault="00BC27E9" w:rsidP="00BC27E9">
      <w:pPr>
        <w:pStyle w:val="EstilodePrrafoNormal1RdeC"/>
        <w:rPr>
          <w:color w:val="767171"/>
        </w:rPr>
      </w:pPr>
      <w:r w:rsidRPr="00954407">
        <w:rPr>
          <w:color w:val="767171"/>
        </w:rPr>
        <w:t>Los registros de las solicitudes de información recibidas por mes en la Dirección de Libre Acceso a la Información Pública, durante el periodo enero-diciembre del año 2025, se presentan en la tabla siguiente:</w:t>
      </w:r>
    </w:p>
    <w:p w14:paraId="216B8488" w14:textId="77777777" w:rsidR="00BC27E9" w:rsidRPr="00954407" w:rsidRDefault="00BC27E9" w:rsidP="00BC27E9">
      <w:pPr>
        <w:pStyle w:val="EstilodePrrafoNormal1RdeC"/>
        <w:rPr>
          <w:color w:val="767171"/>
        </w:rPr>
      </w:pPr>
    </w:p>
    <w:p w14:paraId="43A822AF" w14:textId="77777777" w:rsidR="003E7418" w:rsidRDefault="003E7418" w:rsidP="003E7418">
      <w:pPr>
        <w:pStyle w:val="EstilodePrrafoNormal1RdeC"/>
        <w:spacing w:line="240" w:lineRule="auto"/>
        <w:jc w:val="center"/>
        <w:rPr>
          <w:b/>
          <w:bCs/>
          <w:color w:val="767171"/>
        </w:rPr>
      </w:pPr>
      <w:r w:rsidRPr="003E7418">
        <w:rPr>
          <w:b/>
          <w:bCs/>
          <w:color w:val="767171"/>
        </w:rPr>
        <w:t xml:space="preserve">Cantidad De Solicitudes Recibidas Por Mes </w:t>
      </w:r>
    </w:p>
    <w:p w14:paraId="34C81A44" w14:textId="66AA781B" w:rsidR="00BC27E9" w:rsidRPr="003E7418" w:rsidRDefault="003E7418" w:rsidP="003E7418">
      <w:pPr>
        <w:pStyle w:val="EstilodePrrafoNormal1RdeC"/>
        <w:spacing w:line="240" w:lineRule="auto"/>
        <w:jc w:val="center"/>
        <w:rPr>
          <w:b/>
          <w:bCs/>
          <w:color w:val="767171"/>
        </w:rPr>
      </w:pPr>
      <w:r w:rsidRPr="003E7418">
        <w:rPr>
          <w:b/>
          <w:bCs/>
          <w:color w:val="767171"/>
        </w:rPr>
        <w:t xml:space="preserve">Durante El Periodo </w:t>
      </w:r>
      <w:r>
        <w:rPr>
          <w:b/>
          <w:bCs/>
          <w:color w:val="767171"/>
        </w:rPr>
        <w:t>e</w:t>
      </w:r>
      <w:r w:rsidRPr="003E7418">
        <w:rPr>
          <w:b/>
          <w:bCs/>
          <w:color w:val="767171"/>
        </w:rPr>
        <w:t>nero-</w:t>
      </w:r>
      <w:r>
        <w:rPr>
          <w:b/>
          <w:bCs/>
          <w:color w:val="767171"/>
        </w:rPr>
        <w:t>d</w:t>
      </w:r>
      <w:r w:rsidRPr="003E7418">
        <w:rPr>
          <w:b/>
          <w:bCs/>
          <w:color w:val="767171"/>
        </w:rPr>
        <w:t>iciembre</w:t>
      </w:r>
      <w:r>
        <w:rPr>
          <w:b/>
          <w:bCs/>
          <w:color w:val="767171"/>
        </w:rPr>
        <w:t xml:space="preserve"> </w:t>
      </w:r>
      <w:r w:rsidRPr="003E7418">
        <w:rPr>
          <w:b/>
          <w:bCs/>
          <w:color w:val="767171"/>
        </w:rPr>
        <w:t>2025</w:t>
      </w:r>
    </w:p>
    <w:p w14:paraId="68B6F8F0" w14:textId="107C9F52" w:rsidR="001308EC" w:rsidRDefault="001308EC" w:rsidP="001308EC">
      <w:pPr>
        <w:pStyle w:val="BodyText"/>
        <w:spacing w:line="360" w:lineRule="auto"/>
        <w:jc w:val="center"/>
        <w:rPr>
          <w:b/>
          <w:color w:val="767171"/>
        </w:rPr>
      </w:pPr>
    </w:p>
    <w:tbl>
      <w:tblPr>
        <w:tblW w:w="4889" w:type="dxa"/>
        <w:jc w:val="center"/>
        <w:tblCellMar>
          <w:left w:w="70" w:type="dxa"/>
          <w:right w:w="70" w:type="dxa"/>
        </w:tblCellMar>
        <w:tblLook w:val="04A0" w:firstRow="1" w:lastRow="0" w:firstColumn="1" w:lastColumn="0" w:noHBand="0" w:noVBand="1"/>
      </w:tblPr>
      <w:tblGrid>
        <w:gridCol w:w="2414"/>
        <w:gridCol w:w="2475"/>
      </w:tblGrid>
      <w:tr w:rsidR="001308EC" w14:paraId="37AF5839" w14:textId="77777777">
        <w:trPr>
          <w:trHeight w:val="628"/>
          <w:jc w:val="center"/>
        </w:trPr>
        <w:tc>
          <w:tcPr>
            <w:tcW w:w="241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E78F577" w14:textId="77777777" w:rsidR="001308EC" w:rsidRDefault="001308EC">
            <w:pPr>
              <w:spacing w:line="240" w:lineRule="auto"/>
              <w:jc w:val="center"/>
              <w:rPr>
                <w:rFonts w:ascii="Calisto MT" w:eastAsia="Times New Roman" w:hAnsi="Calisto MT" w:cs="Calibri"/>
                <w:b/>
                <w:bCs/>
                <w:color w:val="FFFFFF"/>
                <w:spacing w:val="0"/>
                <w:sz w:val="22"/>
                <w:lang w:eastAsia="es-DO"/>
              </w:rPr>
            </w:pPr>
            <w:r>
              <w:rPr>
                <w:rFonts w:ascii="Calisto MT" w:eastAsia="Times New Roman" w:hAnsi="Calisto MT" w:cs="Calibri"/>
                <w:b/>
                <w:bCs/>
                <w:color w:val="FFFFFF"/>
                <w:spacing w:val="0"/>
                <w:sz w:val="22"/>
                <w:lang w:eastAsia="es-DO"/>
              </w:rPr>
              <w:t>MES</w:t>
            </w:r>
          </w:p>
        </w:tc>
        <w:tc>
          <w:tcPr>
            <w:tcW w:w="2475" w:type="dxa"/>
            <w:tcBorders>
              <w:top w:val="single" w:sz="4" w:space="0" w:color="auto"/>
              <w:left w:val="nil"/>
              <w:bottom w:val="single" w:sz="4" w:space="0" w:color="auto"/>
              <w:right w:val="single" w:sz="4" w:space="0" w:color="auto"/>
            </w:tcBorders>
            <w:shd w:val="clear" w:color="auto" w:fill="002060"/>
            <w:vAlign w:val="center"/>
            <w:hideMark/>
          </w:tcPr>
          <w:p w14:paraId="116DADC0" w14:textId="77777777" w:rsidR="001308EC" w:rsidRDefault="001308EC">
            <w:pPr>
              <w:spacing w:line="240" w:lineRule="auto"/>
              <w:jc w:val="center"/>
              <w:rPr>
                <w:rFonts w:ascii="Calisto MT" w:eastAsia="Times New Roman" w:hAnsi="Calisto MT" w:cs="Calibri"/>
                <w:b/>
                <w:bCs/>
                <w:color w:val="FFFFFF"/>
                <w:spacing w:val="0"/>
                <w:sz w:val="22"/>
                <w:lang w:eastAsia="es-DO"/>
              </w:rPr>
            </w:pPr>
            <w:r>
              <w:rPr>
                <w:rFonts w:ascii="Calisto MT" w:eastAsia="Times New Roman" w:hAnsi="Calisto MT" w:cs="Calibri"/>
                <w:b/>
                <w:bCs/>
                <w:color w:val="FFFFFF"/>
                <w:spacing w:val="0"/>
                <w:sz w:val="22"/>
                <w:lang w:eastAsia="es-DO"/>
              </w:rPr>
              <w:t>SOLICITUDES RECIBIDAS</w:t>
            </w:r>
          </w:p>
        </w:tc>
      </w:tr>
      <w:tr w:rsidR="001308EC" w14:paraId="6A7E36F4" w14:textId="77777777">
        <w:trPr>
          <w:trHeight w:val="364"/>
          <w:jc w:val="center"/>
        </w:trPr>
        <w:tc>
          <w:tcPr>
            <w:tcW w:w="2414" w:type="dxa"/>
            <w:tcBorders>
              <w:top w:val="nil"/>
              <w:left w:val="single" w:sz="4" w:space="0" w:color="auto"/>
              <w:bottom w:val="single" w:sz="4" w:space="0" w:color="auto"/>
              <w:right w:val="single" w:sz="4" w:space="0" w:color="auto"/>
            </w:tcBorders>
            <w:shd w:val="clear" w:color="auto" w:fill="FFFFFF"/>
            <w:vAlign w:val="center"/>
            <w:hideMark/>
          </w:tcPr>
          <w:p w14:paraId="5CD84265"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 xml:space="preserve">Enero </w:t>
            </w:r>
          </w:p>
        </w:tc>
        <w:tc>
          <w:tcPr>
            <w:tcW w:w="2475" w:type="dxa"/>
            <w:tcBorders>
              <w:top w:val="nil"/>
              <w:left w:val="nil"/>
              <w:bottom w:val="single" w:sz="4" w:space="0" w:color="auto"/>
              <w:right w:val="single" w:sz="4" w:space="0" w:color="auto"/>
            </w:tcBorders>
            <w:shd w:val="clear" w:color="auto" w:fill="FFFFFF"/>
            <w:vAlign w:val="center"/>
            <w:hideMark/>
          </w:tcPr>
          <w:p w14:paraId="6F7805AA"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55</w:t>
            </w:r>
          </w:p>
        </w:tc>
      </w:tr>
      <w:tr w:rsidR="001308EC" w14:paraId="755F3C43" w14:textId="77777777">
        <w:trPr>
          <w:trHeight w:val="324"/>
          <w:jc w:val="center"/>
        </w:trPr>
        <w:tc>
          <w:tcPr>
            <w:tcW w:w="2414" w:type="dxa"/>
            <w:tcBorders>
              <w:top w:val="nil"/>
              <w:left w:val="single" w:sz="4" w:space="0" w:color="auto"/>
              <w:bottom w:val="single" w:sz="4" w:space="0" w:color="auto"/>
              <w:right w:val="single" w:sz="4" w:space="0" w:color="auto"/>
            </w:tcBorders>
            <w:shd w:val="clear" w:color="auto" w:fill="E7E6E6"/>
            <w:vAlign w:val="center"/>
            <w:hideMark/>
          </w:tcPr>
          <w:p w14:paraId="070F1393"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Febrero</w:t>
            </w:r>
          </w:p>
        </w:tc>
        <w:tc>
          <w:tcPr>
            <w:tcW w:w="2475" w:type="dxa"/>
            <w:tcBorders>
              <w:top w:val="nil"/>
              <w:left w:val="nil"/>
              <w:bottom w:val="single" w:sz="4" w:space="0" w:color="auto"/>
              <w:right w:val="single" w:sz="4" w:space="0" w:color="auto"/>
            </w:tcBorders>
            <w:shd w:val="clear" w:color="auto" w:fill="E7E6E6"/>
            <w:vAlign w:val="center"/>
            <w:hideMark/>
          </w:tcPr>
          <w:p w14:paraId="686E9537"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57</w:t>
            </w:r>
          </w:p>
        </w:tc>
      </w:tr>
      <w:tr w:rsidR="001308EC" w14:paraId="4A39D107" w14:textId="77777777">
        <w:trPr>
          <w:trHeight w:val="324"/>
          <w:jc w:val="center"/>
        </w:trPr>
        <w:tc>
          <w:tcPr>
            <w:tcW w:w="2414" w:type="dxa"/>
            <w:tcBorders>
              <w:top w:val="nil"/>
              <w:left w:val="single" w:sz="4" w:space="0" w:color="auto"/>
              <w:bottom w:val="single" w:sz="4" w:space="0" w:color="auto"/>
              <w:right w:val="single" w:sz="4" w:space="0" w:color="auto"/>
            </w:tcBorders>
            <w:shd w:val="clear" w:color="auto" w:fill="FFFFFF"/>
            <w:vAlign w:val="center"/>
            <w:hideMark/>
          </w:tcPr>
          <w:p w14:paraId="6197DC03"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 xml:space="preserve">Marzo </w:t>
            </w:r>
          </w:p>
        </w:tc>
        <w:tc>
          <w:tcPr>
            <w:tcW w:w="2475" w:type="dxa"/>
            <w:tcBorders>
              <w:top w:val="nil"/>
              <w:left w:val="nil"/>
              <w:bottom w:val="single" w:sz="4" w:space="0" w:color="auto"/>
              <w:right w:val="single" w:sz="4" w:space="0" w:color="auto"/>
            </w:tcBorders>
            <w:shd w:val="clear" w:color="auto" w:fill="FFFFFF"/>
            <w:vAlign w:val="center"/>
            <w:hideMark/>
          </w:tcPr>
          <w:p w14:paraId="19E03ABB"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57</w:t>
            </w:r>
          </w:p>
        </w:tc>
      </w:tr>
      <w:tr w:rsidR="001308EC" w14:paraId="7B1EBBDB" w14:textId="77777777">
        <w:trPr>
          <w:trHeight w:val="324"/>
          <w:jc w:val="center"/>
        </w:trPr>
        <w:tc>
          <w:tcPr>
            <w:tcW w:w="2414" w:type="dxa"/>
            <w:tcBorders>
              <w:top w:val="nil"/>
              <w:left w:val="single" w:sz="4" w:space="0" w:color="auto"/>
              <w:bottom w:val="single" w:sz="4" w:space="0" w:color="auto"/>
              <w:right w:val="single" w:sz="4" w:space="0" w:color="auto"/>
            </w:tcBorders>
            <w:shd w:val="clear" w:color="auto" w:fill="E7E6E6"/>
            <w:vAlign w:val="center"/>
            <w:hideMark/>
          </w:tcPr>
          <w:p w14:paraId="2714E31E"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 xml:space="preserve">Abril </w:t>
            </w:r>
          </w:p>
        </w:tc>
        <w:tc>
          <w:tcPr>
            <w:tcW w:w="2475" w:type="dxa"/>
            <w:tcBorders>
              <w:top w:val="nil"/>
              <w:left w:val="nil"/>
              <w:bottom w:val="single" w:sz="4" w:space="0" w:color="auto"/>
              <w:right w:val="single" w:sz="4" w:space="0" w:color="auto"/>
            </w:tcBorders>
            <w:shd w:val="clear" w:color="auto" w:fill="E7E6E6"/>
            <w:vAlign w:val="center"/>
            <w:hideMark/>
          </w:tcPr>
          <w:p w14:paraId="6759CD1D"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43</w:t>
            </w:r>
          </w:p>
        </w:tc>
      </w:tr>
      <w:tr w:rsidR="001308EC" w14:paraId="496440D3" w14:textId="77777777">
        <w:trPr>
          <w:trHeight w:val="324"/>
          <w:jc w:val="center"/>
        </w:trPr>
        <w:tc>
          <w:tcPr>
            <w:tcW w:w="2414" w:type="dxa"/>
            <w:tcBorders>
              <w:top w:val="nil"/>
              <w:left w:val="single" w:sz="4" w:space="0" w:color="auto"/>
              <w:bottom w:val="single" w:sz="4" w:space="0" w:color="auto"/>
              <w:right w:val="single" w:sz="4" w:space="0" w:color="auto"/>
            </w:tcBorders>
            <w:shd w:val="clear" w:color="auto" w:fill="FFFFFF"/>
            <w:vAlign w:val="center"/>
            <w:hideMark/>
          </w:tcPr>
          <w:p w14:paraId="6519B718"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Mayo</w:t>
            </w:r>
          </w:p>
        </w:tc>
        <w:tc>
          <w:tcPr>
            <w:tcW w:w="2475" w:type="dxa"/>
            <w:tcBorders>
              <w:top w:val="nil"/>
              <w:left w:val="nil"/>
              <w:bottom w:val="single" w:sz="4" w:space="0" w:color="auto"/>
              <w:right w:val="single" w:sz="4" w:space="0" w:color="auto"/>
            </w:tcBorders>
            <w:shd w:val="clear" w:color="auto" w:fill="FFFFFF"/>
            <w:vAlign w:val="center"/>
            <w:hideMark/>
          </w:tcPr>
          <w:p w14:paraId="2691FB59"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41</w:t>
            </w:r>
          </w:p>
        </w:tc>
      </w:tr>
      <w:tr w:rsidR="001308EC" w14:paraId="79069556" w14:textId="77777777">
        <w:trPr>
          <w:trHeight w:val="410"/>
          <w:jc w:val="center"/>
        </w:trPr>
        <w:tc>
          <w:tcPr>
            <w:tcW w:w="2414" w:type="dxa"/>
            <w:tcBorders>
              <w:top w:val="nil"/>
              <w:left w:val="single" w:sz="4" w:space="0" w:color="auto"/>
              <w:bottom w:val="single" w:sz="4" w:space="0" w:color="auto"/>
              <w:right w:val="single" w:sz="4" w:space="0" w:color="auto"/>
            </w:tcBorders>
            <w:shd w:val="clear" w:color="auto" w:fill="E7E6E6"/>
            <w:vAlign w:val="center"/>
            <w:hideMark/>
          </w:tcPr>
          <w:p w14:paraId="2617C109"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 xml:space="preserve">Junio </w:t>
            </w:r>
          </w:p>
        </w:tc>
        <w:tc>
          <w:tcPr>
            <w:tcW w:w="2475" w:type="dxa"/>
            <w:tcBorders>
              <w:top w:val="nil"/>
              <w:left w:val="nil"/>
              <w:bottom w:val="single" w:sz="4" w:space="0" w:color="auto"/>
              <w:right w:val="single" w:sz="4" w:space="0" w:color="auto"/>
            </w:tcBorders>
            <w:shd w:val="clear" w:color="auto" w:fill="E7E6E6"/>
            <w:vAlign w:val="center"/>
            <w:hideMark/>
          </w:tcPr>
          <w:p w14:paraId="78553CB3"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46</w:t>
            </w:r>
          </w:p>
        </w:tc>
      </w:tr>
      <w:tr w:rsidR="001308EC" w14:paraId="1C455EC0" w14:textId="77777777">
        <w:trPr>
          <w:trHeight w:val="324"/>
          <w:jc w:val="center"/>
        </w:trPr>
        <w:tc>
          <w:tcPr>
            <w:tcW w:w="2414" w:type="dxa"/>
            <w:tcBorders>
              <w:top w:val="nil"/>
              <w:left w:val="single" w:sz="4" w:space="0" w:color="auto"/>
              <w:bottom w:val="single" w:sz="4" w:space="0" w:color="auto"/>
              <w:right w:val="single" w:sz="4" w:space="0" w:color="auto"/>
            </w:tcBorders>
            <w:shd w:val="clear" w:color="auto" w:fill="FFFFFF"/>
            <w:vAlign w:val="center"/>
            <w:hideMark/>
          </w:tcPr>
          <w:p w14:paraId="0C9BFD41"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 xml:space="preserve">Julio </w:t>
            </w:r>
          </w:p>
        </w:tc>
        <w:tc>
          <w:tcPr>
            <w:tcW w:w="2475" w:type="dxa"/>
            <w:tcBorders>
              <w:top w:val="nil"/>
              <w:left w:val="nil"/>
              <w:bottom w:val="single" w:sz="4" w:space="0" w:color="auto"/>
              <w:right w:val="single" w:sz="4" w:space="0" w:color="auto"/>
            </w:tcBorders>
            <w:shd w:val="clear" w:color="auto" w:fill="FFFFFF"/>
            <w:vAlign w:val="center"/>
            <w:hideMark/>
          </w:tcPr>
          <w:p w14:paraId="574F6793"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34</w:t>
            </w:r>
          </w:p>
        </w:tc>
      </w:tr>
      <w:tr w:rsidR="001308EC" w14:paraId="74D38AE4" w14:textId="77777777">
        <w:trPr>
          <w:trHeight w:val="324"/>
          <w:jc w:val="center"/>
        </w:trPr>
        <w:tc>
          <w:tcPr>
            <w:tcW w:w="2414" w:type="dxa"/>
            <w:tcBorders>
              <w:top w:val="nil"/>
              <w:left w:val="single" w:sz="4" w:space="0" w:color="auto"/>
              <w:bottom w:val="single" w:sz="4" w:space="0" w:color="auto"/>
              <w:right w:val="single" w:sz="4" w:space="0" w:color="auto"/>
            </w:tcBorders>
            <w:shd w:val="clear" w:color="auto" w:fill="E7E6E6"/>
            <w:vAlign w:val="center"/>
            <w:hideMark/>
          </w:tcPr>
          <w:p w14:paraId="2C50B841"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Agosto</w:t>
            </w:r>
          </w:p>
        </w:tc>
        <w:tc>
          <w:tcPr>
            <w:tcW w:w="2475" w:type="dxa"/>
            <w:tcBorders>
              <w:top w:val="nil"/>
              <w:left w:val="nil"/>
              <w:bottom w:val="single" w:sz="4" w:space="0" w:color="auto"/>
              <w:right w:val="single" w:sz="4" w:space="0" w:color="auto"/>
            </w:tcBorders>
            <w:shd w:val="clear" w:color="auto" w:fill="E7E6E6"/>
            <w:vAlign w:val="center"/>
            <w:hideMark/>
          </w:tcPr>
          <w:p w14:paraId="2FB95A8C"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64</w:t>
            </w:r>
          </w:p>
        </w:tc>
      </w:tr>
      <w:tr w:rsidR="001308EC" w14:paraId="01CB0046" w14:textId="77777777">
        <w:trPr>
          <w:trHeight w:val="304"/>
          <w:jc w:val="center"/>
        </w:trPr>
        <w:tc>
          <w:tcPr>
            <w:tcW w:w="2414" w:type="dxa"/>
            <w:tcBorders>
              <w:top w:val="nil"/>
              <w:left w:val="single" w:sz="4" w:space="0" w:color="auto"/>
              <w:bottom w:val="single" w:sz="4" w:space="0" w:color="auto"/>
              <w:right w:val="single" w:sz="4" w:space="0" w:color="auto"/>
            </w:tcBorders>
            <w:shd w:val="clear" w:color="auto" w:fill="FFFFFF"/>
            <w:vAlign w:val="center"/>
            <w:hideMark/>
          </w:tcPr>
          <w:p w14:paraId="72844B74"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Septiembre</w:t>
            </w:r>
          </w:p>
        </w:tc>
        <w:tc>
          <w:tcPr>
            <w:tcW w:w="2475" w:type="dxa"/>
            <w:tcBorders>
              <w:top w:val="nil"/>
              <w:left w:val="nil"/>
              <w:bottom w:val="single" w:sz="4" w:space="0" w:color="auto"/>
              <w:right w:val="single" w:sz="4" w:space="0" w:color="auto"/>
            </w:tcBorders>
            <w:shd w:val="clear" w:color="auto" w:fill="FFFFFF"/>
            <w:vAlign w:val="center"/>
            <w:hideMark/>
          </w:tcPr>
          <w:p w14:paraId="584FA071"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31</w:t>
            </w:r>
          </w:p>
        </w:tc>
      </w:tr>
      <w:tr w:rsidR="001308EC" w14:paraId="0E03BE53" w14:textId="77777777">
        <w:trPr>
          <w:trHeight w:val="294"/>
          <w:jc w:val="center"/>
        </w:trPr>
        <w:tc>
          <w:tcPr>
            <w:tcW w:w="2414" w:type="dxa"/>
            <w:tcBorders>
              <w:top w:val="nil"/>
              <w:left w:val="single" w:sz="4" w:space="0" w:color="auto"/>
              <w:bottom w:val="single" w:sz="4" w:space="0" w:color="auto"/>
              <w:right w:val="single" w:sz="4" w:space="0" w:color="auto"/>
            </w:tcBorders>
            <w:shd w:val="clear" w:color="auto" w:fill="E7E6E6"/>
            <w:vAlign w:val="center"/>
            <w:hideMark/>
          </w:tcPr>
          <w:p w14:paraId="63D61C26"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Octubre</w:t>
            </w:r>
          </w:p>
        </w:tc>
        <w:tc>
          <w:tcPr>
            <w:tcW w:w="2475" w:type="dxa"/>
            <w:tcBorders>
              <w:top w:val="nil"/>
              <w:left w:val="nil"/>
              <w:bottom w:val="single" w:sz="4" w:space="0" w:color="auto"/>
              <w:right w:val="single" w:sz="4" w:space="0" w:color="auto"/>
            </w:tcBorders>
            <w:shd w:val="clear" w:color="auto" w:fill="E7E6E6"/>
            <w:vAlign w:val="center"/>
            <w:hideMark/>
          </w:tcPr>
          <w:p w14:paraId="2802C9C8"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43</w:t>
            </w:r>
          </w:p>
        </w:tc>
      </w:tr>
      <w:tr w:rsidR="001308EC" w14:paraId="5A1F64F3" w14:textId="77777777">
        <w:trPr>
          <w:trHeight w:val="294"/>
          <w:jc w:val="center"/>
        </w:trPr>
        <w:tc>
          <w:tcPr>
            <w:tcW w:w="2414" w:type="dxa"/>
            <w:tcBorders>
              <w:top w:val="nil"/>
              <w:left w:val="single" w:sz="4" w:space="0" w:color="auto"/>
              <w:bottom w:val="single" w:sz="4" w:space="0" w:color="auto"/>
              <w:right w:val="single" w:sz="4" w:space="0" w:color="auto"/>
            </w:tcBorders>
            <w:shd w:val="clear" w:color="auto" w:fill="FFFFFF"/>
            <w:vAlign w:val="center"/>
            <w:hideMark/>
          </w:tcPr>
          <w:p w14:paraId="40A92043" w14:textId="77777777" w:rsidR="001308EC" w:rsidRDefault="001308EC">
            <w:pPr>
              <w:spacing w:line="240" w:lineRule="auto"/>
              <w:jc w:val="center"/>
              <w:rPr>
                <w:rFonts w:ascii="Calisto MT" w:eastAsia="Times New Roman" w:hAnsi="Calisto MT" w:cs="Calibri"/>
                <w:b/>
                <w:bCs/>
                <w:color w:val="000000"/>
                <w:spacing w:val="0"/>
                <w:lang w:eastAsia="es-DO"/>
              </w:rPr>
            </w:pPr>
            <w:r>
              <w:rPr>
                <w:rFonts w:ascii="Calisto MT" w:eastAsia="Times New Roman" w:hAnsi="Calisto MT" w:cs="Calibri"/>
                <w:b/>
                <w:bCs/>
                <w:color w:val="000000"/>
                <w:spacing w:val="0"/>
                <w:lang w:eastAsia="es-DO"/>
              </w:rPr>
              <w:t>Noviembre</w:t>
            </w:r>
          </w:p>
        </w:tc>
        <w:tc>
          <w:tcPr>
            <w:tcW w:w="2475" w:type="dxa"/>
            <w:tcBorders>
              <w:top w:val="nil"/>
              <w:left w:val="nil"/>
              <w:bottom w:val="single" w:sz="4" w:space="0" w:color="auto"/>
              <w:right w:val="single" w:sz="4" w:space="0" w:color="auto"/>
            </w:tcBorders>
            <w:shd w:val="clear" w:color="auto" w:fill="FFFFFF"/>
            <w:vAlign w:val="center"/>
            <w:hideMark/>
          </w:tcPr>
          <w:p w14:paraId="33478754" w14:textId="77777777" w:rsidR="001308EC" w:rsidRDefault="001308EC">
            <w:pPr>
              <w:spacing w:line="240" w:lineRule="auto"/>
              <w:jc w:val="center"/>
              <w:rPr>
                <w:rFonts w:ascii="Calisto MT" w:eastAsia="Times New Roman" w:hAnsi="Calisto MT" w:cs="Calibri"/>
                <w:color w:val="000000"/>
                <w:spacing w:val="0"/>
                <w:lang w:eastAsia="es-DO"/>
              </w:rPr>
            </w:pPr>
            <w:r>
              <w:rPr>
                <w:rFonts w:ascii="Calisto MT" w:eastAsia="Times New Roman" w:hAnsi="Calisto MT" w:cs="Calibri"/>
                <w:color w:val="000000"/>
                <w:spacing w:val="0"/>
                <w:lang w:eastAsia="es-DO"/>
              </w:rPr>
              <w:t>30</w:t>
            </w:r>
          </w:p>
        </w:tc>
      </w:tr>
    </w:tbl>
    <w:p w14:paraId="0C74A722" w14:textId="135CC428" w:rsidR="00BC27E9" w:rsidRPr="00954407" w:rsidRDefault="00BC27E9" w:rsidP="00BC27E9">
      <w:pPr>
        <w:pStyle w:val="EstilodePrrafoNormal1RdeC"/>
        <w:rPr>
          <w:color w:val="767171"/>
        </w:rPr>
      </w:pPr>
    </w:p>
    <w:p w14:paraId="723C8AC1" w14:textId="77777777" w:rsidR="00BC27E9" w:rsidRPr="00954407" w:rsidRDefault="00BC27E9" w:rsidP="00BC27E9">
      <w:pPr>
        <w:pStyle w:val="EstilodePrrafoNormal1RdeC"/>
        <w:rPr>
          <w:color w:val="767171"/>
        </w:rPr>
      </w:pPr>
    </w:p>
    <w:p w14:paraId="17A4124A" w14:textId="77777777" w:rsidR="00BC27E9" w:rsidRPr="00954407" w:rsidRDefault="00BC27E9" w:rsidP="00BC27E9">
      <w:pPr>
        <w:pStyle w:val="EstilodePrrafoNormal1RdeC"/>
        <w:rPr>
          <w:color w:val="767171"/>
        </w:rPr>
      </w:pPr>
    </w:p>
    <w:p w14:paraId="0C5E643F" w14:textId="77777777" w:rsidR="00BC27E9" w:rsidRPr="00954407" w:rsidRDefault="00BC27E9" w:rsidP="00BC27E9">
      <w:pPr>
        <w:pStyle w:val="EstilodePrrafoNormal1RdeC"/>
        <w:rPr>
          <w:color w:val="767171"/>
        </w:rPr>
      </w:pPr>
    </w:p>
    <w:p w14:paraId="3DDB0658" w14:textId="77777777" w:rsidR="00BC27E9" w:rsidRPr="00954407" w:rsidRDefault="00BC27E9" w:rsidP="00BC27E9">
      <w:pPr>
        <w:pStyle w:val="EstilodePrrafoNormal1RdeC"/>
        <w:rPr>
          <w:color w:val="767171"/>
        </w:rPr>
      </w:pPr>
      <w:r w:rsidRPr="00954407">
        <w:rPr>
          <w:noProof/>
          <w:color w:val="767171"/>
          <w:lang w:val="es-DO" w:eastAsia="es-DO" w:bidi="ar-SA"/>
        </w:rPr>
        <w:drawing>
          <wp:inline distT="0" distB="0" distL="0" distR="0" wp14:anchorId="77C74179" wp14:editId="3227AEE7">
            <wp:extent cx="5378102" cy="2906539"/>
            <wp:effectExtent l="0" t="0" r="0" b="8255"/>
            <wp:docPr id="184672578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5879" cy="2916146"/>
                    </a:xfrm>
                    <a:prstGeom prst="rect">
                      <a:avLst/>
                    </a:prstGeom>
                    <a:noFill/>
                  </pic:spPr>
                </pic:pic>
              </a:graphicData>
            </a:graphic>
          </wp:inline>
        </w:drawing>
      </w:r>
    </w:p>
    <w:p w14:paraId="0CB0B0A7" w14:textId="77777777" w:rsidR="00BC27E9" w:rsidRPr="00954407" w:rsidRDefault="00BC27E9" w:rsidP="00BC27E9">
      <w:pPr>
        <w:pStyle w:val="EstilodePrrafoNormal1RdeC"/>
        <w:rPr>
          <w:color w:val="767171"/>
        </w:rPr>
      </w:pPr>
    </w:p>
    <w:p w14:paraId="7175BF6C" w14:textId="77777777" w:rsidR="00BC27E9" w:rsidRPr="00954407" w:rsidRDefault="00BC27E9" w:rsidP="00BC27E9">
      <w:pPr>
        <w:pStyle w:val="EstilodePrrafoNormal1RdeC"/>
        <w:rPr>
          <w:color w:val="767171"/>
        </w:rPr>
      </w:pPr>
    </w:p>
    <w:p w14:paraId="4D3D7A62" w14:textId="77777777" w:rsidR="00BC27E9" w:rsidRPr="00954407" w:rsidRDefault="00BC27E9" w:rsidP="00BC27E9">
      <w:pPr>
        <w:pStyle w:val="EstilodePrrafoNormal1RdeC"/>
        <w:rPr>
          <w:color w:val="767171"/>
        </w:rPr>
      </w:pPr>
      <w:r w:rsidRPr="00954407">
        <w:rPr>
          <w:color w:val="767171"/>
        </w:rPr>
        <w:t>La siguiente gráfica, muestra en porcentaje, las solicitudes ingresadas por mes al área de Transparencia de la institución:</w:t>
      </w:r>
    </w:p>
    <w:p w14:paraId="4A8CEE06" w14:textId="77777777" w:rsidR="00BC27E9" w:rsidRPr="00954407" w:rsidRDefault="00BC27E9" w:rsidP="00BC27E9">
      <w:pPr>
        <w:pStyle w:val="EstilodePrrafoNormal1RdeC"/>
        <w:rPr>
          <w:noProof/>
          <w:color w:val="767171"/>
        </w:rPr>
      </w:pPr>
    </w:p>
    <w:p w14:paraId="1B942FA7" w14:textId="77777777" w:rsidR="00BC27E9" w:rsidRPr="00954407" w:rsidRDefault="00BC27E9" w:rsidP="00BC27E9">
      <w:pPr>
        <w:pStyle w:val="EstilodePrrafoNormal1RdeC"/>
        <w:rPr>
          <w:noProof/>
          <w:color w:val="767171"/>
        </w:rPr>
      </w:pPr>
    </w:p>
    <w:p w14:paraId="1EF4DA7C" w14:textId="77777777" w:rsidR="00BC27E9" w:rsidRPr="00954407" w:rsidRDefault="00BC27E9" w:rsidP="00BC27E9">
      <w:pPr>
        <w:pStyle w:val="EstilodePrrafoNormal1RdeC"/>
        <w:rPr>
          <w:noProof/>
          <w:color w:val="767171"/>
        </w:rPr>
      </w:pPr>
      <w:r w:rsidRPr="00954407">
        <w:rPr>
          <w:noProof/>
          <w:color w:val="767171"/>
          <w:lang w:val="es-DO" w:eastAsia="es-DO" w:bidi="ar-SA"/>
        </w:rPr>
        <w:drawing>
          <wp:inline distT="0" distB="0" distL="0" distR="0" wp14:anchorId="376D95C8" wp14:editId="0217E689">
            <wp:extent cx="5411734" cy="2330761"/>
            <wp:effectExtent l="0" t="0" r="0" b="0"/>
            <wp:docPr id="194433798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31563" cy="2339301"/>
                    </a:xfrm>
                    <a:prstGeom prst="rect">
                      <a:avLst/>
                    </a:prstGeom>
                    <a:noFill/>
                  </pic:spPr>
                </pic:pic>
              </a:graphicData>
            </a:graphic>
          </wp:inline>
        </w:drawing>
      </w:r>
    </w:p>
    <w:p w14:paraId="326E7F18" w14:textId="77777777" w:rsidR="00BC27E9" w:rsidRPr="00954407" w:rsidRDefault="00BC27E9" w:rsidP="00BC27E9">
      <w:pPr>
        <w:pStyle w:val="EstilodePrrafoNormal1RdeC"/>
        <w:rPr>
          <w:noProof/>
          <w:color w:val="767171"/>
        </w:rPr>
      </w:pPr>
    </w:p>
    <w:p w14:paraId="540E9076" w14:textId="77777777" w:rsidR="00BC27E9" w:rsidRDefault="00BC27E9" w:rsidP="00BC27E9">
      <w:pPr>
        <w:pStyle w:val="EstilodePrrafoNormal1RdeC"/>
        <w:rPr>
          <w:noProof/>
          <w:color w:val="767171"/>
        </w:rPr>
      </w:pPr>
    </w:p>
    <w:p w14:paraId="5D9FA8FA" w14:textId="77777777" w:rsidR="003E7418" w:rsidRPr="00954407" w:rsidRDefault="003E7418" w:rsidP="00BC27E9">
      <w:pPr>
        <w:pStyle w:val="EstilodePrrafoNormal1RdeC"/>
        <w:rPr>
          <w:noProof/>
          <w:color w:val="767171"/>
        </w:rPr>
      </w:pPr>
    </w:p>
    <w:p w14:paraId="4DC8E96A" w14:textId="77777777" w:rsidR="00BC27E9" w:rsidRPr="00954407" w:rsidRDefault="00BC27E9" w:rsidP="00BC27E9">
      <w:pPr>
        <w:pStyle w:val="EstilodePrrafoNormal1RdeC"/>
        <w:rPr>
          <w:noProof/>
          <w:color w:val="767171"/>
        </w:rPr>
      </w:pPr>
    </w:p>
    <w:p w14:paraId="2FAF6C96" w14:textId="51226ACB"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Resultados del Sistema de Quejas, Reclamaciones y Sugerencias (3-1-1)</w:t>
      </w:r>
    </w:p>
    <w:p w14:paraId="3D0FBC5A" w14:textId="77777777" w:rsidR="00BC27E9" w:rsidRPr="00954407" w:rsidRDefault="00BC27E9" w:rsidP="00BC27E9">
      <w:pPr>
        <w:pStyle w:val="EstilodePrrafoNormal1RdeC"/>
        <w:rPr>
          <w:spacing w:val="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FB9A8D5" w14:textId="77777777" w:rsidR="00BC27E9" w:rsidRPr="00954407" w:rsidRDefault="00BC27E9" w:rsidP="00BC27E9">
      <w:pPr>
        <w:pStyle w:val="EstilodePrrafoNormal1RdeC"/>
        <w:rPr>
          <w:color w:val="767171"/>
        </w:rPr>
      </w:pPr>
      <w:r w:rsidRPr="00954407">
        <w:rPr>
          <w:color w:val="767171"/>
        </w:rPr>
        <w:t xml:space="preserve">El propósito del Sistema 3-1-1 es eficientizar la comunicación entre el estado y el ciudadano permitiendo a este último registrar denuncias, quejas, reclamaciones y sugerencias a cualquier entidad o servidor del estado dominicano, para que puedan ser canalizadas a las áreas y organismos correspondientes. Esto provee al gobierno información útil para toma de decisiones y seguimiento de la gestión pública, además de fortalecer la transparencia y la eficiencia de los servicios públicos. </w:t>
      </w:r>
    </w:p>
    <w:p w14:paraId="308EA894" w14:textId="77777777" w:rsidR="00BC27E9" w:rsidRPr="00954407" w:rsidRDefault="00BC27E9" w:rsidP="00BC27E9">
      <w:pPr>
        <w:pStyle w:val="EstilodePrrafoNormal1RdeC"/>
        <w:rPr>
          <w:color w:val="767171"/>
        </w:rPr>
      </w:pPr>
    </w:p>
    <w:p w14:paraId="6BE60E41" w14:textId="77777777" w:rsidR="00BC27E9" w:rsidRPr="00954407" w:rsidRDefault="00BC27E9" w:rsidP="00BC27E9">
      <w:pPr>
        <w:pStyle w:val="EstilodePrrafoNormal1RdeC"/>
        <w:rPr>
          <w:color w:val="767171"/>
        </w:rPr>
      </w:pPr>
    </w:p>
    <w:p w14:paraId="73BDC14E" w14:textId="77777777" w:rsidR="00BC27E9" w:rsidRPr="00954407" w:rsidRDefault="00BC27E9" w:rsidP="00BC27E9">
      <w:pPr>
        <w:pStyle w:val="EstilodePrrafoNormal1RdeC"/>
        <w:rPr>
          <w:color w:val="767171"/>
        </w:rPr>
      </w:pPr>
      <w:r w:rsidRPr="00954407">
        <w:rPr>
          <w:color w:val="767171"/>
        </w:rPr>
        <w:t xml:space="preserve">En el periodo enero-diciembre de 2025, podemos reflejar a través de la Línea 311, la Oficina de Acceso a la Información Pública ha recibido las </w:t>
      </w:r>
    </w:p>
    <w:p w14:paraId="51ADCA8A" w14:textId="77777777" w:rsidR="00BC27E9" w:rsidRPr="00954407" w:rsidRDefault="00BC27E9" w:rsidP="00BC27E9">
      <w:pPr>
        <w:pStyle w:val="EstilodePrrafoNormal1RdeC"/>
        <w:rPr>
          <w:color w:val="767171"/>
        </w:rPr>
      </w:pPr>
      <w:r w:rsidRPr="00954407">
        <w:rPr>
          <w:color w:val="767171"/>
        </w:rPr>
        <w:t>solicitudes siguientes:</w:t>
      </w:r>
    </w:p>
    <w:p w14:paraId="133FFE0E" w14:textId="77777777" w:rsidR="00BC27E9" w:rsidRPr="00954407" w:rsidRDefault="00BC27E9" w:rsidP="00BC27E9">
      <w:pPr>
        <w:pStyle w:val="EstilodePrrafoNormal1RdeC"/>
        <w:rPr>
          <w:color w:val="767171"/>
        </w:rPr>
      </w:pPr>
    </w:p>
    <w:p w14:paraId="19022479" w14:textId="16E8081C" w:rsidR="00BC27E9" w:rsidRPr="003E7418" w:rsidRDefault="003E7418" w:rsidP="003E7418">
      <w:pPr>
        <w:pStyle w:val="EstilodePrrafoNormal1RdeC"/>
        <w:jc w:val="center"/>
        <w:rPr>
          <w:b/>
          <w:bCs/>
          <w:color w:val="767171"/>
        </w:rPr>
      </w:pPr>
      <w:r w:rsidRPr="003E7418">
        <w:rPr>
          <w:b/>
          <w:bCs/>
          <w:color w:val="767171"/>
        </w:rPr>
        <w:t>Línea 3-1-1</w:t>
      </w:r>
    </w:p>
    <w:p w14:paraId="023DF114" w14:textId="3FC71683" w:rsidR="00BC27E9" w:rsidRPr="003E7418" w:rsidRDefault="003E7418" w:rsidP="003E7418">
      <w:pPr>
        <w:pStyle w:val="EstilodePrrafoNormal1RdeC"/>
        <w:jc w:val="center"/>
        <w:rPr>
          <w:b/>
          <w:bCs/>
          <w:color w:val="767171"/>
        </w:rPr>
      </w:pPr>
      <w:r w:rsidRPr="003E7418">
        <w:rPr>
          <w:b/>
          <w:bCs/>
          <w:color w:val="767171"/>
        </w:rPr>
        <w:t>Informe de Quejas, Reclamaciones y Sugerencias</w:t>
      </w:r>
    </w:p>
    <w:tbl>
      <w:tblPr>
        <w:tblW w:w="6860" w:type="dxa"/>
        <w:jc w:val="center"/>
        <w:tblCellMar>
          <w:left w:w="70" w:type="dxa"/>
          <w:right w:w="70" w:type="dxa"/>
        </w:tblCellMar>
        <w:tblLook w:val="04A0" w:firstRow="1" w:lastRow="0" w:firstColumn="1" w:lastColumn="0" w:noHBand="0" w:noVBand="1"/>
      </w:tblPr>
      <w:tblGrid>
        <w:gridCol w:w="4016"/>
        <w:gridCol w:w="2844"/>
      </w:tblGrid>
      <w:tr w:rsidR="001308EC" w:rsidRPr="003E7418" w14:paraId="2F80975C" w14:textId="77777777">
        <w:trPr>
          <w:trHeight w:val="795"/>
          <w:jc w:val="center"/>
        </w:trPr>
        <w:tc>
          <w:tcPr>
            <w:tcW w:w="6860" w:type="dxa"/>
            <w:gridSpan w:val="2"/>
            <w:tcBorders>
              <w:top w:val="single" w:sz="4" w:space="0" w:color="auto"/>
              <w:left w:val="single" w:sz="4" w:space="0" w:color="auto"/>
              <w:bottom w:val="single" w:sz="4" w:space="0" w:color="auto"/>
              <w:right w:val="single" w:sz="4" w:space="0" w:color="000000"/>
            </w:tcBorders>
            <w:shd w:val="clear" w:color="auto" w:fill="002060"/>
            <w:vAlign w:val="center"/>
            <w:hideMark/>
          </w:tcPr>
          <w:p w14:paraId="63C8F58A" w14:textId="77777777" w:rsidR="001308EC" w:rsidRPr="003E7418" w:rsidRDefault="001308EC">
            <w:pPr>
              <w:spacing w:line="240" w:lineRule="auto"/>
              <w:jc w:val="center"/>
              <w:rPr>
                <w:rFonts w:eastAsia="Times New Roman" w:cs="Times New Roman"/>
                <w:b/>
                <w:bCs/>
                <w:color w:val="FFFFFF"/>
                <w:spacing w:val="0"/>
                <w:szCs w:val="24"/>
                <w:lang w:eastAsia="es-DO"/>
              </w:rPr>
            </w:pPr>
            <w:r w:rsidRPr="003E7418">
              <w:rPr>
                <w:rFonts w:eastAsia="Times New Roman" w:cs="Times New Roman"/>
                <w:b/>
                <w:bCs/>
                <w:color w:val="FFFFFF"/>
                <w:spacing w:val="0"/>
                <w:szCs w:val="24"/>
                <w:lang w:eastAsia="es-DO"/>
              </w:rPr>
              <w:t>Informe de Quejas, Reclamaciones y Sugerencias</w:t>
            </w:r>
          </w:p>
        </w:tc>
      </w:tr>
      <w:tr w:rsidR="001308EC" w:rsidRPr="003E7418" w14:paraId="39299778" w14:textId="77777777">
        <w:trPr>
          <w:trHeight w:val="430"/>
          <w:jc w:val="center"/>
        </w:trPr>
        <w:tc>
          <w:tcPr>
            <w:tcW w:w="4016"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733B714C" w14:textId="77777777" w:rsidR="001308EC" w:rsidRPr="003E7418" w:rsidRDefault="001308EC">
            <w:pPr>
              <w:spacing w:line="240" w:lineRule="auto"/>
              <w:jc w:val="center"/>
              <w:rPr>
                <w:rFonts w:eastAsia="Times New Roman" w:cs="Times New Roman"/>
                <w:b/>
                <w:bCs/>
                <w:color w:val="000000"/>
                <w:spacing w:val="0"/>
                <w:szCs w:val="24"/>
                <w:lang w:eastAsia="es-DO"/>
              </w:rPr>
            </w:pPr>
            <w:r w:rsidRPr="003E7418">
              <w:rPr>
                <w:rFonts w:eastAsia="Times New Roman" w:cs="Times New Roman"/>
                <w:b/>
                <w:bCs/>
                <w:color w:val="000000"/>
                <w:spacing w:val="0"/>
                <w:szCs w:val="24"/>
                <w:lang w:eastAsia="es-DO"/>
              </w:rPr>
              <w:t>Detalle</w:t>
            </w:r>
          </w:p>
        </w:tc>
        <w:tc>
          <w:tcPr>
            <w:tcW w:w="2844" w:type="dxa"/>
            <w:tcBorders>
              <w:top w:val="nil"/>
              <w:left w:val="nil"/>
              <w:bottom w:val="single" w:sz="4" w:space="0" w:color="auto"/>
              <w:right w:val="single" w:sz="4" w:space="0" w:color="auto"/>
            </w:tcBorders>
            <w:shd w:val="clear" w:color="auto" w:fill="E8E8E8" w:themeFill="background2"/>
            <w:noWrap/>
            <w:vAlign w:val="center"/>
            <w:hideMark/>
          </w:tcPr>
          <w:p w14:paraId="4A765862" w14:textId="77777777" w:rsidR="001308EC" w:rsidRPr="003E7418" w:rsidRDefault="001308EC">
            <w:pPr>
              <w:spacing w:line="240" w:lineRule="auto"/>
              <w:jc w:val="center"/>
              <w:rPr>
                <w:rFonts w:eastAsia="Times New Roman" w:cs="Times New Roman"/>
                <w:b/>
                <w:bCs/>
                <w:color w:val="000000"/>
                <w:spacing w:val="0"/>
                <w:szCs w:val="24"/>
                <w:lang w:eastAsia="es-DO"/>
              </w:rPr>
            </w:pPr>
            <w:r w:rsidRPr="003E7418">
              <w:rPr>
                <w:rFonts w:eastAsia="Times New Roman" w:cs="Times New Roman"/>
                <w:b/>
                <w:bCs/>
                <w:color w:val="000000"/>
                <w:spacing w:val="0"/>
                <w:szCs w:val="24"/>
                <w:lang w:eastAsia="es-DO"/>
              </w:rPr>
              <w:t>Cantidad</w:t>
            </w:r>
          </w:p>
        </w:tc>
      </w:tr>
      <w:tr w:rsidR="001308EC" w:rsidRPr="003E7418" w14:paraId="26E4266C" w14:textId="77777777">
        <w:trPr>
          <w:trHeight w:val="380"/>
          <w:jc w:val="center"/>
        </w:trPr>
        <w:tc>
          <w:tcPr>
            <w:tcW w:w="4016" w:type="dxa"/>
            <w:tcBorders>
              <w:top w:val="nil"/>
              <w:left w:val="single" w:sz="4" w:space="0" w:color="auto"/>
              <w:bottom w:val="single" w:sz="4" w:space="0" w:color="auto"/>
              <w:right w:val="single" w:sz="4" w:space="0" w:color="auto"/>
            </w:tcBorders>
            <w:shd w:val="clear" w:color="auto" w:fill="FFFFFF"/>
            <w:noWrap/>
            <w:vAlign w:val="center"/>
            <w:hideMark/>
          </w:tcPr>
          <w:p w14:paraId="0BA4B7B4"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 xml:space="preserve">Quejas </w:t>
            </w:r>
          </w:p>
        </w:tc>
        <w:tc>
          <w:tcPr>
            <w:tcW w:w="2844" w:type="dxa"/>
            <w:tcBorders>
              <w:top w:val="nil"/>
              <w:left w:val="nil"/>
              <w:bottom w:val="single" w:sz="4" w:space="0" w:color="auto"/>
              <w:right w:val="single" w:sz="4" w:space="0" w:color="auto"/>
            </w:tcBorders>
            <w:shd w:val="clear" w:color="auto" w:fill="FFFFFF"/>
            <w:noWrap/>
            <w:vAlign w:val="center"/>
            <w:hideMark/>
          </w:tcPr>
          <w:p w14:paraId="49283774"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99</w:t>
            </w:r>
          </w:p>
        </w:tc>
      </w:tr>
      <w:tr w:rsidR="001308EC" w:rsidRPr="003E7418" w14:paraId="1F9629B2" w14:textId="77777777">
        <w:trPr>
          <w:trHeight w:val="245"/>
          <w:jc w:val="center"/>
        </w:trPr>
        <w:tc>
          <w:tcPr>
            <w:tcW w:w="4016" w:type="dxa"/>
            <w:tcBorders>
              <w:top w:val="nil"/>
              <w:left w:val="single" w:sz="4" w:space="0" w:color="auto"/>
              <w:bottom w:val="single" w:sz="4" w:space="0" w:color="auto"/>
              <w:right w:val="single" w:sz="4" w:space="0" w:color="auto"/>
            </w:tcBorders>
            <w:shd w:val="clear" w:color="auto" w:fill="FFFFFF"/>
            <w:noWrap/>
            <w:vAlign w:val="center"/>
            <w:hideMark/>
          </w:tcPr>
          <w:p w14:paraId="19A2C970"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 </w:t>
            </w:r>
          </w:p>
        </w:tc>
        <w:tc>
          <w:tcPr>
            <w:tcW w:w="2844" w:type="dxa"/>
            <w:tcBorders>
              <w:top w:val="nil"/>
              <w:left w:val="nil"/>
              <w:bottom w:val="single" w:sz="4" w:space="0" w:color="auto"/>
              <w:right w:val="single" w:sz="4" w:space="0" w:color="auto"/>
            </w:tcBorders>
            <w:shd w:val="clear" w:color="auto" w:fill="FFFFFF"/>
            <w:noWrap/>
            <w:vAlign w:val="center"/>
            <w:hideMark/>
          </w:tcPr>
          <w:p w14:paraId="15169D1D"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 </w:t>
            </w:r>
          </w:p>
        </w:tc>
      </w:tr>
      <w:tr w:rsidR="001308EC" w:rsidRPr="003E7418" w14:paraId="384574A0" w14:textId="77777777">
        <w:trPr>
          <w:trHeight w:val="380"/>
          <w:jc w:val="center"/>
        </w:trPr>
        <w:tc>
          <w:tcPr>
            <w:tcW w:w="4016" w:type="dxa"/>
            <w:tcBorders>
              <w:top w:val="nil"/>
              <w:left w:val="single" w:sz="4" w:space="0" w:color="auto"/>
              <w:bottom w:val="single" w:sz="4" w:space="0" w:color="auto"/>
              <w:right w:val="single" w:sz="4" w:space="0" w:color="auto"/>
            </w:tcBorders>
            <w:shd w:val="clear" w:color="auto" w:fill="FFFFFF"/>
            <w:noWrap/>
            <w:vAlign w:val="center"/>
            <w:hideMark/>
          </w:tcPr>
          <w:p w14:paraId="5ECA4211"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 xml:space="preserve">Reclamaciones </w:t>
            </w:r>
          </w:p>
        </w:tc>
        <w:tc>
          <w:tcPr>
            <w:tcW w:w="2844" w:type="dxa"/>
            <w:tcBorders>
              <w:top w:val="nil"/>
              <w:left w:val="nil"/>
              <w:bottom w:val="single" w:sz="4" w:space="0" w:color="auto"/>
              <w:right w:val="single" w:sz="4" w:space="0" w:color="auto"/>
            </w:tcBorders>
            <w:shd w:val="clear" w:color="auto" w:fill="FFFFFF"/>
            <w:noWrap/>
            <w:vAlign w:val="center"/>
            <w:hideMark/>
          </w:tcPr>
          <w:p w14:paraId="10556D0E"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33</w:t>
            </w:r>
          </w:p>
        </w:tc>
      </w:tr>
      <w:tr w:rsidR="001308EC" w:rsidRPr="003E7418" w14:paraId="337BB02B" w14:textId="77777777">
        <w:trPr>
          <w:trHeight w:val="105"/>
          <w:jc w:val="center"/>
        </w:trPr>
        <w:tc>
          <w:tcPr>
            <w:tcW w:w="4016" w:type="dxa"/>
            <w:tcBorders>
              <w:top w:val="nil"/>
              <w:left w:val="single" w:sz="4" w:space="0" w:color="auto"/>
              <w:bottom w:val="single" w:sz="4" w:space="0" w:color="auto"/>
              <w:right w:val="single" w:sz="4" w:space="0" w:color="auto"/>
            </w:tcBorders>
            <w:shd w:val="clear" w:color="auto" w:fill="FFFFFF"/>
            <w:noWrap/>
            <w:vAlign w:val="center"/>
            <w:hideMark/>
          </w:tcPr>
          <w:p w14:paraId="5B97DCFD"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 </w:t>
            </w:r>
          </w:p>
        </w:tc>
        <w:tc>
          <w:tcPr>
            <w:tcW w:w="2844" w:type="dxa"/>
            <w:tcBorders>
              <w:top w:val="nil"/>
              <w:left w:val="nil"/>
              <w:bottom w:val="single" w:sz="4" w:space="0" w:color="auto"/>
              <w:right w:val="single" w:sz="4" w:space="0" w:color="auto"/>
            </w:tcBorders>
            <w:shd w:val="clear" w:color="auto" w:fill="FFFFFF"/>
            <w:noWrap/>
            <w:vAlign w:val="center"/>
            <w:hideMark/>
          </w:tcPr>
          <w:p w14:paraId="6C05BEF5"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 </w:t>
            </w:r>
          </w:p>
        </w:tc>
      </w:tr>
      <w:tr w:rsidR="001308EC" w:rsidRPr="003E7418" w14:paraId="22803C3F" w14:textId="77777777">
        <w:trPr>
          <w:trHeight w:val="380"/>
          <w:jc w:val="center"/>
        </w:trPr>
        <w:tc>
          <w:tcPr>
            <w:tcW w:w="4016" w:type="dxa"/>
            <w:tcBorders>
              <w:top w:val="nil"/>
              <w:left w:val="single" w:sz="4" w:space="0" w:color="auto"/>
              <w:bottom w:val="single" w:sz="4" w:space="0" w:color="auto"/>
              <w:right w:val="single" w:sz="4" w:space="0" w:color="auto"/>
            </w:tcBorders>
            <w:shd w:val="clear" w:color="auto" w:fill="FFFFFF"/>
            <w:noWrap/>
            <w:vAlign w:val="center"/>
            <w:hideMark/>
          </w:tcPr>
          <w:p w14:paraId="2B224281"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Sugerencias</w:t>
            </w:r>
          </w:p>
        </w:tc>
        <w:tc>
          <w:tcPr>
            <w:tcW w:w="2844" w:type="dxa"/>
            <w:tcBorders>
              <w:top w:val="nil"/>
              <w:left w:val="nil"/>
              <w:bottom w:val="single" w:sz="4" w:space="0" w:color="auto"/>
              <w:right w:val="single" w:sz="4" w:space="0" w:color="auto"/>
            </w:tcBorders>
            <w:shd w:val="clear" w:color="auto" w:fill="FFFFFF"/>
            <w:noWrap/>
            <w:vAlign w:val="center"/>
            <w:hideMark/>
          </w:tcPr>
          <w:p w14:paraId="5C5E2362"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4</w:t>
            </w:r>
          </w:p>
        </w:tc>
      </w:tr>
      <w:tr w:rsidR="001308EC" w:rsidRPr="003E7418" w14:paraId="65783A73" w14:textId="77777777">
        <w:trPr>
          <w:trHeight w:val="181"/>
          <w:jc w:val="center"/>
        </w:trPr>
        <w:tc>
          <w:tcPr>
            <w:tcW w:w="4016" w:type="dxa"/>
            <w:tcBorders>
              <w:top w:val="nil"/>
              <w:left w:val="single" w:sz="4" w:space="0" w:color="auto"/>
              <w:bottom w:val="single" w:sz="4" w:space="0" w:color="auto"/>
              <w:right w:val="single" w:sz="4" w:space="0" w:color="auto"/>
            </w:tcBorders>
            <w:shd w:val="clear" w:color="auto" w:fill="FFFFFF"/>
            <w:noWrap/>
            <w:vAlign w:val="center"/>
            <w:hideMark/>
          </w:tcPr>
          <w:p w14:paraId="2C9407F7"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 </w:t>
            </w:r>
          </w:p>
        </w:tc>
        <w:tc>
          <w:tcPr>
            <w:tcW w:w="2844" w:type="dxa"/>
            <w:tcBorders>
              <w:top w:val="nil"/>
              <w:left w:val="nil"/>
              <w:bottom w:val="single" w:sz="4" w:space="0" w:color="auto"/>
              <w:right w:val="single" w:sz="4" w:space="0" w:color="auto"/>
            </w:tcBorders>
            <w:shd w:val="clear" w:color="auto" w:fill="FFFFFF"/>
            <w:noWrap/>
            <w:vAlign w:val="center"/>
            <w:hideMark/>
          </w:tcPr>
          <w:p w14:paraId="460268B8" w14:textId="77777777" w:rsidR="001308EC" w:rsidRPr="003E7418" w:rsidRDefault="001308EC">
            <w:pPr>
              <w:spacing w:line="240" w:lineRule="auto"/>
              <w:jc w:val="center"/>
              <w:rPr>
                <w:rFonts w:eastAsia="Times New Roman" w:cs="Times New Roman"/>
                <w:color w:val="000000"/>
                <w:spacing w:val="0"/>
                <w:szCs w:val="24"/>
                <w:lang w:eastAsia="es-DO"/>
              </w:rPr>
            </w:pPr>
            <w:r w:rsidRPr="003E7418">
              <w:rPr>
                <w:rFonts w:eastAsia="Times New Roman" w:cs="Times New Roman"/>
                <w:color w:val="000000"/>
                <w:spacing w:val="0"/>
                <w:szCs w:val="24"/>
                <w:lang w:eastAsia="es-DO"/>
              </w:rPr>
              <w:t> </w:t>
            </w:r>
          </w:p>
        </w:tc>
      </w:tr>
      <w:tr w:rsidR="001308EC" w:rsidRPr="003E7418" w14:paraId="58E01AA1" w14:textId="77777777">
        <w:trPr>
          <w:trHeight w:val="380"/>
          <w:jc w:val="center"/>
        </w:trPr>
        <w:tc>
          <w:tcPr>
            <w:tcW w:w="4016"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5067454A" w14:textId="77777777" w:rsidR="001308EC" w:rsidRPr="003E7418" w:rsidRDefault="001308EC">
            <w:pPr>
              <w:spacing w:line="240" w:lineRule="auto"/>
              <w:jc w:val="center"/>
              <w:rPr>
                <w:rFonts w:eastAsia="Times New Roman" w:cs="Times New Roman"/>
                <w:b/>
                <w:bCs/>
                <w:color w:val="000000"/>
                <w:spacing w:val="0"/>
                <w:szCs w:val="24"/>
                <w:lang w:eastAsia="es-DO"/>
              </w:rPr>
            </w:pPr>
            <w:r w:rsidRPr="003E7418">
              <w:rPr>
                <w:rFonts w:eastAsia="Times New Roman" w:cs="Times New Roman"/>
                <w:b/>
                <w:bCs/>
                <w:color w:val="000000"/>
                <w:spacing w:val="0"/>
                <w:szCs w:val="24"/>
                <w:lang w:eastAsia="es-DO"/>
              </w:rPr>
              <w:t>Total</w:t>
            </w:r>
          </w:p>
        </w:tc>
        <w:tc>
          <w:tcPr>
            <w:tcW w:w="2844" w:type="dxa"/>
            <w:tcBorders>
              <w:top w:val="nil"/>
              <w:left w:val="nil"/>
              <w:bottom w:val="single" w:sz="4" w:space="0" w:color="auto"/>
              <w:right w:val="single" w:sz="4" w:space="0" w:color="auto"/>
            </w:tcBorders>
            <w:shd w:val="clear" w:color="auto" w:fill="E8E8E8" w:themeFill="background2"/>
            <w:noWrap/>
            <w:vAlign w:val="center"/>
            <w:hideMark/>
          </w:tcPr>
          <w:p w14:paraId="24D9F6DC" w14:textId="77777777" w:rsidR="001308EC" w:rsidRPr="003E7418" w:rsidRDefault="001308EC">
            <w:pPr>
              <w:spacing w:line="240" w:lineRule="auto"/>
              <w:jc w:val="center"/>
              <w:rPr>
                <w:rFonts w:eastAsia="Times New Roman" w:cs="Times New Roman"/>
                <w:b/>
                <w:bCs/>
                <w:color w:val="000000"/>
                <w:spacing w:val="0"/>
                <w:szCs w:val="24"/>
                <w:lang w:eastAsia="es-DO"/>
              </w:rPr>
            </w:pPr>
            <w:r w:rsidRPr="003E7418">
              <w:rPr>
                <w:rFonts w:eastAsia="Times New Roman" w:cs="Times New Roman"/>
                <w:b/>
                <w:bCs/>
                <w:color w:val="000000"/>
                <w:spacing w:val="0"/>
                <w:szCs w:val="24"/>
                <w:lang w:eastAsia="es-DO"/>
              </w:rPr>
              <w:t>136</w:t>
            </w:r>
          </w:p>
        </w:tc>
      </w:tr>
    </w:tbl>
    <w:p w14:paraId="286A81FC" w14:textId="77777777" w:rsidR="001308EC" w:rsidRDefault="001308EC" w:rsidP="001308EC">
      <w:pPr>
        <w:spacing w:after="160" w:line="252" w:lineRule="auto"/>
        <w:jc w:val="center"/>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9095ED1" w14:textId="1C8EE292" w:rsidR="001308EC" w:rsidRDefault="001308EC" w:rsidP="001308EC">
      <w:pPr>
        <w:spacing w:after="160" w:line="252" w:lineRule="auto"/>
        <w:jc w:val="center"/>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noProof/>
          <w:lang w:eastAsia="es-DO"/>
        </w:rPr>
        <w:lastRenderedPageBreak/>
        <w:drawing>
          <wp:inline distT="0" distB="0" distL="0" distR="0" wp14:anchorId="733F706D" wp14:editId="2C361B58">
            <wp:extent cx="5645150" cy="4044950"/>
            <wp:effectExtent l="0" t="0" r="12700" b="12700"/>
            <wp:docPr id="1" name="Chart 3">
              <a:extLst xmlns:a="http://schemas.openxmlformats.org/drawingml/2006/main">
                <a:ext uri="{FF2B5EF4-FFF2-40B4-BE49-F238E27FC236}">
                  <a16:creationId xmlns:a16="http://schemas.microsoft.com/office/drawing/2014/main" id="{A7B92571-1829-6C07-761E-BB4C0481B8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787293B" w14:textId="77777777" w:rsidR="001308EC" w:rsidRDefault="001308EC" w:rsidP="001308EC">
      <w:pPr>
        <w:spacing w:after="160" w:line="252" w:lineRule="auto"/>
        <w:jc w:val="center"/>
        <w:rPr>
          <w:rFonts w:eastAsia="Times New Roman" w:cs="Times New Roman"/>
          <w:spacing w:val="0"/>
          <w:szCs w:val="24"/>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AFCC216" w14:textId="77777777" w:rsidR="00BC27E9" w:rsidRPr="00954407" w:rsidRDefault="00BC27E9" w:rsidP="00BC27E9">
      <w:pPr>
        <w:pStyle w:val="EstilodePrrafoNormal1RdeC"/>
      </w:pPr>
    </w:p>
    <w:p w14:paraId="7DAEC0F2" w14:textId="77777777" w:rsidR="00BC27E9" w:rsidRPr="00954407" w:rsidRDefault="00BC27E9" w:rsidP="00BC27E9">
      <w:pPr>
        <w:pStyle w:val="EstilodePrrafoNormal1RdeC"/>
      </w:pPr>
    </w:p>
    <w:p w14:paraId="342D06F7" w14:textId="32C3CADF" w:rsidR="00BC27E9" w:rsidRPr="00755C02" w:rsidRDefault="00BC27E9" w:rsidP="00755C02">
      <w:pPr>
        <w:pStyle w:val="Heading3"/>
        <w:rPr>
          <w:b/>
          <w:bCs/>
          <w:color w:val="808080" w:themeColor="background1" w:themeShade="80"/>
          <w:sz w:val="24"/>
          <w:szCs w:val="24"/>
        </w:rPr>
      </w:pPr>
      <w:r w:rsidRPr="00755C02">
        <w:rPr>
          <w:b/>
          <w:bCs/>
          <w:color w:val="808080" w:themeColor="background1" w:themeShade="80"/>
          <w:sz w:val="24"/>
          <w:szCs w:val="24"/>
        </w:rPr>
        <w:t>Resultados de Mediciones del Portal de Transparencia</w:t>
      </w:r>
    </w:p>
    <w:p w14:paraId="3E70FFBB" w14:textId="77777777" w:rsidR="00BC27E9" w:rsidRPr="00954407" w:rsidRDefault="00BC27E9" w:rsidP="00BC27E9">
      <w:pPr>
        <w:pStyle w:val="EstilodePrrafoNormal1RdeC"/>
        <w:rPr>
          <w:spacing w:val="0"/>
        </w:rPr>
      </w:pPr>
    </w:p>
    <w:p w14:paraId="3E9A11C8" w14:textId="77777777" w:rsidR="00BC27E9" w:rsidRPr="00954407" w:rsidRDefault="00BC27E9" w:rsidP="00BC27E9">
      <w:pPr>
        <w:pStyle w:val="EstilodePrrafoNormal1RdeC"/>
        <w:rPr>
          <w:color w:val="767171"/>
        </w:rPr>
      </w:pPr>
      <w:r w:rsidRPr="00954407">
        <w:rPr>
          <w:color w:val="767171"/>
        </w:rPr>
        <w:t xml:space="preserve">En cumplimiento de gestionar la recopilación y entrega de información solicitada por la ciudadanía, Ley No.200-04 de Libre Acceso a la Información Pública, la Dirección de Transparencia del MOPC, ha implementado un sistema de monitoreo que asegura el adecuado desempeño de sus funciones, garantizando así el derecho de los ciudadanos a acceder a información institucional disponible en diversos formatos. </w:t>
      </w:r>
    </w:p>
    <w:p w14:paraId="6A419297" w14:textId="77777777" w:rsidR="00BC27E9" w:rsidRPr="00954407" w:rsidRDefault="00BC27E9" w:rsidP="00BC27E9">
      <w:pPr>
        <w:pStyle w:val="EstilodePrrafoNormal1RdeC"/>
        <w:rPr>
          <w:color w:val="767171"/>
        </w:rPr>
      </w:pPr>
    </w:p>
    <w:p w14:paraId="70A197F3" w14:textId="77777777" w:rsidR="00BC27E9" w:rsidRPr="00954407" w:rsidRDefault="00BC27E9" w:rsidP="00BC27E9">
      <w:pPr>
        <w:pStyle w:val="EstilodePrrafoNormal1RdeC"/>
        <w:rPr>
          <w:color w:val="767171"/>
        </w:rPr>
      </w:pPr>
      <w:r w:rsidRPr="00954407">
        <w:rPr>
          <w:color w:val="767171"/>
        </w:rPr>
        <w:t>A continuación, presentamos las estadísticas mensuales con los porcentajes obtenidos durante el período de evaluación enero-diciembre del año 2025:</w:t>
      </w:r>
    </w:p>
    <w:tbl>
      <w:tblPr>
        <w:tblW w:w="5680" w:type="dxa"/>
        <w:jc w:val="center"/>
        <w:tblCellMar>
          <w:left w:w="70" w:type="dxa"/>
          <w:right w:w="70" w:type="dxa"/>
        </w:tblCellMar>
        <w:tblLook w:val="04A0" w:firstRow="1" w:lastRow="0" w:firstColumn="1" w:lastColumn="0" w:noHBand="0" w:noVBand="1"/>
      </w:tblPr>
      <w:tblGrid>
        <w:gridCol w:w="1880"/>
        <w:gridCol w:w="3800"/>
      </w:tblGrid>
      <w:tr w:rsidR="001308EC" w:rsidRPr="003E7418" w14:paraId="64ED8E84" w14:textId="77777777">
        <w:trPr>
          <w:trHeight w:val="370"/>
          <w:jc w:val="center"/>
        </w:trPr>
        <w:tc>
          <w:tcPr>
            <w:tcW w:w="188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055F2022" w14:textId="77777777" w:rsidR="001308EC" w:rsidRPr="003E7418" w:rsidRDefault="001308EC">
            <w:pPr>
              <w:spacing w:line="240" w:lineRule="auto"/>
              <w:jc w:val="center"/>
              <w:rPr>
                <w:rFonts w:eastAsia="Times New Roman" w:cs="Times New Roman"/>
                <w:b/>
                <w:bCs/>
                <w:color w:val="FFFFFF"/>
                <w:spacing w:val="0"/>
                <w:szCs w:val="24"/>
                <w:lang w:eastAsia="es-DO"/>
              </w:rPr>
            </w:pPr>
            <w:r w:rsidRPr="003E7418">
              <w:rPr>
                <w:rFonts w:eastAsia="Times New Roman" w:cs="Times New Roman"/>
                <w:b/>
                <w:bCs/>
                <w:color w:val="FFFFFF"/>
                <w:spacing w:val="0"/>
                <w:szCs w:val="24"/>
                <w:lang w:eastAsia="es-DO"/>
              </w:rPr>
              <w:lastRenderedPageBreak/>
              <w:t>MES</w:t>
            </w:r>
          </w:p>
        </w:tc>
        <w:tc>
          <w:tcPr>
            <w:tcW w:w="3800" w:type="dxa"/>
            <w:tcBorders>
              <w:top w:val="single" w:sz="4" w:space="0" w:color="auto"/>
              <w:left w:val="nil"/>
              <w:bottom w:val="single" w:sz="4" w:space="0" w:color="auto"/>
              <w:right w:val="single" w:sz="4" w:space="0" w:color="auto"/>
            </w:tcBorders>
            <w:shd w:val="clear" w:color="auto" w:fill="002060"/>
            <w:noWrap/>
            <w:vAlign w:val="bottom"/>
            <w:hideMark/>
          </w:tcPr>
          <w:p w14:paraId="2D605D71" w14:textId="77777777" w:rsidR="001308EC" w:rsidRPr="003E7418" w:rsidRDefault="001308EC">
            <w:pPr>
              <w:spacing w:line="240" w:lineRule="auto"/>
              <w:jc w:val="center"/>
              <w:rPr>
                <w:rFonts w:eastAsia="Times New Roman" w:cs="Times New Roman"/>
                <w:b/>
                <w:bCs/>
                <w:color w:val="FFFFFF"/>
                <w:spacing w:val="0"/>
                <w:szCs w:val="24"/>
                <w:lang w:eastAsia="es-DO"/>
              </w:rPr>
            </w:pPr>
            <w:r w:rsidRPr="003E7418">
              <w:rPr>
                <w:rFonts w:eastAsia="Times New Roman" w:cs="Times New Roman"/>
                <w:b/>
                <w:bCs/>
                <w:color w:val="FFFFFF"/>
                <w:spacing w:val="0"/>
                <w:szCs w:val="24"/>
                <w:lang w:eastAsia="es-DO"/>
              </w:rPr>
              <w:t xml:space="preserve">PUNTUACIÓN </w:t>
            </w:r>
          </w:p>
        </w:tc>
      </w:tr>
      <w:tr w:rsidR="001308EC" w:rsidRPr="003E7418" w14:paraId="434D1BEE" w14:textId="77777777">
        <w:trPr>
          <w:trHeight w:val="495"/>
          <w:jc w:val="center"/>
        </w:trPr>
        <w:tc>
          <w:tcPr>
            <w:tcW w:w="1880" w:type="dxa"/>
            <w:tcBorders>
              <w:top w:val="nil"/>
              <w:left w:val="single" w:sz="4" w:space="0" w:color="auto"/>
              <w:bottom w:val="single" w:sz="4" w:space="0" w:color="auto"/>
              <w:right w:val="single" w:sz="4" w:space="0" w:color="auto"/>
            </w:tcBorders>
            <w:shd w:val="clear" w:color="auto" w:fill="F2F2F2"/>
            <w:vAlign w:val="center"/>
            <w:hideMark/>
          </w:tcPr>
          <w:p w14:paraId="08814F53"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Enero</w:t>
            </w:r>
          </w:p>
        </w:tc>
        <w:tc>
          <w:tcPr>
            <w:tcW w:w="3800" w:type="dxa"/>
            <w:tcBorders>
              <w:top w:val="nil"/>
              <w:left w:val="nil"/>
              <w:bottom w:val="single" w:sz="4" w:space="0" w:color="auto"/>
              <w:right w:val="single" w:sz="4" w:space="0" w:color="auto"/>
            </w:tcBorders>
            <w:shd w:val="clear" w:color="auto" w:fill="F2F2F2"/>
            <w:vAlign w:val="center"/>
            <w:hideMark/>
          </w:tcPr>
          <w:p w14:paraId="63CCCFCF" w14:textId="77777777" w:rsidR="001308EC" w:rsidRPr="003E7418" w:rsidRDefault="001308EC">
            <w:pPr>
              <w:spacing w:line="240" w:lineRule="auto"/>
              <w:jc w:val="center"/>
              <w:rPr>
                <w:rFonts w:eastAsia="Times New Roman" w:cs="Times New Roman"/>
                <w:bCs/>
                <w:color w:val="auto"/>
                <w:spacing w:val="0"/>
                <w:szCs w:val="24"/>
                <w:lang w:eastAsia="es-DO"/>
              </w:rPr>
            </w:pPr>
            <w:r w:rsidRPr="003E7418">
              <w:rPr>
                <w:rFonts w:eastAsia="Times New Roman" w:cs="Times New Roman"/>
                <w:bCs/>
                <w:color w:val="auto"/>
                <w:spacing w:val="0"/>
                <w:szCs w:val="24"/>
                <w:lang w:eastAsia="es-DO"/>
              </w:rPr>
              <w:t>95.15</w:t>
            </w:r>
          </w:p>
        </w:tc>
      </w:tr>
      <w:tr w:rsidR="001308EC" w:rsidRPr="003E7418" w14:paraId="665DC08F" w14:textId="77777777">
        <w:trPr>
          <w:trHeight w:val="450"/>
          <w:jc w:val="center"/>
        </w:trPr>
        <w:tc>
          <w:tcPr>
            <w:tcW w:w="1880" w:type="dxa"/>
            <w:tcBorders>
              <w:top w:val="nil"/>
              <w:left w:val="single" w:sz="4" w:space="0" w:color="auto"/>
              <w:bottom w:val="single" w:sz="4" w:space="0" w:color="auto"/>
              <w:right w:val="single" w:sz="4" w:space="0" w:color="auto"/>
            </w:tcBorders>
            <w:shd w:val="clear" w:color="auto" w:fill="FFFFFF"/>
            <w:vAlign w:val="center"/>
            <w:hideMark/>
          </w:tcPr>
          <w:p w14:paraId="00354A3D"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Febrero</w:t>
            </w:r>
          </w:p>
        </w:tc>
        <w:tc>
          <w:tcPr>
            <w:tcW w:w="3800" w:type="dxa"/>
            <w:tcBorders>
              <w:top w:val="nil"/>
              <w:left w:val="nil"/>
              <w:bottom w:val="single" w:sz="4" w:space="0" w:color="auto"/>
              <w:right w:val="single" w:sz="4" w:space="0" w:color="auto"/>
            </w:tcBorders>
            <w:shd w:val="clear" w:color="auto" w:fill="FFFFFF"/>
            <w:vAlign w:val="center"/>
            <w:hideMark/>
          </w:tcPr>
          <w:p w14:paraId="176DB24C"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97.67</w:t>
            </w:r>
          </w:p>
        </w:tc>
      </w:tr>
      <w:tr w:rsidR="001308EC" w:rsidRPr="003E7418" w14:paraId="4425881D" w14:textId="77777777">
        <w:trPr>
          <w:trHeight w:val="525"/>
          <w:jc w:val="center"/>
        </w:trPr>
        <w:tc>
          <w:tcPr>
            <w:tcW w:w="1880" w:type="dxa"/>
            <w:tcBorders>
              <w:top w:val="nil"/>
              <w:left w:val="single" w:sz="4" w:space="0" w:color="auto"/>
              <w:bottom w:val="single" w:sz="4" w:space="0" w:color="auto"/>
              <w:right w:val="single" w:sz="4" w:space="0" w:color="auto"/>
            </w:tcBorders>
            <w:shd w:val="clear" w:color="auto" w:fill="F2F2F2"/>
            <w:vAlign w:val="center"/>
            <w:hideMark/>
          </w:tcPr>
          <w:p w14:paraId="35B129F0"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Marzo</w:t>
            </w:r>
          </w:p>
        </w:tc>
        <w:tc>
          <w:tcPr>
            <w:tcW w:w="3800" w:type="dxa"/>
            <w:tcBorders>
              <w:top w:val="nil"/>
              <w:left w:val="nil"/>
              <w:bottom w:val="single" w:sz="4" w:space="0" w:color="auto"/>
              <w:right w:val="single" w:sz="4" w:space="0" w:color="auto"/>
            </w:tcBorders>
            <w:shd w:val="clear" w:color="auto" w:fill="F2F2F2"/>
            <w:vAlign w:val="center"/>
            <w:hideMark/>
          </w:tcPr>
          <w:p w14:paraId="68A2AF22" w14:textId="77777777" w:rsidR="001308EC" w:rsidRPr="003E7418" w:rsidRDefault="001308EC">
            <w:pPr>
              <w:spacing w:line="240" w:lineRule="auto"/>
              <w:jc w:val="center"/>
              <w:rPr>
                <w:rFonts w:eastAsia="Times New Roman" w:cs="Times New Roman"/>
                <w:bCs/>
                <w:color w:val="auto"/>
                <w:spacing w:val="0"/>
                <w:szCs w:val="24"/>
                <w:lang w:eastAsia="es-DO"/>
              </w:rPr>
            </w:pPr>
            <w:r w:rsidRPr="003E7418">
              <w:rPr>
                <w:rFonts w:eastAsia="Times New Roman" w:cs="Times New Roman"/>
                <w:bCs/>
                <w:color w:val="auto"/>
                <w:spacing w:val="0"/>
                <w:szCs w:val="24"/>
                <w:lang w:eastAsia="es-DO"/>
              </w:rPr>
              <w:t>97.69</w:t>
            </w:r>
          </w:p>
        </w:tc>
      </w:tr>
      <w:tr w:rsidR="001308EC" w:rsidRPr="003E7418" w14:paraId="0EFA5578" w14:textId="77777777">
        <w:trPr>
          <w:trHeight w:val="450"/>
          <w:jc w:val="center"/>
        </w:trPr>
        <w:tc>
          <w:tcPr>
            <w:tcW w:w="1880" w:type="dxa"/>
            <w:tcBorders>
              <w:top w:val="nil"/>
              <w:left w:val="single" w:sz="4" w:space="0" w:color="auto"/>
              <w:bottom w:val="single" w:sz="4" w:space="0" w:color="auto"/>
              <w:right w:val="single" w:sz="4" w:space="0" w:color="auto"/>
            </w:tcBorders>
            <w:shd w:val="clear" w:color="auto" w:fill="FFFFFF"/>
            <w:vAlign w:val="center"/>
            <w:hideMark/>
          </w:tcPr>
          <w:p w14:paraId="6EE3956D"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Abril</w:t>
            </w:r>
          </w:p>
        </w:tc>
        <w:tc>
          <w:tcPr>
            <w:tcW w:w="3800" w:type="dxa"/>
            <w:tcBorders>
              <w:top w:val="nil"/>
              <w:left w:val="nil"/>
              <w:bottom w:val="single" w:sz="4" w:space="0" w:color="auto"/>
              <w:right w:val="single" w:sz="4" w:space="0" w:color="auto"/>
            </w:tcBorders>
            <w:shd w:val="clear" w:color="auto" w:fill="FFFFFF"/>
            <w:vAlign w:val="center"/>
            <w:hideMark/>
          </w:tcPr>
          <w:p w14:paraId="2BE86F15"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100</w:t>
            </w:r>
          </w:p>
        </w:tc>
      </w:tr>
      <w:tr w:rsidR="001308EC" w:rsidRPr="003E7418" w14:paraId="4E53200E" w14:textId="77777777">
        <w:trPr>
          <w:trHeight w:val="435"/>
          <w:jc w:val="center"/>
        </w:trPr>
        <w:tc>
          <w:tcPr>
            <w:tcW w:w="1880" w:type="dxa"/>
            <w:tcBorders>
              <w:top w:val="nil"/>
              <w:left w:val="single" w:sz="4" w:space="0" w:color="auto"/>
              <w:bottom w:val="single" w:sz="4" w:space="0" w:color="auto"/>
              <w:right w:val="single" w:sz="4" w:space="0" w:color="auto"/>
            </w:tcBorders>
            <w:shd w:val="clear" w:color="auto" w:fill="F2F2F2"/>
            <w:vAlign w:val="center"/>
            <w:hideMark/>
          </w:tcPr>
          <w:p w14:paraId="34AD9218"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Mayo</w:t>
            </w:r>
          </w:p>
        </w:tc>
        <w:tc>
          <w:tcPr>
            <w:tcW w:w="3800" w:type="dxa"/>
            <w:tcBorders>
              <w:top w:val="nil"/>
              <w:left w:val="nil"/>
              <w:bottom w:val="single" w:sz="4" w:space="0" w:color="auto"/>
              <w:right w:val="single" w:sz="4" w:space="0" w:color="auto"/>
            </w:tcBorders>
            <w:shd w:val="clear" w:color="auto" w:fill="F2F2F2"/>
            <w:vAlign w:val="center"/>
            <w:hideMark/>
          </w:tcPr>
          <w:p w14:paraId="01CA70B9"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100</w:t>
            </w:r>
          </w:p>
        </w:tc>
      </w:tr>
      <w:tr w:rsidR="001308EC" w:rsidRPr="003E7418" w14:paraId="3C4F1471" w14:textId="77777777">
        <w:trPr>
          <w:trHeight w:val="420"/>
          <w:jc w:val="center"/>
        </w:trPr>
        <w:tc>
          <w:tcPr>
            <w:tcW w:w="1880" w:type="dxa"/>
            <w:tcBorders>
              <w:top w:val="nil"/>
              <w:left w:val="single" w:sz="4" w:space="0" w:color="auto"/>
              <w:bottom w:val="single" w:sz="4" w:space="0" w:color="auto"/>
              <w:right w:val="single" w:sz="4" w:space="0" w:color="auto"/>
            </w:tcBorders>
            <w:shd w:val="clear" w:color="auto" w:fill="FFFFFF"/>
            <w:vAlign w:val="center"/>
            <w:hideMark/>
          </w:tcPr>
          <w:p w14:paraId="6601916D"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 xml:space="preserve">Junio </w:t>
            </w:r>
          </w:p>
        </w:tc>
        <w:tc>
          <w:tcPr>
            <w:tcW w:w="3800" w:type="dxa"/>
            <w:tcBorders>
              <w:top w:val="nil"/>
              <w:left w:val="nil"/>
              <w:bottom w:val="single" w:sz="4" w:space="0" w:color="auto"/>
              <w:right w:val="single" w:sz="4" w:space="0" w:color="auto"/>
            </w:tcBorders>
            <w:shd w:val="clear" w:color="auto" w:fill="FFFFFF"/>
            <w:vAlign w:val="center"/>
            <w:hideMark/>
          </w:tcPr>
          <w:p w14:paraId="6534F95B"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99.34</w:t>
            </w:r>
          </w:p>
        </w:tc>
      </w:tr>
      <w:tr w:rsidR="001308EC" w:rsidRPr="003E7418" w14:paraId="49B21291" w14:textId="77777777">
        <w:trPr>
          <w:trHeight w:val="435"/>
          <w:jc w:val="center"/>
        </w:trPr>
        <w:tc>
          <w:tcPr>
            <w:tcW w:w="1880" w:type="dxa"/>
            <w:tcBorders>
              <w:top w:val="nil"/>
              <w:left w:val="single" w:sz="4" w:space="0" w:color="auto"/>
              <w:bottom w:val="single" w:sz="4" w:space="0" w:color="auto"/>
              <w:right w:val="single" w:sz="4" w:space="0" w:color="auto"/>
            </w:tcBorders>
            <w:shd w:val="clear" w:color="auto" w:fill="F2F2F2"/>
            <w:vAlign w:val="center"/>
            <w:hideMark/>
          </w:tcPr>
          <w:p w14:paraId="40CFFA9C"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Julio</w:t>
            </w:r>
          </w:p>
        </w:tc>
        <w:tc>
          <w:tcPr>
            <w:tcW w:w="3800" w:type="dxa"/>
            <w:tcBorders>
              <w:top w:val="nil"/>
              <w:left w:val="nil"/>
              <w:bottom w:val="single" w:sz="4" w:space="0" w:color="auto"/>
              <w:right w:val="single" w:sz="4" w:space="0" w:color="auto"/>
            </w:tcBorders>
            <w:shd w:val="clear" w:color="auto" w:fill="F2F2F2"/>
            <w:vAlign w:val="center"/>
            <w:hideMark/>
          </w:tcPr>
          <w:p w14:paraId="05CDF80F"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100</w:t>
            </w:r>
          </w:p>
        </w:tc>
      </w:tr>
      <w:tr w:rsidR="001308EC" w:rsidRPr="003E7418" w14:paraId="4CEF8EE9" w14:textId="77777777">
        <w:trPr>
          <w:trHeight w:val="450"/>
          <w:jc w:val="center"/>
        </w:trPr>
        <w:tc>
          <w:tcPr>
            <w:tcW w:w="1880" w:type="dxa"/>
            <w:tcBorders>
              <w:top w:val="nil"/>
              <w:left w:val="single" w:sz="4" w:space="0" w:color="auto"/>
              <w:bottom w:val="single" w:sz="4" w:space="0" w:color="auto"/>
              <w:right w:val="single" w:sz="4" w:space="0" w:color="auto"/>
            </w:tcBorders>
            <w:shd w:val="clear" w:color="auto" w:fill="FFFFFF"/>
            <w:vAlign w:val="center"/>
            <w:hideMark/>
          </w:tcPr>
          <w:p w14:paraId="4F7F2A94"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Agosto</w:t>
            </w:r>
          </w:p>
        </w:tc>
        <w:tc>
          <w:tcPr>
            <w:tcW w:w="3800" w:type="dxa"/>
            <w:tcBorders>
              <w:top w:val="nil"/>
              <w:left w:val="nil"/>
              <w:bottom w:val="single" w:sz="4" w:space="0" w:color="auto"/>
              <w:right w:val="single" w:sz="4" w:space="0" w:color="auto"/>
            </w:tcBorders>
            <w:shd w:val="clear" w:color="auto" w:fill="FFFFFF"/>
            <w:vAlign w:val="center"/>
            <w:hideMark/>
          </w:tcPr>
          <w:p w14:paraId="5C914ACD"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99.56</w:t>
            </w:r>
          </w:p>
        </w:tc>
      </w:tr>
      <w:tr w:rsidR="001308EC" w:rsidRPr="003E7418" w14:paraId="1A7C3926" w14:textId="77777777">
        <w:trPr>
          <w:trHeight w:val="435"/>
          <w:jc w:val="center"/>
        </w:trPr>
        <w:tc>
          <w:tcPr>
            <w:tcW w:w="1880" w:type="dxa"/>
            <w:tcBorders>
              <w:top w:val="nil"/>
              <w:left w:val="single" w:sz="4" w:space="0" w:color="auto"/>
              <w:bottom w:val="single" w:sz="4" w:space="0" w:color="auto"/>
              <w:right w:val="single" w:sz="4" w:space="0" w:color="auto"/>
            </w:tcBorders>
            <w:shd w:val="clear" w:color="auto" w:fill="F2F2F2"/>
            <w:vAlign w:val="center"/>
            <w:hideMark/>
          </w:tcPr>
          <w:p w14:paraId="1D4A64D3"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Septiembre</w:t>
            </w:r>
          </w:p>
        </w:tc>
        <w:tc>
          <w:tcPr>
            <w:tcW w:w="3800" w:type="dxa"/>
            <w:tcBorders>
              <w:top w:val="nil"/>
              <w:left w:val="nil"/>
              <w:bottom w:val="single" w:sz="4" w:space="0" w:color="auto"/>
              <w:right w:val="single" w:sz="4" w:space="0" w:color="auto"/>
            </w:tcBorders>
            <w:shd w:val="clear" w:color="auto" w:fill="F2F2F2"/>
            <w:vAlign w:val="center"/>
            <w:hideMark/>
          </w:tcPr>
          <w:p w14:paraId="4A0AC6DF"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96.73</w:t>
            </w:r>
          </w:p>
        </w:tc>
      </w:tr>
      <w:tr w:rsidR="001308EC" w:rsidRPr="003E7418" w14:paraId="190CDAE5" w14:textId="77777777">
        <w:trPr>
          <w:trHeight w:val="390"/>
          <w:jc w:val="center"/>
        </w:trPr>
        <w:tc>
          <w:tcPr>
            <w:tcW w:w="1880" w:type="dxa"/>
            <w:tcBorders>
              <w:top w:val="nil"/>
              <w:left w:val="single" w:sz="4" w:space="0" w:color="auto"/>
              <w:bottom w:val="single" w:sz="4" w:space="0" w:color="auto"/>
              <w:right w:val="single" w:sz="4" w:space="0" w:color="auto"/>
            </w:tcBorders>
            <w:shd w:val="clear" w:color="auto" w:fill="FFFFFF"/>
            <w:vAlign w:val="center"/>
            <w:hideMark/>
          </w:tcPr>
          <w:p w14:paraId="2AA91C01"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Octubre</w:t>
            </w:r>
          </w:p>
        </w:tc>
        <w:tc>
          <w:tcPr>
            <w:tcW w:w="3800" w:type="dxa"/>
            <w:tcBorders>
              <w:top w:val="nil"/>
              <w:left w:val="nil"/>
              <w:bottom w:val="single" w:sz="4" w:space="0" w:color="auto"/>
              <w:right w:val="single" w:sz="4" w:space="0" w:color="auto"/>
            </w:tcBorders>
            <w:shd w:val="clear" w:color="auto" w:fill="FFFFFF"/>
            <w:vAlign w:val="center"/>
            <w:hideMark/>
          </w:tcPr>
          <w:p w14:paraId="34A42ADB"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97.79</w:t>
            </w:r>
          </w:p>
        </w:tc>
      </w:tr>
      <w:tr w:rsidR="001308EC" w:rsidRPr="003E7418" w14:paraId="31562C83" w14:textId="77777777">
        <w:trPr>
          <w:trHeight w:val="480"/>
          <w:jc w:val="center"/>
        </w:trPr>
        <w:tc>
          <w:tcPr>
            <w:tcW w:w="1880" w:type="dxa"/>
            <w:tcBorders>
              <w:top w:val="nil"/>
              <w:left w:val="single" w:sz="4" w:space="0" w:color="auto"/>
              <w:bottom w:val="single" w:sz="4" w:space="0" w:color="auto"/>
              <w:right w:val="single" w:sz="4" w:space="0" w:color="auto"/>
            </w:tcBorders>
            <w:shd w:val="clear" w:color="auto" w:fill="F2F2F2"/>
            <w:vAlign w:val="center"/>
            <w:hideMark/>
          </w:tcPr>
          <w:p w14:paraId="1D3633AC"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Noviembre</w:t>
            </w:r>
          </w:p>
        </w:tc>
        <w:tc>
          <w:tcPr>
            <w:tcW w:w="3800" w:type="dxa"/>
            <w:tcBorders>
              <w:top w:val="nil"/>
              <w:left w:val="nil"/>
              <w:bottom w:val="single" w:sz="4" w:space="0" w:color="auto"/>
              <w:right w:val="single" w:sz="4" w:space="0" w:color="auto"/>
            </w:tcBorders>
            <w:shd w:val="clear" w:color="auto" w:fill="F2F2F2"/>
            <w:vAlign w:val="center"/>
            <w:hideMark/>
          </w:tcPr>
          <w:p w14:paraId="436914F7"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 xml:space="preserve">En Proceso de Evaluación </w:t>
            </w:r>
          </w:p>
        </w:tc>
      </w:tr>
      <w:tr w:rsidR="001308EC" w:rsidRPr="003E7418" w14:paraId="7BF1B10D" w14:textId="77777777">
        <w:trPr>
          <w:trHeight w:val="525"/>
          <w:jc w:val="center"/>
        </w:trPr>
        <w:tc>
          <w:tcPr>
            <w:tcW w:w="1880" w:type="dxa"/>
            <w:tcBorders>
              <w:top w:val="nil"/>
              <w:left w:val="single" w:sz="4" w:space="0" w:color="auto"/>
              <w:bottom w:val="single" w:sz="4" w:space="0" w:color="auto"/>
              <w:right w:val="single" w:sz="4" w:space="0" w:color="auto"/>
            </w:tcBorders>
            <w:shd w:val="clear" w:color="auto" w:fill="FFFFFF"/>
            <w:vAlign w:val="center"/>
            <w:hideMark/>
          </w:tcPr>
          <w:p w14:paraId="51F65CD4"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Diciembre</w:t>
            </w:r>
          </w:p>
        </w:tc>
        <w:tc>
          <w:tcPr>
            <w:tcW w:w="3800" w:type="dxa"/>
            <w:tcBorders>
              <w:top w:val="nil"/>
              <w:left w:val="nil"/>
              <w:bottom w:val="single" w:sz="4" w:space="0" w:color="auto"/>
              <w:right w:val="single" w:sz="4" w:space="0" w:color="auto"/>
            </w:tcBorders>
            <w:shd w:val="clear" w:color="auto" w:fill="FFFFFF"/>
            <w:vAlign w:val="center"/>
            <w:hideMark/>
          </w:tcPr>
          <w:p w14:paraId="7354168A" w14:textId="77777777" w:rsidR="001308EC" w:rsidRPr="003E7418" w:rsidRDefault="001308EC">
            <w:pPr>
              <w:spacing w:line="240" w:lineRule="auto"/>
              <w:jc w:val="center"/>
              <w:rPr>
                <w:rFonts w:eastAsia="Times New Roman" w:cs="Times New Roman"/>
                <w:bCs/>
                <w:color w:val="000000"/>
                <w:spacing w:val="0"/>
                <w:szCs w:val="24"/>
                <w:lang w:eastAsia="es-DO"/>
              </w:rPr>
            </w:pPr>
            <w:r w:rsidRPr="003E7418">
              <w:rPr>
                <w:rFonts w:eastAsia="Times New Roman" w:cs="Times New Roman"/>
                <w:bCs/>
                <w:color w:val="000000"/>
                <w:spacing w:val="0"/>
                <w:szCs w:val="24"/>
                <w:lang w:eastAsia="es-DO"/>
              </w:rPr>
              <w:t xml:space="preserve">En Proceso de Evaluación </w:t>
            </w:r>
          </w:p>
        </w:tc>
      </w:tr>
    </w:tbl>
    <w:p w14:paraId="022248EC" w14:textId="39DD04F6" w:rsidR="001308EC" w:rsidRDefault="001308EC" w:rsidP="001308EC">
      <w:pPr>
        <w:pStyle w:val="BodyText"/>
        <w:spacing w:line="360" w:lineRule="auto"/>
        <w:jc w:val="center"/>
        <w:rPr>
          <w:color w:val="767171"/>
        </w:rPr>
      </w:pPr>
    </w:p>
    <w:p w14:paraId="3F554710" w14:textId="7BA534EB" w:rsidR="00BC27E9" w:rsidRPr="00954407" w:rsidRDefault="00BC27E9" w:rsidP="00BC27E9">
      <w:pPr>
        <w:pStyle w:val="EstilodePrrafoNormal1RdeC"/>
        <w:rPr>
          <w:spacing w:val="0"/>
        </w:rPr>
      </w:pPr>
    </w:p>
    <w:p w14:paraId="4593F8BE" w14:textId="7DA0D213" w:rsidR="00BC27E9" w:rsidRPr="00954407" w:rsidRDefault="00BC27E9" w:rsidP="00BC27E9">
      <w:pPr>
        <w:pStyle w:val="EstilodePrrafoNormal1RdeC"/>
        <w:rPr>
          <w:color w:val="767171"/>
        </w:rPr>
      </w:pPr>
      <w:r w:rsidRPr="00954407">
        <w:rPr>
          <w:color w:val="767171"/>
        </w:rPr>
        <w:t>La siguiente gráfica, muestra las mediciones del Portal de Transparencia durante el periodo enero-octubre 2025:</w:t>
      </w:r>
    </w:p>
    <w:p w14:paraId="58BA793F" w14:textId="1DA8158C" w:rsidR="00BC27E9" w:rsidRPr="00954407" w:rsidRDefault="003E7418" w:rsidP="00BC27E9">
      <w:pPr>
        <w:pStyle w:val="EstilodePrrafoNormal1RdeC"/>
        <w:rPr>
          <w:color w:val="767171"/>
        </w:rPr>
      </w:pPr>
      <w:r>
        <w:rPr>
          <w:noProof/>
          <w14:ligatures w14:val="standardContextual"/>
        </w:rPr>
        <w:drawing>
          <wp:anchor distT="0" distB="0" distL="114300" distR="114300" simplePos="0" relativeHeight="251708416" behindDoc="0" locked="0" layoutInCell="1" allowOverlap="1" wp14:anchorId="3995957B" wp14:editId="5296CB1D">
            <wp:simplePos x="0" y="0"/>
            <wp:positionH relativeFrom="column">
              <wp:posOffset>76200</wp:posOffset>
            </wp:positionH>
            <wp:positionV relativeFrom="paragraph">
              <wp:posOffset>162560</wp:posOffset>
            </wp:positionV>
            <wp:extent cx="5029200" cy="2821940"/>
            <wp:effectExtent l="0" t="0" r="0" b="16510"/>
            <wp:wrapNone/>
            <wp:docPr id="1134923005" name="Chart 1">
              <a:extLst xmlns:a="http://schemas.openxmlformats.org/drawingml/2006/main">
                <a:ext uri="{FF2B5EF4-FFF2-40B4-BE49-F238E27FC236}">
                  <a16:creationId xmlns:a16="http://schemas.microsoft.com/office/drawing/2014/main" id="{1C01CEA5-C6A4-8755-F208-BD3AB4CF12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p>
    <w:p w14:paraId="04CA5921" w14:textId="77777777" w:rsidR="00BC27E9" w:rsidRPr="00954407" w:rsidRDefault="00BC27E9" w:rsidP="00BC27E9">
      <w:pPr>
        <w:pStyle w:val="EstilodePrrafoNormal1RdeC"/>
        <w:rPr>
          <w:color w:val="767171"/>
        </w:rPr>
      </w:pPr>
    </w:p>
    <w:p w14:paraId="61CA0866" w14:textId="77777777" w:rsidR="00BC27E9" w:rsidRPr="00954407" w:rsidRDefault="00BC27E9" w:rsidP="00BC27E9">
      <w:pPr>
        <w:pStyle w:val="EstilodePrrafoNormal1RdeC"/>
        <w:rPr>
          <w:color w:val="767171"/>
        </w:rPr>
      </w:pPr>
    </w:p>
    <w:p w14:paraId="0A24B0BB" w14:textId="77777777" w:rsidR="00BC27E9" w:rsidRDefault="00BC27E9" w:rsidP="00BC27E9">
      <w:pPr>
        <w:pStyle w:val="EstilodePrrafoNormal1RdeC"/>
        <w:rPr>
          <w:color w:val="767171"/>
        </w:rPr>
      </w:pPr>
    </w:p>
    <w:p w14:paraId="0FDE0CF5" w14:textId="77777777" w:rsidR="003E7418" w:rsidRDefault="003E7418" w:rsidP="00BC27E9">
      <w:pPr>
        <w:pStyle w:val="EstilodePrrafoNormal1RdeC"/>
        <w:rPr>
          <w:color w:val="767171"/>
        </w:rPr>
      </w:pPr>
    </w:p>
    <w:p w14:paraId="229CD86C" w14:textId="77777777" w:rsidR="003E7418" w:rsidRDefault="003E7418" w:rsidP="00BC27E9">
      <w:pPr>
        <w:pStyle w:val="EstilodePrrafoNormal1RdeC"/>
        <w:rPr>
          <w:color w:val="767171"/>
        </w:rPr>
      </w:pPr>
    </w:p>
    <w:p w14:paraId="639292F4" w14:textId="77777777" w:rsidR="003E7418" w:rsidRDefault="003E7418" w:rsidP="00BC27E9">
      <w:pPr>
        <w:pStyle w:val="EstilodePrrafoNormal1RdeC"/>
        <w:rPr>
          <w:color w:val="767171"/>
        </w:rPr>
      </w:pPr>
    </w:p>
    <w:p w14:paraId="263CC6DF" w14:textId="77777777" w:rsidR="003E7418" w:rsidRDefault="003E7418" w:rsidP="00BC27E9">
      <w:pPr>
        <w:pStyle w:val="EstilodePrrafoNormal1RdeC"/>
        <w:rPr>
          <w:color w:val="767171"/>
        </w:rPr>
      </w:pPr>
    </w:p>
    <w:p w14:paraId="7414083B" w14:textId="77777777" w:rsidR="003E7418" w:rsidRDefault="003E7418" w:rsidP="00BC27E9">
      <w:pPr>
        <w:pStyle w:val="EstilodePrrafoNormal1RdeC"/>
        <w:rPr>
          <w:color w:val="767171"/>
        </w:rPr>
      </w:pPr>
    </w:p>
    <w:p w14:paraId="13EBB59F" w14:textId="77777777" w:rsidR="003E7418" w:rsidRDefault="003E7418" w:rsidP="00BC27E9">
      <w:pPr>
        <w:pStyle w:val="EstilodePrrafoNormal1RdeC"/>
        <w:rPr>
          <w:color w:val="767171"/>
        </w:rPr>
      </w:pPr>
    </w:p>
    <w:p w14:paraId="19F41CDB" w14:textId="77777777" w:rsidR="003E7418" w:rsidRPr="00954407" w:rsidRDefault="003E7418" w:rsidP="00BC27E9">
      <w:pPr>
        <w:pStyle w:val="EstilodePrrafoNormal1RdeC"/>
        <w:rPr>
          <w:color w:val="767171"/>
        </w:rPr>
      </w:pPr>
    </w:p>
    <w:p w14:paraId="3C9CA870" w14:textId="77777777" w:rsidR="00BC27E9" w:rsidRPr="00954407" w:rsidRDefault="00BC27E9" w:rsidP="00BC27E9">
      <w:pPr>
        <w:pStyle w:val="EstilodePrrafoNormal1RdeC"/>
        <w:rPr>
          <w:color w:val="767171"/>
        </w:rPr>
      </w:pPr>
    </w:p>
    <w:p w14:paraId="506E72D0" w14:textId="6ED50CFF" w:rsidR="00F73212" w:rsidRPr="00302A45" w:rsidRDefault="00F73212" w:rsidP="00302A45">
      <w:pPr>
        <w:pStyle w:val="Heading1"/>
        <w:numPr>
          <w:ilvl w:val="0"/>
          <w:numId w:val="108"/>
        </w:numPr>
        <w:spacing w:line="240" w:lineRule="auto"/>
        <w:jc w:val="center"/>
        <w:rPr>
          <w:rFonts w:ascii="Times New Roman" w:hAnsi="Times New Roman" w:cs="Times New Roman"/>
          <w:color w:val="767171"/>
          <w:sz w:val="28"/>
          <w:szCs w:val="28"/>
        </w:rPr>
      </w:pPr>
      <w:bookmarkStart w:id="157" w:name="_Toc217402144"/>
      <w:r w:rsidRPr="00302A45">
        <w:rPr>
          <w:rFonts w:ascii="Times New Roman" w:hAnsi="Times New Roman" w:cs="Times New Roman"/>
          <w:color w:val="767171"/>
          <w:sz w:val="28"/>
          <w:szCs w:val="28"/>
        </w:rPr>
        <w:lastRenderedPageBreak/>
        <w:t>DIRECCION DE COMUNICACIONES Y PRENSA</w:t>
      </w:r>
      <w:bookmarkEnd w:id="157"/>
    </w:p>
    <w:p w14:paraId="38376DE7" w14:textId="77777777" w:rsidR="00F73212" w:rsidRPr="00954407" w:rsidRDefault="00F73212" w:rsidP="00F73212">
      <w:pPr>
        <w:pStyle w:val="EstilodePrrafoNormal1RdeC"/>
        <w:rPr>
          <w:rFonts w:eastAsia="Calibri"/>
          <w:sz w:val="18"/>
        </w:rPr>
      </w:pPr>
      <w:r w:rsidRPr="00954407">
        <w:rPr>
          <w:rFonts w:eastAsia="Calibri"/>
          <w:noProof/>
          <w:sz w:val="18"/>
          <w:lang w:eastAsia="es-DO"/>
        </w:rPr>
        <mc:AlternateContent>
          <mc:Choice Requires="wps">
            <w:drawing>
              <wp:anchor distT="0" distB="0" distL="114300" distR="114300" simplePos="0" relativeHeight="251694080" behindDoc="0" locked="0" layoutInCell="1" allowOverlap="1" wp14:anchorId="69F2C9EE" wp14:editId="22399C8F">
                <wp:simplePos x="0" y="0"/>
                <wp:positionH relativeFrom="margin">
                  <wp:posOffset>2381471</wp:posOffset>
                </wp:positionH>
                <wp:positionV relativeFrom="paragraph">
                  <wp:posOffset>100330</wp:posOffset>
                </wp:positionV>
                <wp:extent cx="463550" cy="0"/>
                <wp:effectExtent l="22860" t="15875" r="18415" b="22225"/>
                <wp:wrapNone/>
                <wp:docPr id="34077372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06F24" id="Straight Connector 3"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5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" strokecolor="#ee2a24" strokeweight="2.25pt">
                <v:stroke joinstyle="miter"/>
                <w10:wrap anchorx="margin"/>
              </v:line>
            </w:pict>
          </mc:Fallback>
        </mc:AlternateContent>
      </w:r>
    </w:p>
    <w:p w14:paraId="418016AD" w14:textId="77777777" w:rsidR="00F73212" w:rsidRPr="00954407" w:rsidRDefault="00F73212" w:rsidP="00F73212">
      <w:pPr>
        <w:pStyle w:val="EstilodePrrafoNormal1RdeC"/>
        <w:jc w:val="center"/>
      </w:pPr>
      <w:r w:rsidRPr="00954407">
        <w:t>Memoria institucional 2025</w:t>
      </w:r>
    </w:p>
    <w:p w14:paraId="22331116" w14:textId="77777777" w:rsidR="00F73212" w:rsidRPr="00EC3C3C" w:rsidRDefault="00F73212" w:rsidP="00F73212">
      <w:pPr>
        <w:ind w:left="1706"/>
        <w:rPr>
          <w:rFonts w:cs="Times New Roman"/>
        </w:rPr>
      </w:pPr>
    </w:p>
    <w:p w14:paraId="1C233204" w14:textId="77777777" w:rsidR="00F73212" w:rsidRPr="00EC3C3C" w:rsidRDefault="00F73212" w:rsidP="00F73212">
      <w:pPr>
        <w:spacing w:line="240" w:lineRule="auto"/>
        <w:rPr>
          <w:rFonts w:eastAsia="Aptos" w:cs="Times New Roman"/>
          <w:color w:val="auto"/>
          <w:spacing w:val="0"/>
          <w:kern w:val="2"/>
          <w:sz w:val="26"/>
          <w:szCs w:val="26"/>
          <w14:ligatures w14:val="standardContextual"/>
        </w:rPr>
      </w:pPr>
    </w:p>
    <w:p w14:paraId="0D427FB3" w14:textId="77777777" w:rsidR="00F73212" w:rsidRPr="00EC3C3C" w:rsidRDefault="00F73212" w:rsidP="00F73212">
      <w:pPr>
        <w:pStyle w:val="Estilo-YBP-Normal-1"/>
      </w:pPr>
      <w:r w:rsidRPr="00EC3C3C">
        <w:t>La Dirección de Comunicaciones del MOPC y Prensa, durante el año 2025 desarrolló una gestión estratégica orientada al fortalecimiento del posicionamiento institucional, la transparencia de la información pública, la cohesión interna y la conexión efectiva con la ciudadanía. En coherencia con el Plan Operativo Anual del MOPC (POA 2025), esta Dirección asumió el reto de evolucionar desde un enfoque tradicional de difusión hacia un modelo de comunicación integral, planificado, multicanal y centrado en impacto, acompañando de manera transversal la ejecución de obras, la gestión ministerial y la vida institucional del MOPC.</w:t>
      </w:r>
    </w:p>
    <w:p w14:paraId="4B29AB00" w14:textId="77777777" w:rsidR="00F73212" w:rsidRPr="00EC3C3C" w:rsidRDefault="00F73212" w:rsidP="00F73212">
      <w:pPr>
        <w:pStyle w:val="Estilo-YBP-Normal-1"/>
      </w:pPr>
    </w:p>
    <w:p w14:paraId="189208F4" w14:textId="77777777" w:rsidR="00F73212" w:rsidRPr="00EC3C3C" w:rsidRDefault="00F73212" w:rsidP="00F73212">
      <w:pPr>
        <w:pStyle w:val="Estilo-YBP-Normal-1"/>
      </w:pPr>
      <w:r w:rsidRPr="00EC3C3C">
        <w:t>Las principales actividades realizadas, se fundamentan en procesos implementados, productos generados y resultados alcanzados, organizados por unidades estratégicas de trabajo que se describen a continuación:</w:t>
      </w:r>
    </w:p>
    <w:p w14:paraId="5DB3972C" w14:textId="77777777" w:rsidR="00F73212" w:rsidRPr="00EC3C3C" w:rsidRDefault="00F73212" w:rsidP="00F73212">
      <w:pPr>
        <w:pStyle w:val="Estilo-YBP-Normal-1"/>
        <w:rPr>
          <w:b/>
        </w:rPr>
      </w:pPr>
    </w:p>
    <w:p w14:paraId="5CFDD8F5" w14:textId="77777777" w:rsidR="00634A56" w:rsidRPr="00634A56" w:rsidRDefault="00634A56" w:rsidP="00634A56">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158" w:name="_Toc217394557"/>
      <w:bookmarkStart w:id="159" w:name="_Toc217394811"/>
      <w:bookmarkStart w:id="160" w:name="_Toc217394916"/>
      <w:bookmarkStart w:id="161" w:name="_Toc217402076"/>
      <w:bookmarkStart w:id="162" w:name="_Toc217402145"/>
      <w:bookmarkEnd w:id="158"/>
      <w:bookmarkEnd w:id="159"/>
      <w:bookmarkEnd w:id="160"/>
      <w:bookmarkEnd w:id="161"/>
      <w:bookmarkEnd w:id="162"/>
    </w:p>
    <w:p w14:paraId="4DBB6B65" w14:textId="4C0E55C9" w:rsidR="00F73212" w:rsidRPr="00634A56" w:rsidRDefault="00F73212" w:rsidP="00634A56">
      <w:pPr>
        <w:pStyle w:val="Heading2"/>
        <w:rPr>
          <w:rFonts w:ascii="Times New Roman" w:hAnsi="Times New Roman" w:cs="Times New Roman"/>
          <w:b/>
          <w:bCs/>
          <w:color w:val="767171"/>
          <w:sz w:val="24"/>
          <w:szCs w:val="24"/>
        </w:rPr>
      </w:pPr>
      <w:bookmarkStart w:id="163" w:name="_Toc217402146"/>
      <w:r w:rsidRPr="00634A56">
        <w:rPr>
          <w:rFonts w:ascii="Times New Roman" w:hAnsi="Times New Roman" w:cs="Times New Roman"/>
          <w:b/>
          <w:bCs/>
          <w:color w:val="767171"/>
          <w:sz w:val="24"/>
          <w:szCs w:val="24"/>
        </w:rPr>
        <w:t>Marco Estratégico y Metas del POA 2025</w:t>
      </w:r>
      <w:bookmarkEnd w:id="163"/>
    </w:p>
    <w:p w14:paraId="2A13D790" w14:textId="77777777" w:rsidR="00F73212" w:rsidRPr="00EC3C3C" w:rsidRDefault="00F73212" w:rsidP="00F73212">
      <w:pPr>
        <w:pStyle w:val="Estilo-YBP-Normal-1"/>
        <w:rPr>
          <w:rFonts w:eastAsia="Aptos"/>
          <w:b/>
          <w:bCs/>
          <w:color w:val="auto"/>
          <w:spacing w:val="0"/>
          <w:kern w:val="2"/>
          <w14:ligatures w14:val="standardContextual"/>
        </w:rPr>
      </w:pPr>
    </w:p>
    <w:p w14:paraId="26636674" w14:textId="77777777" w:rsidR="00F73212" w:rsidRPr="00EC3C3C" w:rsidRDefault="00F73212" w:rsidP="00F73212">
      <w:pPr>
        <w:pStyle w:val="Estilo-YBP-Normal-1"/>
      </w:pPr>
      <w:r w:rsidRPr="00EC3C3C">
        <w:t>Conforme al Plan Operativo Anual del MOPC 2025, las metas estratégicas de la Dirección de Comunicaciones para el año 2025 fueron las siguientes:</w:t>
      </w:r>
    </w:p>
    <w:p w14:paraId="4E5E2A82" w14:textId="77777777" w:rsidR="00F73212" w:rsidRPr="00EC3C3C" w:rsidRDefault="00F73212" w:rsidP="00F73212">
      <w:pPr>
        <w:pStyle w:val="Estilo-YBP-Normal-1"/>
      </w:pPr>
    </w:p>
    <w:p w14:paraId="0D91AA2D" w14:textId="77777777" w:rsidR="00F73212" w:rsidRPr="00EC3C3C" w:rsidRDefault="00F73212" w:rsidP="00E11C10">
      <w:pPr>
        <w:pStyle w:val="Estilo-YBP-Normal-1"/>
        <w:numPr>
          <w:ilvl w:val="0"/>
          <w:numId w:val="221"/>
        </w:numPr>
        <w:spacing w:after="240"/>
        <w:rPr>
          <w:b/>
          <w:bCs/>
          <w:color w:val="767171"/>
        </w:rPr>
      </w:pPr>
      <w:r w:rsidRPr="00EC3C3C">
        <w:rPr>
          <w:color w:val="767171"/>
        </w:rPr>
        <w:lastRenderedPageBreak/>
        <w:t>Ejecutar un plan de relaciones públicas que aumentará el posicionamiento institucional del MOPC.</w:t>
      </w:r>
    </w:p>
    <w:p w14:paraId="5C7E3057" w14:textId="77777777" w:rsidR="00F73212" w:rsidRPr="00EC3C3C" w:rsidRDefault="00F73212" w:rsidP="00E11C10">
      <w:pPr>
        <w:pStyle w:val="Estilo-YBP-Normal-1"/>
        <w:numPr>
          <w:ilvl w:val="0"/>
          <w:numId w:val="221"/>
        </w:numPr>
        <w:spacing w:after="240"/>
        <w:rPr>
          <w:b/>
          <w:bCs/>
          <w:color w:val="767171"/>
        </w:rPr>
      </w:pPr>
      <w:r w:rsidRPr="00EC3C3C">
        <w:rPr>
          <w:color w:val="767171"/>
        </w:rPr>
        <w:t>Implementar un plan de medios tradicionales que fortalezca  la relación  con la prensa y permita comunicar de manera efectiva las obras ejecutadas y su impacto ciudadano.</w:t>
      </w:r>
    </w:p>
    <w:p w14:paraId="64CF01AB" w14:textId="77777777" w:rsidR="00F73212" w:rsidRPr="00EC3C3C" w:rsidRDefault="00F73212" w:rsidP="00E11C10">
      <w:pPr>
        <w:pStyle w:val="Estilo-YBP-Normal-1"/>
        <w:numPr>
          <w:ilvl w:val="0"/>
          <w:numId w:val="221"/>
        </w:numPr>
        <w:spacing w:after="240"/>
        <w:rPr>
          <w:b/>
          <w:bCs/>
          <w:color w:val="767171"/>
        </w:rPr>
      </w:pPr>
      <w:r w:rsidRPr="00EC3C3C">
        <w:rPr>
          <w:color w:val="767171"/>
        </w:rPr>
        <w:t>Elaborar y ejecutar un plan de comunicación interna que fortalezca el vínculo entre los colaboradores, promoviendo sentido de pertenencia y lealtad al servicio público.</w:t>
      </w:r>
    </w:p>
    <w:p w14:paraId="6B4EC008" w14:textId="77777777" w:rsidR="00F73212" w:rsidRPr="00EC3C3C" w:rsidRDefault="00F73212" w:rsidP="00E11C10">
      <w:pPr>
        <w:pStyle w:val="Estilo-YBP-Normal-1"/>
        <w:numPr>
          <w:ilvl w:val="0"/>
          <w:numId w:val="221"/>
        </w:numPr>
        <w:spacing w:after="240"/>
        <w:rPr>
          <w:b/>
          <w:bCs/>
          <w:color w:val="767171"/>
        </w:rPr>
      </w:pPr>
      <w:r w:rsidRPr="00EC3C3C">
        <w:rPr>
          <w:color w:val="767171"/>
        </w:rPr>
        <w:t>Incrementar el alcance, interacción y visitas en las plataformas digitales institucionales (web y redes sociales).</w:t>
      </w:r>
    </w:p>
    <w:p w14:paraId="4729E41F" w14:textId="77777777" w:rsidR="00F73212" w:rsidRPr="00EC3C3C" w:rsidRDefault="00F73212" w:rsidP="00F73212">
      <w:pPr>
        <w:pStyle w:val="Estilo-YBP-Normal-1"/>
        <w:rPr>
          <w:rFonts w:eastAsia="Aptos"/>
          <w:b/>
          <w:bCs/>
          <w:color w:val="auto"/>
          <w:spacing w:val="0"/>
          <w:kern w:val="2"/>
          <w14:ligatures w14:val="standardContextual"/>
        </w:rPr>
      </w:pPr>
    </w:p>
    <w:p w14:paraId="2D2164C9" w14:textId="494565D8" w:rsidR="00F73212" w:rsidRPr="00634A56" w:rsidRDefault="00F73212" w:rsidP="00634A56">
      <w:pPr>
        <w:pStyle w:val="Heading2"/>
        <w:rPr>
          <w:rFonts w:ascii="Times New Roman" w:hAnsi="Times New Roman" w:cs="Times New Roman"/>
          <w:b/>
          <w:bCs/>
          <w:color w:val="767171"/>
          <w:sz w:val="24"/>
          <w:szCs w:val="24"/>
        </w:rPr>
      </w:pPr>
      <w:bookmarkStart w:id="164" w:name="_Toc217402147"/>
      <w:r w:rsidRPr="00634A56">
        <w:rPr>
          <w:rFonts w:ascii="Times New Roman" w:hAnsi="Times New Roman" w:cs="Times New Roman"/>
          <w:b/>
          <w:bCs/>
          <w:color w:val="767171"/>
          <w:sz w:val="24"/>
          <w:szCs w:val="24"/>
        </w:rPr>
        <w:t>Unidad de Comunicación Interna Fortalecimiento de la Cultura Organizacional</w:t>
      </w:r>
      <w:bookmarkEnd w:id="164"/>
    </w:p>
    <w:p w14:paraId="75243F98" w14:textId="77777777" w:rsidR="00F73212" w:rsidRPr="00EC3C3C" w:rsidRDefault="00F73212" w:rsidP="00F73212">
      <w:pPr>
        <w:pStyle w:val="Estilo-YBP-Normal-1"/>
        <w:rPr>
          <w:rFonts w:eastAsia="Aptos"/>
          <w:color w:val="auto"/>
          <w:spacing w:val="0"/>
          <w:kern w:val="2"/>
          <w14:ligatures w14:val="standardContextual"/>
        </w:rPr>
      </w:pPr>
    </w:p>
    <w:p w14:paraId="01881B0A" w14:textId="77777777" w:rsidR="00F73212" w:rsidRPr="00EC3C3C" w:rsidRDefault="00F73212" w:rsidP="00F73212">
      <w:pPr>
        <w:pStyle w:val="Estilo-YBP-Normal-1"/>
      </w:pPr>
      <w:r w:rsidRPr="00EC3C3C">
        <w:t>La Unidad de Comunicación Interna, durante el 2025 desempeñó un rol clave en la consolidación de una cultura institucional basada en el bienestar, la ética, la equidad y la integración. A través de campañas estratégicas, contenidos editoriales y piezas audiovisuales, se promovió una comunicación más humana, participativa y alineada a los valores del servicio público. Las principales campañas y acciones ejecutadas:</w:t>
      </w:r>
    </w:p>
    <w:p w14:paraId="5D8207E0" w14:textId="77777777" w:rsidR="00F73212" w:rsidRPr="00EC3C3C" w:rsidRDefault="00F73212" w:rsidP="00F73212">
      <w:pPr>
        <w:pStyle w:val="Estilo-YBP-Normal-1"/>
      </w:pPr>
    </w:p>
    <w:p w14:paraId="607513E3" w14:textId="77777777" w:rsidR="00F73212" w:rsidRPr="00EC3C3C" w:rsidRDefault="00F73212" w:rsidP="00E11C10">
      <w:pPr>
        <w:pStyle w:val="Estilo-YBP-Normal-1"/>
        <w:numPr>
          <w:ilvl w:val="0"/>
          <w:numId w:val="222"/>
        </w:numPr>
        <w:rPr>
          <w:b/>
          <w:bCs/>
          <w:color w:val="767171"/>
        </w:rPr>
      </w:pPr>
      <w:r w:rsidRPr="00EC3C3C">
        <w:rPr>
          <w:color w:val="767171"/>
        </w:rPr>
        <w:t>Igualdad de Género</w:t>
      </w:r>
    </w:p>
    <w:p w14:paraId="0688C5E8" w14:textId="77777777" w:rsidR="00F73212" w:rsidRPr="00EC3C3C" w:rsidRDefault="00F73212" w:rsidP="00E11C10">
      <w:pPr>
        <w:pStyle w:val="Estilo-YBP-Normal-1"/>
        <w:numPr>
          <w:ilvl w:val="0"/>
          <w:numId w:val="222"/>
        </w:numPr>
        <w:rPr>
          <w:b/>
          <w:bCs/>
          <w:color w:val="767171"/>
        </w:rPr>
      </w:pPr>
      <w:r w:rsidRPr="00EC3C3C">
        <w:rPr>
          <w:color w:val="767171"/>
        </w:rPr>
        <w:t xml:space="preserve">Campaña Beneficios de Salud </w:t>
      </w:r>
    </w:p>
    <w:p w14:paraId="481D11F9" w14:textId="77777777" w:rsidR="00F73212" w:rsidRPr="00EC3C3C" w:rsidRDefault="00F73212" w:rsidP="00E11C10">
      <w:pPr>
        <w:pStyle w:val="Estilo-YBP-Normal-1"/>
        <w:numPr>
          <w:ilvl w:val="0"/>
          <w:numId w:val="222"/>
        </w:numPr>
        <w:rPr>
          <w:b/>
          <w:bCs/>
          <w:color w:val="767171"/>
        </w:rPr>
      </w:pPr>
      <w:r w:rsidRPr="00EC3C3C">
        <w:rPr>
          <w:color w:val="767171"/>
        </w:rPr>
        <w:t xml:space="preserve">Campaña Trabajo en Equipo </w:t>
      </w:r>
    </w:p>
    <w:p w14:paraId="1E475C3E" w14:textId="77777777" w:rsidR="00F73212" w:rsidRPr="00EC3C3C" w:rsidRDefault="00F73212" w:rsidP="00E11C10">
      <w:pPr>
        <w:pStyle w:val="Estilo-YBP-Normal-1"/>
        <w:numPr>
          <w:ilvl w:val="0"/>
          <w:numId w:val="222"/>
        </w:numPr>
        <w:rPr>
          <w:b/>
          <w:bCs/>
          <w:color w:val="767171"/>
        </w:rPr>
      </w:pPr>
      <w:r w:rsidRPr="00EC3C3C">
        <w:rPr>
          <w:color w:val="767171"/>
        </w:rPr>
        <w:lastRenderedPageBreak/>
        <w:t>Gestión Ambiental</w:t>
      </w:r>
    </w:p>
    <w:p w14:paraId="32AA87BF" w14:textId="77777777" w:rsidR="00F73212" w:rsidRPr="00EC3C3C" w:rsidRDefault="00F73212" w:rsidP="00E11C10">
      <w:pPr>
        <w:pStyle w:val="Estilo-YBP-Normal-1"/>
        <w:numPr>
          <w:ilvl w:val="0"/>
          <w:numId w:val="222"/>
        </w:numPr>
        <w:rPr>
          <w:b/>
          <w:bCs/>
          <w:color w:val="767171"/>
        </w:rPr>
      </w:pPr>
      <w:r w:rsidRPr="00EC3C3C">
        <w:rPr>
          <w:color w:val="767171"/>
        </w:rPr>
        <w:t>Elecciones de la Comisión de Ética Pública</w:t>
      </w:r>
    </w:p>
    <w:p w14:paraId="53268054" w14:textId="77777777" w:rsidR="00F73212" w:rsidRPr="00EC3C3C" w:rsidRDefault="00F73212" w:rsidP="00E11C10">
      <w:pPr>
        <w:pStyle w:val="Estilo-YBP-Normal-1"/>
        <w:numPr>
          <w:ilvl w:val="0"/>
          <w:numId w:val="222"/>
        </w:numPr>
        <w:rPr>
          <w:b/>
          <w:bCs/>
          <w:color w:val="767171"/>
        </w:rPr>
      </w:pPr>
      <w:r w:rsidRPr="00EC3C3C">
        <w:rPr>
          <w:color w:val="767171"/>
        </w:rPr>
        <w:t>Octubre Rosa</w:t>
      </w:r>
    </w:p>
    <w:p w14:paraId="0715FD79" w14:textId="77777777" w:rsidR="00F73212" w:rsidRPr="00EC3C3C" w:rsidRDefault="00F73212" w:rsidP="00F73212">
      <w:pPr>
        <w:pStyle w:val="Estilo-YBP-Normal-1"/>
      </w:pPr>
    </w:p>
    <w:p w14:paraId="71A9AE18" w14:textId="5869CBEE" w:rsidR="00F73212" w:rsidRPr="00634A56" w:rsidRDefault="00F73212" w:rsidP="00634A56">
      <w:pPr>
        <w:pStyle w:val="Heading2"/>
        <w:rPr>
          <w:rFonts w:ascii="Times New Roman" w:hAnsi="Times New Roman" w:cs="Times New Roman"/>
          <w:b/>
          <w:bCs/>
          <w:color w:val="767171"/>
          <w:sz w:val="24"/>
          <w:szCs w:val="24"/>
        </w:rPr>
      </w:pPr>
      <w:bookmarkStart w:id="165" w:name="_Toc217402148"/>
      <w:r w:rsidRPr="00634A56">
        <w:rPr>
          <w:rFonts w:ascii="Times New Roman" w:hAnsi="Times New Roman" w:cs="Times New Roman"/>
          <w:b/>
          <w:bCs/>
          <w:color w:val="767171"/>
          <w:sz w:val="24"/>
          <w:szCs w:val="24"/>
        </w:rPr>
        <w:t>Unidad de Prensa</w:t>
      </w:r>
      <w:bookmarkEnd w:id="165"/>
    </w:p>
    <w:p w14:paraId="1588D631" w14:textId="77777777" w:rsidR="00F73212" w:rsidRPr="00EC3C3C" w:rsidRDefault="00F73212" w:rsidP="00F73212">
      <w:pPr>
        <w:pStyle w:val="Estilo-YBP-Normal-1"/>
      </w:pPr>
    </w:p>
    <w:p w14:paraId="3D8DD8DD" w14:textId="77777777" w:rsidR="00F73212" w:rsidRPr="00EC3C3C" w:rsidRDefault="00F73212" w:rsidP="00F73212">
      <w:pPr>
        <w:pStyle w:val="Estilo-YBP-Normal-1"/>
      </w:pPr>
      <w:r w:rsidRPr="00EC3C3C">
        <w:t>Durante el período enero-diciembre del año 2025, la Unidad de Prensa ejecutó una estrategia orientada al relacionamiento permanente con los medios de comunicación, priorizando la difusión de información verificable, oportuna y de alto impacto ciudadano.</w:t>
      </w:r>
    </w:p>
    <w:p w14:paraId="05C55F92" w14:textId="77777777" w:rsidR="00F73212" w:rsidRPr="00EC3C3C" w:rsidRDefault="00F73212" w:rsidP="00F73212">
      <w:pPr>
        <w:pStyle w:val="Estilo-YBP-Normal-1"/>
      </w:pPr>
    </w:p>
    <w:p w14:paraId="7FF009E0" w14:textId="4C0272DC" w:rsidR="00F73212" w:rsidRPr="00EC3C3C" w:rsidRDefault="00F73212" w:rsidP="00F73212">
      <w:pPr>
        <w:pStyle w:val="Estilo-YBP-Normal-1"/>
      </w:pPr>
      <w:r w:rsidRPr="00EC3C3C">
        <w:t xml:space="preserve">Principales Líneas de Acción </w:t>
      </w:r>
      <w:r w:rsidR="00E11C10">
        <w:t>:</w:t>
      </w:r>
    </w:p>
    <w:p w14:paraId="44202F6A" w14:textId="77777777" w:rsidR="00F73212" w:rsidRPr="00EC3C3C" w:rsidRDefault="00F73212" w:rsidP="00E11C10">
      <w:pPr>
        <w:pStyle w:val="Estilo-YBP-Normal-1"/>
        <w:numPr>
          <w:ilvl w:val="0"/>
          <w:numId w:val="223"/>
        </w:numPr>
      </w:pPr>
      <w:r w:rsidRPr="00EC3C3C">
        <w:t>Elaboración y distribución de notas de prensa sobre avances de obras, licitaciones y acciones institucionales.</w:t>
      </w:r>
    </w:p>
    <w:p w14:paraId="21C7CC47" w14:textId="77777777" w:rsidR="00F73212" w:rsidRPr="00EC3C3C" w:rsidRDefault="00F73212" w:rsidP="00E11C10">
      <w:pPr>
        <w:pStyle w:val="Estilo-YBP-Normal-1"/>
        <w:numPr>
          <w:ilvl w:val="0"/>
          <w:numId w:val="223"/>
        </w:numPr>
      </w:pPr>
      <w:r w:rsidRPr="00EC3C3C">
        <w:t xml:space="preserve">Convocatorias de medios a inauguraciones de obras con gran cobertura. </w:t>
      </w:r>
    </w:p>
    <w:p w14:paraId="08F4804F" w14:textId="77777777" w:rsidR="00F73212" w:rsidRPr="00EC3C3C" w:rsidRDefault="00F73212" w:rsidP="00E11C10">
      <w:pPr>
        <w:pStyle w:val="Estilo-YBP-Normal-1"/>
        <w:numPr>
          <w:ilvl w:val="0"/>
          <w:numId w:val="223"/>
        </w:numPr>
      </w:pPr>
      <w:r w:rsidRPr="00EC3C3C">
        <w:t>Monitoreo diario de medios tradicionales y digitales.</w:t>
      </w:r>
    </w:p>
    <w:p w14:paraId="26EB193D" w14:textId="77777777" w:rsidR="00F73212" w:rsidRPr="00F812D4" w:rsidRDefault="00F73212" w:rsidP="00E11C10">
      <w:pPr>
        <w:pStyle w:val="Estilo-YBP-Normal-1"/>
        <w:numPr>
          <w:ilvl w:val="0"/>
          <w:numId w:val="223"/>
        </w:numPr>
      </w:pPr>
      <w:r w:rsidRPr="00EC3C3C">
        <w:t>Manejo de situaciones comunicacionales sensibles.</w:t>
      </w:r>
    </w:p>
    <w:p w14:paraId="2433F807" w14:textId="77777777" w:rsidR="00F73212" w:rsidRDefault="00F73212" w:rsidP="00F73212">
      <w:pPr>
        <w:pStyle w:val="Estilo-YBP-Normal-1"/>
        <w:rPr>
          <w:rFonts w:eastAsia="Aptos"/>
          <w:color w:val="auto"/>
          <w:spacing w:val="0"/>
          <w:kern w:val="2"/>
          <w14:ligatures w14:val="standardContextual"/>
        </w:rPr>
      </w:pPr>
    </w:p>
    <w:p w14:paraId="78BEE73A" w14:textId="77777777" w:rsidR="00F73212" w:rsidRDefault="00F73212" w:rsidP="00F73212">
      <w:pPr>
        <w:pStyle w:val="Estilo-YBP-Normal-1"/>
        <w:rPr>
          <w:rFonts w:eastAsia="Aptos"/>
          <w:b/>
          <w:color w:val="auto"/>
          <w:spacing w:val="0"/>
          <w:kern w:val="2"/>
          <w14:ligatures w14:val="standardContextual"/>
        </w:rPr>
      </w:pPr>
    </w:p>
    <w:p w14:paraId="5326AB49" w14:textId="77777777" w:rsidR="00E11C10" w:rsidRDefault="00E11C10" w:rsidP="00F73212">
      <w:pPr>
        <w:pStyle w:val="Estilo-YBP-Normal-1"/>
        <w:rPr>
          <w:rFonts w:eastAsia="Aptos"/>
          <w:b/>
          <w:color w:val="auto"/>
          <w:spacing w:val="0"/>
          <w:kern w:val="2"/>
          <w14:ligatures w14:val="standardContextual"/>
        </w:rPr>
      </w:pPr>
    </w:p>
    <w:p w14:paraId="665334B6" w14:textId="77777777" w:rsidR="00E11C10" w:rsidRDefault="00E11C10" w:rsidP="00F73212">
      <w:pPr>
        <w:pStyle w:val="Estilo-YBP-Normal-1"/>
        <w:rPr>
          <w:rFonts w:eastAsia="Aptos"/>
          <w:b/>
          <w:color w:val="auto"/>
          <w:spacing w:val="0"/>
          <w:kern w:val="2"/>
          <w14:ligatures w14:val="standardContextual"/>
        </w:rPr>
      </w:pPr>
    </w:p>
    <w:p w14:paraId="1F2E1F76" w14:textId="77777777" w:rsidR="00E11C10" w:rsidRPr="00EC3C3C" w:rsidRDefault="00E11C10" w:rsidP="00F73212">
      <w:pPr>
        <w:pStyle w:val="Estilo-YBP-Normal-1"/>
        <w:rPr>
          <w:rFonts w:eastAsia="Aptos"/>
          <w:b/>
          <w:color w:val="auto"/>
          <w:spacing w:val="0"/>
          <w:kern w:val="2"/>
          <w14:ligatures w14:val="standardContextual"/>
        </w:rPr>
      </w:pPr>
    </w:p>
    <w:p w14:paraId="4EB98F3C" w14:textId="26D914D8" w:rsidR="00F73212" w:rsidRPr="00634A56" w:rsidRDefault="00F73212" w:rsidP="00634A56">
      <w:pPr>
        <w:pStyle w:val="Heading2"/>
        <w:rPr>
          <w:rFonts w:ascii="Times New Roman" w:hAnsi="Times New Roman" w:cs="Times New Roman"/>
          <w:b/>
          <w:bCs/>
          <w:color w:val="767171"/>
          <w:sz w:val="24"/>
          <w:szCs w:val="24"/>
        </w:rPr>
      </w:pPr>
      <w:bookmarkStart w:id="166" w:name="_Toc217402149"/>
      <w:r w:rsidRPr="00634A56">
        <w:rPr>
          <w:rFonts w:ascii="Times New Roman" w:hAnsi="Times New Roman" w:cs="Times New Roman"/>
          <w:b/>
          <w:bCs/>
          <w:color w:val="767171"/>
          <w:sz w:val="24"/>
          <w:szCs w:val="24"/>
        </w:rPr>
        <w:lastRenderedPageBreak/>
        <w:t>Unidad de Redes Sociales y Plataformas Digitales</w:t>
      </w:r>
      <w:bookmarkEnd w:id="166"/>
      <w:r w:rsidRPr="00634A56">
        <w:rPr>
          <w:rFonts w:ascii="Times New Roman" w:hAnsi="Times New Roman" w:cs="Times New Roman"/>
          <w:b/>
          <w:bCs/>
          <w:color w:val="767171"/>
          <w:sz w:val="24"/>
          <w:szCs w:val="24"/>
        </w:rPr>
        <w:t xml:space="preserve"> </w:t>
      </w:r>
    </w:p>
    <w:p w14:paraId="3FB8D1AE" w14:textId="77777777" w:rsidR="00F73212" w:rsidRPr="00EC3C3C" w:rsidRDefault="00F73212" w:rsidP="00F73212">
      <w:pPr>
        <w:pStyle w:val="Estilo-YBP-Normal-1"/>
      </w:pPr>
    </w:p>
    <w:p w14:paraId="3050D4BB" w14:textId="77777777" w:rsidR="00F73212" w:rsidRPr="00EC3C3C" w:rsidRDefault="00F73212" w:rsidP="00F73212">
      <w:pPr>
        <w:pStyle w:val="Estilo-YBP-Normal-1"/>
      </w:pPr>
      <w:r w:rsidRPr="00EC3C3C">
        <w:t>Durante el año 2025, la Dirección de Comunicaciones y Prensa, estableció un protocolo estandarizado de cobertura de inauguraciones y eventos especiales, lo cual permitió:</w:t>
      </w:r>
    </w:p>
    <w:p w14:paraId="5176FBD8" w14:textId="77777777" w:rsidR="00F73212" w:rsidRPr="00EC3C3C" w:rsidRDefault="00F73212" w:rsidP="00E11C10">
      <w:pPr>
        <w:pStyle w:val="Estilo-YBP-Normal-1"/>
        <w:numPr>
          <w:ilvl w:val="0"/>
          <w:numId w:val="224"/>
        </w:numPr>
      </w:pPr>
      <w:r w:rsidRPr="00EC3C3C">
        <w:t>Mayor coherencia visual y narrativa.</w:t>
      </w:r>
    </w:p>
    <w:p w14:paraId="5CA86775" w14:textId="77777777" w:rsidR="00F73212" w:rsidRPr="00EC3C3C" w:rsidRDefault="00F73212" w:rsidP="00E11C10">
      <w:pPr>
        <w:pStyle w:val="Estilo-YBP-Normal-1"/>
        <w:numPr>
          <w:ilvl w:val="0"/>
          <w:numId w:val="224"/>
        </w:numPr>
      </w:pPr>
      <w:r w:rsidRPr="00EC3C3C">
        <w:t>Incremento del engagement en publicaciones.</w:t>
      </w:r>
    </w:p>
    <w:p w14:paraId="4395D31D" w14:textId="77777777" w:rsidR="00F73212" w:rsidRPr="00EC3C3C" w:rsidRDefault="00F73212" w:rsidP="00E11C10">
      <w:pPr>
        <w:pStyle w:val="Estilo-YBP-Normal-1"/>
        <w:numPr>
          <w:ilvl w:val="0"/>
          <w:numId w:val="224"/>
        </w:numPr>
      </w:pPr>
      <w:r w:rsidRPr="00EC3C3C">
        <w:t>Cobertura en tiempo real con formatos dinámicos.</w:t>
      </w:r>
    </w:p>
    <w:p w14:paraId="65D0D0AE" w14:textId="77777777" w:rsidR="00F73212" w:rsidRPr="00EC3C3C" w:rsidRDefault="00F73212" w:rsidP="00E11C10">
      <w:pPr>
        <w:pStyle w:val="Estilo-YBP-Normal-1"/>
        <w:numPr>
          <w:ilvl w:val="0"/>
          <w:numId w:val="224"/>
        </w:numPr>
      </w:pPr>
      <w:r w:rsidRPr="00EC3C3C">
        <w:t>Integración de contenido audiovisual aéreo y terrestre.</w:t>
      </w:r>
    </w:p>
    <w:p w14:paraId="16E2988D" w14:textId="77777777" w:rsidR="00F73212" w:rsidRPr="00EC3C3C" w:rsidRDefault="00F73212" w:rsidP="00F73212">
      <w:pPr>
        <w:pStyle w:val="Estilo-YBP-Normal-1"/>
      </w:pPr>
    </w:p>
    <w:p w14:paraId="0E031DEF" w14:textId="77777777" w:rsidR="00F73212" w:rsidRPr="00634A56" w:rsidRDefault="00F73212" w:rsidP="00634A56">
      <w:pPr>
        <w:pStyle w:val="Heading2"/>
        <w:rPr>
          <w:rFonts w:ascii="Times New Roman" w:hAnsi="Times New Roman" w:cs="Times New Roman"/>
          <w:b/>
          <w:bCs/>
          <w:color w:val="767171"/>
          <w:sz w:val="24"/>
          <w:szCs w:val="24"/>
        </w:rPr>
      </w:pPr>
      <w:bookmarkStart w:id="167" w:name="_Toc217402150"/>
      <w:r w:rsidRPr="00634A56">
        <w:rPr>
          <w:rFonts w:ascii="Times New Roman" w:hAnsi="Times New Roman" w:cs="Times New Roman"/>
          <w:b/>
          <w:bCs/>
          <w:color w:val="767171"/>
          <w:sz w:val="24"/>
          <w:szCs w:val="24"/>
        </w:rPr>
        <w:t>Otras Realizaciones Relevantes</w:t>
      </w:r>
      <w:bookmarkEnd w:id="167"/>
    </w:p>
    <w:p w14:paraId="2269CF45" w14:textId="77777777" w:rsidR="00F73212" w:rsidRPr="00EC3C3C" w:rsidRDefault="00F73212" w:rsidP="00F73212">
      <w:pPr>
        <w:pStyle w:val="Estilo-YBP-Normal-1"/>
      </w:pPr>
    </w:p>
    <w:p w14:paraId="504161BB" w14:textId="77777777" w:rsidR="00F73212" w:rsidRPr="00EC3C3C" w:rsidRDefault="00F73212" w:rsidP="00E11C10">
      <w:pPr>
        <w:pStyle w:val="Estilo-YBP-Normal-1"/>
        <w:numPr>
          <w:ilvl w:val="0"/>
          <w:numId w:val="225"/>
        </w:numPr>
      </w:pPr>
      <w:r w:rsidRPr="00EC3C3C">
        <w:t>Producción de contenido original para redes sociales.</w:t>
      </w:r>
    </w:p>
    <w:p w14:paraId="774F30B3" w14:textId="77777777" w:rsidR="00F73212" w:rsidRPr="00EC3C3C" w:rsidRDefault="00F73212" w:rsidP="00E11C10">
      <w:pPr>
        <w:pStyle w:val="Estilo-YBP-Normal-1"/>
        <w:numPr>
          <w:ilvl w:val="0"/>
          <w:numId w:val="225"/>
        </w:numPr>
      </w:pPr>
      <w:r w:rsidRPr="00EC3C3C">
        <w:t>Uso de formatos cortos (reels, stories, cápsulas informativas).</w:t>
      </w:r>
    </w:p>
    <w:p w14:paraId="340C4734" w14:textId="77777777" w:rsidR="00F73212" w:rsidRPr="00EC3C3C" w:rsidRDefault="00F73212" w:rsidP="00E11C10">
      <w:pPr>
        <w:pStyle w:val="Estilo-YBP-Normal-1"/>
        <w:numPr>
          <w:ilvl w:val="0"/>
          <w:numId w:val="225"/>
        </w:numPr>
      </w:pPr>
      <w:r w:rsidRPr="00EC3C3C">
        <w:t>Mayor interacción con usuarios a través de mensajes y comentarios.</w:t>
      </w:r>
    </w:p>
    <w:p w14:paraId="65B0D167" w14:textId="77777777" w:rsidR="00F73212" w:rsidRPr="00EC3C3C" w:rsidRDefault="00F73212" w:rsidP="00F73212">
      <w:pPr>
        <w:pStyle w:val="Estilo-YBP-Normal-1"/>
      </w:pPr>
      <w:r w:rsidRPr="00EC3C3C">
        <w:t>Las acciones ejecutadas por la Dirección de Comunicaciones y Prensa del MOPC, registraron solicitudes sobre informaciones de los  productos y servicios ejecutados o en proceso de la institución, facilitando las respuestas a través de los medios de las redes sociales disponibles, contribuyendo a establecer una comunicación efectiva y confiable y por ende, a la satisfación de los ciudadanos.</w:t>
      </w:r>
    </w:p>
    <w:p w14:paraId="7990856B" w14:textId="77777777" w:rsidR="00F73212" w:rsidRDefault="00F73212" w:rsidP="00F73212">
      <w:pPr>
        <w:pStyle w:val="Estilo-YBP-Normal-1"/>
      </w:pPr>
      <w:r w:rsidRPr="00EC3C3C">
        <w:t xml:space="preserve">A continuación, se detallan las estadísticas de las visitas de los ciudadanos registradas en el año 2025, por los principales  medios digitales y/o redes disponibles del MOPC: </w:t>
      </w:r>
    </w:p>
    <w:tbl>
      <w:tblPr>
        <w:tblW w:w="4772" w:type="dxa"/>
        <w:jc w:val="center"/>
        <w:tblCellMar>
          <w:left w:w="70" w:type="dxa"/>
          <w:right w:w="70" w:type="dxa"/>
        </w:tblCellMar>
        <w:tblLook w:val="04A0" w:firstRow="1" w:lastRow="0" w:firstColumn="1" w:lastColumn="0" w:noHBand="0" w:noVBand="1"/>
      </w:tblPr>
      <w:tblGrid>
        <w:gridCol w:w="3068"/>
        <w:gridCol w:w="1704"/>
      </w:tblGrid>
      <w:tr w:rsidR="00F73212" w:rsidRPr="00EC3C3C" w14:paraId="15C63ABB" w14:textId="77777777" w:rsidTr="00220FA8">
        <w:trPr>
          <w:trHeight w:val="390"/>
          <w:jc w:val="center"/>
        </w:trPr>
        <w:tc>
          <w:tcPr>
            <w:tcW w:w="4772" w:type="dxa"/>
            <w:gridSpan w:val="2"/>
            <w:tcBorders>
              <w:top w:val="single" w:sz="8" w:space="0" w:color="003876"/>
              <w:left w:val="single" w:sz="8" w:space="0" w:color="003876"/>
              <w:bottom w:val="single" w:sz="8" w:space="0" w:color="FFFFFF"/>
              <w:right w:val="single" w:sz="8" w:space="0" w:color="003876"/>
            </w:tcBorders>
            <w:shd w:val="clear" w:color="000000" w:fill="003876"/>
            <w:vAlign w:val="center"/>
            <w:hideMark/>
          </w:tcPr>
          <w:p w14:paraId="3B654209" w14:textId="77777777" w:rsidR="00E11C10" w:rsidRDefault="00E11C10" w:rsidP="00E11C10">
            <w:pPr>
              <w:pStyle w:val="Estilo-YBP-Normal-1"/>
              <w:jc w:val="center"/>
              <w:rPr>
                <w:rFonts w:eastAsia="Times New Roman"/>
                <w:b/>
                <w:bCs/>
                <w:color w:val="FFFFFF"/>
                <w:spacing w:val="0"/>
                <w:sz w:val="28"/>
                <w:szCs w:val="28"/>
                <w:lang w:eastAsia="es-DO"/>
              </w:rPr>
            </w:pPr>
          </w:p>
          <w:p w14:paraId="429CD5E3" w14:textId="7874FEF0" w:rsidR="00F73212" w:rsidRPr="00EC3C3C" w:rsidRDefault="00F73212" w:rsidP="00E11C10">
            <w:pPr>
              <w:pStyle w:val="Estilo-YBP-Normal-1"/>
              <w:jc w:val="center"/>
              <w:rPr>
                <w:rFonts w:eastAsia="Times New Roman"/>
                <w:b/>
                <w:bCs/>
                <w:color w:val="FFFFFF"/>
                <w:spacing w:val="0"/>
                <w:sz w:val="28"/>
                <w:szCs w:val="28"/>
                <w:lang w:eastAsia="es-DO"/>
              </w:rPr>
            </w:pPr>
            <w:r w:rsidRPr="00EC3C3C">
              <w:rPr>
                <w:rFonts w:eastAsia="Times New Roman"/>
                <w:b/>
                <w:bCs/>
                <w:color w:val="FFFFFF"/>
                <w:spacing w:val="0"/>
                <w:sz w:val="28"/>
                <w:szCs w:val="28"/>
                <w:lang w:eastAsia="es-DO"/>
              </w:rPr>
              <w:t>MOPC</w:t>
            </w:r>
          </w:p>
        </w:tc>
      </w:tr>
      <w:tr w:rsidR="00F73212" w:rsidRPr="00EC3C3C" w14:paraId="4BA509B1" w14:textId="77777777" w:rsidTr="00220FA8">
        <w:trPr>
          <w:trHeight w:val="630"/>
          <w:jc w:val="center"/>
        </w:trPr>
        <w:tc>
          <w:tcPr>
            <w:tcW w:w="3068" w:type="dxa"/>
            <w:vMerge w:val="restart"/>
            <w:tcBorders>
              <w:top w:val="nil"/>
              <w:left w:val="single" w:sz="8" w:space="0" w:color="003876"/>
              <w:bottom w:val="single" w:sz="8" w:space="0" w:color="FFFFFF"/>
              <w:right w:val="single" w:sz="8" w:space="0" w:color="FFFFFF"/>
            </w:tcBorders>
            <w:shd w:val="clear" w:color="000000" w:fill="003876"/>
            <w:vAlign w:val="center"/>
            <w:hideMark/>
          </w:tcPr>
          <w:p w14:paraId="70C7D36D" w14:textId="77777777" w:rsidR="00F73212" w:rsidRPr="00EC3C3C" w:rsidRDefault="00F73212" w:rsidP="00E11C10">
            <w:pPr>
              <w:pStyle w:val="Estilo-YBP-Normal-1"/>
              <w:jc w:val="center"/>
              <w:rPr>
                <w:rFonts w:eastAsia="Times New Roman"/>
                <w:b/>
                <w:bCs/>
                <w:color w:val="FFFFFF"/>
                <w:spacing w:val="0"/>
                <w:lang w:eastAsia="es-DO"/>
              </w:rPr>
            </w:pPr>
            <w:r w:rsidRPr="00EC3C3C">
              <w:rPr>
                <w:rFonts w:eastAsia="Times New Roman"/>
                <w:b/>
                <w:bCs/>
                <w:color w:val="FFFFFF"/>
                <w:spacing w:val="0"/>
                <w:lang w:eastAsia="es-DO"/>
              </w:rPr>
              <w:t>Redes</w:t>
            </w:r>
          </w:p>
        </w:tc>
        <w:tc>
          <w:tcPr>
            <w:tcW w:w="1704" w:type="dxa"/>
            <w:vMerge w:val="restart"/>
            <w:tcBorders>
              <w:top w:val="nil"/>
              <w:left w:val="single" w:sz="8" w:space="0" w:color="FFFFFF"/>
              <w:bottom w:val="single" w:sz="8" w:space="0" w:color="FFFFFF"/>
              <w:right w:val="single" w:sz="8" w:space="0" w:color="003876"/>
            </w:tcBorders>
            <w:shd w:val="clear" w:color="000000" w:fill="003876"/>
            <w:vAlign w:val="center"/>
            <w:hideMark/>
          </w:tcPr>
          <w:p w14:paraId="3D06DEFB" w14:textId="77777777" w:rsidR="00F73212" w:rsidRPr="00EC3C3C" w:rsidRDefault="00F73212" w:rsidP="00E11C10">
            <w:pPr>
              <w:pStyle w:val="Estilo-YBP-Normal-1"/>
              <w:jc w:val="center"/>
              <w:rPr>
                <w:rFonts w:eastAsia="Times New Roman"/>
                <w:b/>
                <w:bCs/>
                <w:color w:val="FFFFFF"/>
                <w:spacing w:val="0"/>
                <w:lang w:eastAsia="es-DO"/>
              </w:rPr>
            </w:pPr>
            <w:r w:rsidRPr="00EC3C3C">
              <w:rPr>
                <w:rFonts w:eastAsia="Times New Roman"/>
                <w:b/>
                <w:bCs/>
                <w:color w:val="FFFFFF"/>
                <w:spacing w:val="0"/>
                <w:lang w:eastAsia="es-DO"/>
              </w:rPr>
              <w:t>Cantidad de Seguidores</w:t>
            </w:r>
          </w:p>
        </w:tc>
      </w:tr>
      <w:tr w:rsidR="00F73212" w:rsidRPr="00EC3C3C" w14:paraId="301CA868" w14:textId="77777777" w:rsidTr="00220FA8">
        <w:trPr>
          <w:trHeight w:val="480"/>
          <w:jc w:val="center"/>
        </w:trPr>
        <w:tc>
          <w:tcPr>
            <w:tcW w:w="3068" w:type="dxa"/>
            <w:vMerge/>
            <w:tcBorders>
              <w:top w:val="nil"/>
              <w:left w:val="single" w:sz="8" w:space="0" w:color="003876"/>
              <w:bottom w:val="single" w:sz="8" w:space="0" w:color="FFFFFF"/>
              <w:right w:val="single" w:sz="8" w:space="0" w:color="FFFFFF"/>
            </w:tcBorders>
            <w:vAlign w:val="center"/>
            <w:hideMark/>
          </w:tcPr>
          <w:p w14:paraId="1571A238" w14:textId="77777777" w:rsidR="00F73212" w:rsidRPr="00EC3C3C" w:rsidRDefault="00F73212" w:rsidP="00F73212">
            <w:pPr>
              <w:pStyle w:val="Estilo-YBP-Normal-1"/>
              <w:rPr>
                <w:rFonts w:eastAsia="Times New Roman"/>
                <w:b/>
                <w:bCs/>
                <w:color w:val="FFFFFF"/>
                <w:spacing w:val="0"/>
                <w:lang w:eastAsia="es-DO"/>
              </w:rPr>
            </w:pPr>
          </w:p>
        </w:tc>
        <w:tc>
          <w:tcPr>
            <w:tcW w:w="1704" w:type="dxa"/>
            <w:vMerge/>
            <w:tcBorders>
              <w:top w:val="nil"/>
              <w:left w:val="single" w:sz="8" w:space="0" w:color="FFFFFF"/>
              <w:bottom w:val="single" w:sz="8" w:space="0" w:color="FFFFFF"/>
              <w:right w:val="single" w:sz="8" w:space="0" w:color="003876"/>
            </w:tcBorders>
            <w:vAlign w:val="center"/>
            <w:hideMark/>
          </w:tcPr>
          <w:p w14:paraId="43690CCB" w14:textId="77777777" w:rsidR="00F73212" w:rsidRPr="00EC3C3C" w:rsidRDefault="00F73212" w:rsidP="00F73212">
            <w:pPr>
              <w:pStyle w:val="Estilo-YBP-Normal-1"/>
              <w:rPr>
                <w:rFonts w:eastAsia="Times New Roman"/>
                <w:b/>
                <w:bCs/>
                <w:color w:val="FFFFFF"/>
                <w:spacing w:val="0"/>
                <w:lang w:eastAsia="es-DO"/>
              </w:rPr>
            </w:pPr>
          </w:p>
        </w:tc>
      </w:tr>
      <w:tr w:rsidR="00F73212" w:rsidRPr="00EC3C3C" w14:paraId="07BC15FC" w14:textId="77777777" w:rsidTr="00220FA8">
        <w:trPr>
          <w:trHeight w:val="330"/>
          <w:jc w:val="center"/>
        </w:trPr>
        <w:tc>
          <w:tcPr>
            <w:tcW w:w="3068" w:type="dxa"/>
            <w:tcBorders>
              <w:top w:val="nil"/>
              <w:left w:val="single" w:sz="8" w:space="0" w:color="003876"/>
              <w:bottom w:val="single" w:sz="8" w:space="0" w:color="003876"/>
              <w:right w:val="single" w:sz="8" w:space="0" w:color="003876"/>
            </w:tcBorders>
            <w:vAlign w:val="center"/>
            <w:hideMark/>
          </w:tcPr>
          <w:p w14:paraId="56755D65"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Facebook</w:t>
            </w:r>
          </w:p>
        </w:tc>
        <w:tc>
          <w:tcPr>
            <w:tcW w:w="1704" w:type="dxa"/>
            <w:tcBorders>
              <w:top w:val="nil"/>
              <w:left w:val="nil"/>
              <w:bottom w:val="single" w:sz="8" w:space="0" w:color="003876"/>
              <w:right w:val="single" w:sz="8" w:space="0" w:color="003876"/>
            </w:tcBorders>
            <w:vAlign w:val="center"/>
            <w:hideMark/>
          </w:tcPr>
          <w:p w14:paraId="6F8CCDB2"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40,679</w:t>
            </w:r>
          </w:p>
        </w:tc>
      </w:tr>
      <w:tr w:rsidR="00F73212" w:rsidRPr="00EC3C3C" w14:paraId="4B7D67D7" w14:textId="77777777" w:rsidTr="00220FA8">
        <w:trPr>
          <w:trHeight w:val="330"/>
          <w:jc w:val="center"/>
        </w:trPr>
        <w:tc>
          <w:tcPr>
            <w:tcW w:w="3068" w:type="dxa"/>
            <w:tcBorders>
              <w:top w:val="nil"/>
              <w:left w:val="single" w:sz="8" w:space="0" w:color="003876"/>
              <w:bottom w:val="single" w:sz="8" w:space="0" w:color="003876"/>
              <w:right w:val="single" w:sz="8" w:space="0" w:color="003876"/>
            </w:tcBorders>
            <w:vAlign w:val="center"/>
            <w:hideMark/>
          </w:tcPr>
          <w:p w14:paraId="55A422D0"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Instagram</w:t>
            </w:r>
          </w:p>
        </w:tc>
        <w:tc>
          <w:tcPr>
            <w:tcW w:w="1704" w:type="dxa"/>
            <w:tcBorders>
              <w:top w:val="nil"/>
              <w:left w:val="nil"/>
              <w:bottom w:val="single" w:sz="8" w:space="0" w:color="003876"/>
              <w:right w:val="single" w:sz="8" w:space="0" w:color="003876"/>
            </w:tcBorders>
            <w:vAlign w:val="center"/>
            <w:hideMark/>
          </w:tcPr>
          <w:p w14:paraId="14D85D3B"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188,681</w:t>
            </w:r>
          </w:p>
        </w:tc>
      </w:tr>
      <w:tr w:rsidR="00F73212" w:rsidRPr="00EC3C3C" w14:paraId="3B843D16" w14:textId="77777777" w:rsidTr="00220FA8">
        <w:trPr>
          <w:trHeight w:val="330"/>
          <w:jc w:val="center"/>
        </w:trPr>
        <w:tc>
          <w:tcPr>
            <w:tcW w:w="3068" w:type="dxa"/>
            <w:tcBorders>
              <w:top w:val="nil"/>
              <w:left w:val="single" w:sz="8" w:space="0" w:color="003876"/>
              <w:bottom w:val="single" w:sz="8" w:space="0" w:color="003876"/>
              <w:right w:val="single" w:sz="8" w:space="0" w:color="003876"/>
            </w:tcBorders>
            <w:vAlign w:val="center"/>
            <w:hideMark/>
          </w:tcPr>
          <w:p w14:paraId="250580EB"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Twitter</w:t>
            </w:r>
          </w:p>
        </w:tc>
        <w:tc>
          <w:tcPr>
            <w:tcW w:w="1704" w:type="dxa"/>
            <w:tcBorders>
              <w:top w:val="nil"/>
              <w:left w:val="nil"/>
              <w:bottom w:val="single" w:sz="8" w:space="0" w:color="003876"/>
              <w:right w:val="single" w:sz="8" w:space="0" w:color="003876"/>
            </w:tcBorders>
            <w:vAlign w:val="center"/>
            <w:hideMark/>
          </w:tcPr>
          <w:p w14:paraId="5F2F7ABB"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35.558</w:t>
            </w:r>
          </w:p>
        </w:tc>
      </w:tr>
      <w:tr w:rsidR="00F73212" w:rsidRPr="00EC3C3C" w14:paraId="06DA3317" w14:textId="77777777" w:rsidTr="00220FA8">
        <w:trPr>
          <w:trHeight w:val="330"/>
          <w:jc w:val="center"/>
        </w:trPr>
        <w:tc>
          <w:tcPr>
            <w:tcW w:w="3068" w:type="dxa"/>
            <w:tcBorders>
              <w:top w:val="nil"/>
              <w:left w:val="single" w:sz="8" w:space="0" w:color="003876"/>
              <w:bottom w:val="single" w:sz="8" w:space="0" w:color="auto"/>
              <w:right w:val="single" w:sz="8" w:space="0" w:color="003876"/>
            </w:tcBorders>
            <w:vAlign w:val="center"/>
            <w:hideMark/>
          </w:tcPr>
          <w:p w14:paraId="5B285712"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Linkedin</w:t>
            </w:r>
          </w:p>
        </w:tc>
        <w:tc>
          <w:tcPr>
            <w:tcW w:w="1704" w:type="dxa"/>
            <w:tcBorders>
              <w:top w:val="nil"/>
              <w:left w:val="nil"/>
              <w:bottom w:val="single" w:sz="8" w:space="0" w:color="auto"/>
              <w:right w:val="single" w:sz="8" w:space="0" w:color="003876"/>
            </w:tcBorders>
            <w:vAlign w:val="center"/>
            <w:hideMark/>
          </w:tcPr>
          <w:p w14:paraId="35A144D3"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2,584</w:t>
            </w:r>
          </w:p>
        </w:tc>
      </w:tr>
      <w:tr w:rsidR="00F73212" w:rsidRPr="00EC3C3C" w14:paraId="21481BFB" w14:textId="77777777" w:rsidTr="00220FA8">
        <w:trPr>
          <w:trHeight w:val="330"/>
          <w:jc w:val="center"/>
        </w:trPr>
        <w:tc>
          <w:tcPr>
            <w:tcW w:w="3068" w:type="dxa"/>
            <w:tcBorders>
              <w:top w:val="nil"/>
              <w:left w:val="single" w:sz="8" w:space="0" w:color="auto"/>
              <w:bottom w:val="single" w:sz="8" w:space="0" w:color="auto"/>
              <w:right w:val="single" w:sz="8" w:space="0" w:color="auto"/>
            </w:tcBorders>
            <w:vAlign w:val="center"/>
            <w:hideMark/>
          </w:tcPr>
          <w:p w14:paraId="7BE6A410"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Youtube</w:t>
            </w:r>
          </w:p>
        </w:tc>
        <w:tc>
          <w:tcPr>
            <w:tcW w:w="1704" w:type="dxa"/>
            <w:tcBorders>
              <w:top w:val="nil"/>
              <w:left w:val="nil"/>
              <w:bottom w:val="single" w:sz="8" w:space="0" w:color="auto"/>
              <w:right w:val="single" w:sz="8" w:space="0" w:color="auto"/>
            </w:tcBorders>
            <w:vAlign w:val="center"/>
            <w:hideMark/>
          </w:tcPr>
          <w:p w14:paraId="5A30E82E"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194,172</w:t>
            </w:r>
          </w:p>
        </w:tc>
      </w:tr>
      <w:tr w:rsidR="00F73212" w:rsidRPr="00EC3C3C" w14:paraId="732C1E58" w14:textId="77777777" w:rsidTr="00220FA8">
        <w:trPr>
          <w:trHeight w:val="330"/>
          <w:jc w:val="center"/>
        </w:trPr>
        <w:tc>
          <w:tcPr>
            <w:tcW w:w="3068" w:type="dxa"/>
            <w:tcBorders>
              <w:top w:val="nil"/>
              <w:left w:val="single" w:sz="8" w:space="0" w:color="auto"/>
              <w:bottom w:val="single" w:sz="8" w:space="0" w:color="auto"/>
              <w:right w:val="single" w:sz="8" w:space="0" w:color="auto"/>
            </w:tcBorders>
            <w:vAlign w:val="center"/>
            <w:hideMark/>
          </w:tcPr>
          <w:p w14:paraId="66663BE8"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Washap</w:t>
            </w:r>
          </w:p>
        </w:tc>
        <w:tc>
          <w:tcPr>
            <w:tcW w:w="1704" w:type="dxa"/>
            <w:tcBorders>
              <w:top w:val="nil"/>
              <w:left w:val="nil"/>
              <w:bottom w:val="single" w:sz="8" w:space="0" w:color="auto"/>
              <w:right w:val="single" w:sz="8" w:space="0" w:color="auto"/>
            </w:tcBorders>
            <w:vAlign w:val="center"/>
            <w:hideMark/>
          </w:tcPr>
          <w:p w14:paraId="7B15174F"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161</w:t>
            </w:r>
          </w:p>
        </w:tc>
      </w:tr>
    </w:tbl>
    <w:p w14:paraId="7E94FE7D" w14:textId="77777777" w:rsidR="00F73212" w:rsidRPr="00EC3C3C" w:rsidRDefault="00F73212" w:rsidP="00F73212">
      <w:pPr>
        <w:pStyle w:val="Estilo-YBP-Normal-1"/>
      </w:pPr>
    </w:p>
    <w:tbl>
      <w:tblPr>
        <w:tblW w:w="4804" w:type="dxa"/>
        <w:jc w:val="center"/>
        <w:tblCellMar>
          <w:left w:w="70" w:type="dxa"/>
          <w:right w:w="70" w:type="dxa"/>
        </w:tblCellMar>
        <w:tblLook w:val="04A0" w:firstRow="1" w:lastRow="0" w:firstColumn="1" w:lastColumn="0" w:noHBand="0" w:noVBand="1"/>
      </w:tblPr>
      <w:tblGrid>
        <w:gridCol w:w="3088"/>
        <w:gridCol w:w="1716"/>
      </w:tblGrid>
      <w:tr w:rsidR="00F73212" w:rsidRPr="00EC3C3C" w14:paraId="122D9BEB" w14:textId="77777777" w:rsidTr="00220FA8">
        <w:trPr>
          <w:trHeight w:val="382"/>
          <w:jc w:val="center"/>
        </w:trPr>
        <w:tc>
          <w:tcPr>
            <w:tcW w:w="4804" w:type="dxa"/>
            <w:gridSpan w:val="2"/>
            <w:tcBorders>
              <w:top w:val="single" w:sz="8" w:space="0" w:color="auto"/>
              <w:left w:val="single" w:sz="8" w:space="0" w:color="003876"/>
              <w:bottom w:val="single" w:sz="8" w:space="0" w:color="FFFFFF"/>
              <w:right w:val="single" w:sz="8" w:space="0" w:color="003876"/>
            </w:tcBorders>
            <w:shd w:val="clear" w:color="000000" w:fill="003876"/>
            <w:vAlign w:val="center"/>
            <w:hideMark/>
          </w:tcPr>
          <w:p w14:paraId="34F41099" w14:textId="77777777" w:rsidR="00F73212" w:rsidRPr="00EC3C3C" w:rsidRDefault="00F73212" w:rsidP="00E11C10">
            <w:pPr>
              <w:pStyle w:val="Estilo-YBP-Normal-1"/>
              <w:jc w:val="center"/>
              <w:rPr>
                <w:rFonts w:eastAsia="Times New Roman"/>
                <w:b/>
                <w:bCs/>
                <w:color w:val="FFFFFF"/>
                <w:spacing w:val="0"/>
                <w:sz w:val="28"/>
                <w:szCs w:val="28"/>
                <w:lang w:eastAsia="es-DO"/>
              </w:rPr>
            </w:pPr>
            <w:r w:rsidRPr="00EC3C3C">
              <w:rPr>
                <w:rFonts w:eastAsia="Times New Roman"/>
                <w:b/>
                <w:bCs/>
                <w:color w:val="FFFFFF"/>
                <w:spacing w:val="0"/>
                <w:sz w:val="28"/>
                <w:szCs w:val="28"/>
                <w:lang w:eastAsia="es-DO"/>
              </w:rPr>
              <w:t>COMIPOL</w:t>
            </w:r>
          </w:p>
        </w:tc>
      </w:tr>
      <w:tr w:rsidR="00F73212" w:rsidRPr="00EC3C3C" w14:paraId="73445CF3" w14:textId="77777777" w:rsidTr="00220FA8">
        <w:trPr>
          <w:trHeight w:val="617"/>
          <w:jc w:val="center"/>
        </w:trPr>
        <w:tc>
          <w:tcPr>
            <w:tcW w:w="3088" w:type="dxa"/>
            <w:vMerge w:val="restart"/>
            <w:tcBorders>
              <w:top w:val="nil"/>
              <w:left w:val="single" w:sz="8" w:space="0" w:color="003876"/>
              <w:bottom w:val="single" w:sz="8" w:space="0" w:color="FFFFFF"/>
              <w:right w:val="single" w:sz="8" w:space="0" w:color="FFFFFF"/>
            </w:tcBorders>
            <w:shd w:val="clear" w:color="000000" w:fill="003876"/>
            <w:vAlign w:val="center"/>
            <w:hideMark/>
          </w:tcPr>
          <w:p w14:paraId="7AC35425" w14:textId="77777777" w:rsidR="00F73212" w:rsidRPr="00EC3C3C" w:rsidRDefault="00F73212" w:rsidP="00E11C10">
            <w:pPr>
              <w:pStyle w:val="Estilo-YBP-Normal-1"/>
              <w:jc w:val="center"/>
              <w:rPr>
                <w:rFonts w:eastAsia="Times New Roman"/>
                <w:b/>
                <w:bCs/>
                <w:color w:val="FFFFFF"/>
                <w:spacing w:val="0"/>
                <w:lang w:eastAsia="es-DO"/>
              </w:rPr>
            </w:pPr>
            <w:r w:rsidRPr="00EC3C3C">
              <w:rPr>
                <w:rFonts w:eastAsia="Times New Roman"/>
                <w:b/>
                <w:bCs/>
                <w:color w:val="FFFFFF"/>
                <w:spacing w:val="0"/>
                <w:lang w:eastAsia="es-DO"/>
              </w:rPr>
              <w:t>Redes</w:t>
            </w:r>
          </w:p>
        </w:tc>
        <w:tc>
          <w:tcPr>
            <w:tcW w:w="1715" w:type="dxa"/>
            <w:vMerge w:val="restart"/>
            <w:tcBorders>
              <w:top w:val="nil"/>
              <w:left w:val="single" w:sz="8" w:space="0" w:color="FFFFFF"/>
              <w:bottom w:val="single" w:sz="8" w:space="0" w:color="FFFFFF"/>
              <w:right w:val="single" w:sz="8" w:space="0" w:color="003876"/>
            </w:tcBorders>
            <w:shd w:val="clear" w:color="000000" w:fill="003876"/>
            <w:vAlign w:val="center"/>
            <w:hideMark/>
          </w:tcPr>
          <w:p w14:paraId="327FFE1D" w14:textId="77777777" w:rsidR="00F73212" w:rsidRPr="00EC3C3C" w:rsidRDefault="00F73212" w:rsidP="00E11C10">
            <w:pPr>
              <w:pStyle w:val="Estilo-YBP-Normal-1"/>
              <w:jc w:val="center"/>
              <w:rPr>
                <w:rFonts w:eastAsia="Times New Roman"/>
                <w:b/>
                <w:bCs/>
                <w:color w:val="FFFFFF"/>
                <w:spacing w:val="0"/>
                <w:lang w:eastAsia="es-DO"/>
              </w:rPr>
            </w:pPr>
            <w:r w:rsidRPr="00EC3C3C">
              <w:rPr>
                <w:rFonts w:eastAsia="Times New Roman"/>
                <w:b/>
                <w:bCs/>
                <w:color w:val="FFFFFF"/>
                <w:spacing w:val="0"/>
                <w:lang w:eastAsia="es-DO"/>
              </w:rPr>
              <w:t>Cantidad de Seguidores</w:t>
            </w:r>
          </w:p>
        </w:tc>
      </w:tr>
      <w:tr w:rsidR="00F73212" w:rsidRPr="00EC3C3C" w14:paraId="1493EB44" w14:textId="77777777" w:rsidTr="00220FA8">
        <w:trPr>
          <w:trHeight w:val="480"/>
          <w:jc w:val="center"/>
        </w:trPr>
        <w:tc>
          <w:tcPr>
            <w:tcW w:w="3088" w:type="dxa"/>
            <w:vMerge/>
            <w:tcBorders>
              <w:top w:val="nil"/>
              <w:left w:val="single" w:sz="8" w:space="0" w:color="003876"/>
              <w:bottom w:val="single" w:sz="8" w:space="0" w:color="FFFFFF"/>
              <w:right w:val="single" w:sz="8" w:space="0" w:color="FFFFFF"/>
            </w:tcBorders>
            <w:vAlign w:val="center"/>
            <w:hideMark/>
          </w:tcPr>
          <w:p w14:paraId="20AEBBE2" w14:textId="77777777" w:rsidR="00F73212" w:rsidRPr="00EC3C3C" w:rsidRDefault="00F73212" w:rsidP="00F73212">
            <w:pPr>
              <w:pStyle w:val="Estilo-YBP-Normal-1"/>
              <w:rPr>
                <w:rFonts w:eastAsia="Times New Roman"/>
                <w:b/>
                <w:bCs/>
                <w:color w:val="FFFFFF"/>
                <w:spacing w:val="0"/>
                <w:lang w:eastAsia="es-DO"/>
              </w:rPr>
            </w:pPr>
          </w:p>
        </w:tc>
        <w:tc>
          <w:tcPr>
            <w:tcW w:w="1715" w:type="dxa"/>
            <w:vMerge/>
            <w:tcBorders>
              <w:top w:val="nil"/>
              <w:left w:val="single" w:sz="8" w:space="0" w:color="FFFFFF"/>
              <w:bottom w:val="single" w:sz="8" w:space="0" w:color="FFFFFF"/>
              <w:right w:val="single" w:sz="8" w:space="0" w:color="003876"/>
            </w:tcBorders>
            <w:vAlign w:val="center"/>
            <w:hideMark/>
          </w:tcPr>
          <w:p w14:paraId="6A6A8C44" w14:textId="77777777" w:rsidR="00F73212" w:rsidRPr="00EC3C3C" w:rsidRDefault="00F73212" w:rsidP="00F73212">
            <w:pPr>
              <w:pStyle w:val="Estilo-YBP-Normal-1"/>
              <w:rPr>
                <w:rFonts w:eastAsia="Times New Roman"/>
                <w:b/>
                <w:bCs/>
                <w:color w:val="FFFFFF"/>
                <w:spacing w:val="0"/>
                <w:lang w:eastAsia="es-DO"/>
              </w:rPr>
            </w:pPr>
          </w:p>
        </w:tc>
      </w:tr>
      <w:tr w:rsidR="00F73212" w:rsidRPr="00EC3C3C" w14:paraId="21861117" w14:textId="77777777" w:rsidTr="00220FA8">
        <w:trPr>
          <w:trHeight w:val="323"/>
          <w:jc w:val="center"/>
        </w:trPr>
        <w:tc>
          <w:tcPr>
            <w:tcW w:w="3088" w:type="dxa"/>
            <w:tcBorders>
              <w:top w:val="nil"/>
              <w:left w:val="single" w:sz="8" w:space="0" w:color="003876"/>
              <w:bottom w:val="single" w:sz="8" w:space="0" w:color="003876"/>
              <w:right w:val="single" w:sz="8" w:space="0" w:color="003876"/>
            </w:tcBorders>
            <w:vAlign w:val="center"/>
            <w:hideMark/>
          </w:tcPr>
          <w:p w14:paraId="09B54C06"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Facebook</w:t>
            </w:r>
          </w:p>
        </w:tc>
        <w:tc>
          <w:tcPr>
            <w:tcW w:w="1715" w:type="dxa"/>
            <w:tcBorders>
              <w:top w:val="nil"/>
              <w:left w:val="nil"/>
              <w:bottom w:val="single" w:sz="8" w:space="0" w:color="003876"/>
              <w:right w:val="single" w:sz="8" w:space="0" w:color="003876"/>
            </w:tcBorders>
            <w:vAlign w:val="center"/>
            <w:hideMark/>
          </w:tcPr>
          <w:p w14:paraId="0B323E20"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2,236</w:t>
            </w:r>
          </w:p>
        </w:tc>
      </w:tr>
      <w:tr w:rsidR="00F73212" w:rsidRPr="00EC3C3C" w14:paraId="2DE7C58D" w14:textId="77777777" w:rsidTr="00220FA8">
        <w:trPr>
          <w:trHeight w:val="323"/>
          <w:jc w:val="center"/>
        </w:trPr>
        <w:tc>
          <w:tcPr>
            <w:tcW w:w="3088" w:type="dxa"/>
            <w:tcBorders>
              <w:top w:val="nil"/>
              <w:left w:val="single" w:sz="8" w:space="0" w:color="003876"/>
              <w:bottom w:val="single" w:sz="8" w:space="0" w:color="003876"/>
              <w:right w:val="single" w:sz="8" w:space="0" w:color="003876"/>
            </w:tcBorders>
            <w:vAlign w:val="center"/>
            <w:hideMark/>
          </w:tcPr>
          <w:p w14:paraId="2F4A736D"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Instagram</w:t>
            </w:r>
          </w:p>
        </w:tc>
        <w:tc>
          <w:tcPr>
            <w:tcW w:w="1715" w:type="dxa"/>
            <w:tcBorders>
              <w:top w:val="nil"/>
              <w:left w:val="nil"/>
              <w:bottom w:val="single" w:sz="8" w:space="0" w:color="003876"/>
              <w:right w:val="single" w:sz="8" w:space="0" w:color="003876"/>
            </w:tcBorders>
            <w:vAlign w:val="center"/>
            <w:hideMark/>
          </w:tcPr>
          <w:p w14:paraId="563AEECB"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451,608</w:t>
            </w:r>
          </w:p>
        </w:tc>
      </w:tr>
      <w:tr w:rsidR="00F73212" w:rsidRPr="00EC3C3C" w14:paraId="2188C080" w14:textId="77777777" w:rsidTr="00220FA8">
        <w:trPr>
          <w:trHeight w:val="323"/>
          <w:jc w:val="center"/>
        </w:trPr>
        <w:tc>
          <w:tcPr>
            <w:tcW w:w="3088" w:type="dxa"/>
            <w:tcBorders>
              <w:top w:val="nil"/>
              <w:left w:val="single" w:sz="8" w:space="0" w:color="003876"/>
              <w:bottom w:val="single" w:sz="8" w:space="0" w:color="003876"/>
              <w:right w:val="single" w:sz="8" w:space="0" w:color="003876"/>
            </w:tcBorders>
            <w:vAlign w:val="center"/>
            <w:hideMark/>
          </w:tcPr>
          <w:p w14:paraId="2F9289F7"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Twitter</w:t>
            </w:r>
          </w:p>
        </w:tc>
        <w:tc>
          <w:tcPr>
            <w:tcW w:w="1715" w:type="dxa"/>
            <w:tcBorders>
              <w:top w:val="nil"/>
              <w:left w:val="nil"/>
              <w:bottom w:val="single" w:sz="8" w:space="0" w:color="003876"/>
              <w:right w:val="single" w:sz="8" w:space="0" w:color="003876"/>
            </w:tcBorders>
            <w:vAlign w:val="center"/>
            <w:hideMark/>
          </w:tcPr>
          <w:p w14:paraId="23C3971C"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96,426</w:t>
            </w:r>
          </w:p>
        </w:tc>
      </w:tr>
      <w:tr w:rsidR="00F73212" w:rsidRPr="00EC3C3C" w14:paraId="5E940E6F" w14:textId="77777777" w:rsidTr="00220FA8">
        <w:trPr>
          <w:trHeight w:val="323"/>
          <w:jc w:val="center"/>
        </w:trPr>
        <w:tc>
          <w:tcPr>
            <w:tcW w:w="3088" w:type="dxa"/>
            <w:tcBorders>
              <w:top w:val="nil"/>
              <w:left w:val="single" w:sz="8" w:space="0" w:color="003876"/>
              <w:bottom w:val="single" w:sz="8" w:space="0" w:color="auto"/>
              <w:right w:val="single" w:sz="8" w:space="0" w:color="003876"/>
            </w:tcBorders>
            <w:vAlign w:val="center"/>
            <w:hideMark/>
          </w:tcPr>
          <w:p w14:paraId="164DB23D"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Linkedin</w:t>
            </w:r>
          </w:p>
        </w:tc>
        <w:tc>
          <w:tcPr>
            <w:tcW w:w="1715" w:type="dxa"/>
            <w:tcBorders>
              <w:top w:val="nil"/>
              <w:left w:val="nil"/>
              <w:bottom w:val="single" w:sz="8" w:space="0" w:color="auto"/>
              <w:right w:val="single" w:sz="8" w:space="0" w:color="003876"/>
            </w:tcBorders>
            <w:vAlign w:val="center"/>
            <w:hideMark/>
          </w:tcPr>
          <w:p w14:paraId="3DBB896E" w14:textId="77777777" w:rsidR="00F73212" w:rsidRPr="00EC3C3C" w:rsidRDefault="00F73212" w:rsidP="00E11C10">
            <w:pPr>
              <w:pStyle w:val="Estilo-YBP-Normal-1"/>
              <w:jc w:val="center"/>
              <w:rPr>
                <w:rFonts w:eastAsia="Times New Roman"/>
                <w:spacing w:val="0"/>
                <w:lang w:eastAsia="es-DO"/>
              </w:rPr>
            </w:pPr>
            <w:r w:rsidRPr="00EC3C3C">
              <w:rPr>
                <w:rFonts w:eastAsia="Times New Roman"/>
                <w:spacing w:val="0"/>
                <w:lang w:eastAsia="es-DO"/>
              </w:rPr>
              <w:t>N/A</w:t>
            </w:r>
          </w:p>
        </w:tc>
      </w:tr>
      <w:tr w:rsidR="00F73212" w:rsidRPr="00EC3C3C" w14:paraId="76C93825" w14:textId="77777777" w:rsidTr="00220FA8">
        <w:trPr>
          <w:trHeight w:val="323"/>
          <w:jc w:val="center"/>
        </w:trPr>
        <w:tc>
          <w:tcPr>
            <w:tcW w:w="3088" w:type="dxa"/>
            <w:tcBorders>
              <w:top w:val="nil"/>
              <w:left w:val="single" w:sz="8" w:space="0" w:color="auto"/>
              <w:bottom w:val="single" w:sz="8" w:space="0" w:color="auto"/>
              <w:right w:val="single" w:sz="8" w:space="0" w:color="auto"/>
            </w:tcBorders>
            <w:noWrap/>
            <w:vAlign w:val="center"/>
            <w:hideMark/>
          </w:tcPr>
          <w:p w14:paraId="70FAB17B" w14:textId="77777777" w:rsidR="00F73212" w:rsidRPr="00EC3C3C" w:rsidRDefault="00F73212" w:rsidP="00F73212">
            <w:pPr>
              <w:pStyle w:val="Estilo-YBP-Normal-1"/>
              <w:rPr>
                <w:rFonts w:eastAsia="Times New Roman"/>
                <w:spacing w:val="0"/>
                <w:lang w:eastAsia="es-DO"/>
              </w:rPr>
            </w:pPr>
            <w:r w:rsidRPr="00EC3C3C">
              <w:rPr>
                <w:rFonts w:eastAsia="Times New Roman"/>
                <w:spacing w:val="0"/>
                <w:lang w:eastAsia="es-DO"/>
              </w:rPr>
              <w:t>Youtube</w:t>
            </w:r>
          </w:p>
        </w:tc>
        <w:tc>
          <w:tcPr>
            <w:tcW w:w="1715" w:type="dxa"/>
            <w:tcBorders>
              <w:top w:val="nil"/>
              <w:left w:val="nil"/>
              <w:bottom w:val="single" w:sz="8" w:space="0" w:color="auto"/>
              <w:right w:val="single" w:sz="8" w:space="0" w:color="auto"/>
            </w:tcBorders>
            <w:noWrap/>
            <w:vAlign w:val="center"/>
            <w:hideMark/>
          </w:tcPr>
          <w:p w14:paraId="5C77B0DF" w14:textId="77777777" w:rsidR="00F73212" w:rsidRPr="00EC3C3C" w:rsidRDefault="00F73212" w:rsidP="00F73212">
            <w:pPr>
              <w:pStyle w:val="Estilo-YBP-Normal-1"/>
              <w:rPr>
                <w:rFonts w:eastAsia="Times New Roman"/>
                <w:spacing w:val="0"/>
                <w:lang w:eastAsia="es-DO"/>
              </w:rPr>
            </w:pPr>
            <w:r w:rsidRPr="00EC3C3C">
              <w:rPr>
                <w:rFonts w:eastAsia="Times New Roman"/>
                <w:spacing w:val="0"/>
                <w:lang w:eastAsia="es-DO"/>
              </w:rPr>
              <w:t>194,172</w:t>
            </w:r>
          </w:p>
        </w:tc>
      </w:tr>
    </w:tbl>
    <w:p w14:paraId="207BDB2E" w14:textId="77777777" w:rsidR="00F73212" w:rsidRPr="00EC3C3C" w:rsidRDefault="00F73212" w:rsidP="00F73212">
      <w:pPr>
        <w:pStyle w:val="Estilo-YBP-Normal-1"/>
        <w:rPr>
          <w:rFonts w:eastAsia="Aptos"/>
          <w:color w:val="auto"/>
          <w:spacing w:val="0"/>
          <w:kern w:val="2"/>
          <w14:ligatures w14:val="standardContextual"/>
        </w:rPr>
      </w:pPr>
    </w:p>
    <w:p w14:paraId="4A943160" w14:textId="77777777" w:rsidR="00F73212" w:rsidRPr="00EC3C3C" w:rsidRDefault="00F73212" w:rsidP="00F73212">
      <w:pPr>
        <w:pStyle w:val="Estilo-YBP-Normal-1"/>
        <w:rPr>
          <w:rFonts w:eastAsia="Aptos"/>
          <w:color w:val="auto"/>
          <w:spacing w:val="0"/>
          <w:kern w:val="2"/>
          <w14:ligatures w14:val="standardContextual"/>
        </w:rPr>
      </w:pPr>
    </w:p>
    <w:p w14:paraId="074E02B2" w14:textId="77777777" w:rsidR="00F73212" w:rsidRPr="00EC3C3C" w:rsidRDefault="00F73212" w:rsidP="00F73212">
      <w:pPr>
        <w:pStyle w:val="Estilo-YBP-Normal-1"/>
      </w:pPr>
      <w:r w:rsidRPr="00EC3C3C">
        <w:lastRenderedPageBreak/>
        <w:t>Además, durante el citado periodo, finalizó la renovación total del portal web institucional, incorporando importantes innovaciones:</w:t>
      </w:r>
    </w:p>
    <w:p w14:paraId="56CA1B1D" w14:textId="77777777" w:rsidR="00F73212" w:rsidRPr="00EC3C3C" w:rsidRDefault="00F73212" w:rsidP="00F73212">
      <w:pPr>
        <w:pStyle w:val="Estilo-YBP-Normal-1"/>
      </w:pPr>
    </w:p>
    <w:p w14:paraId="227F0712" w14:textId="77777777" w:rsidR="00F73212" w:rsidRPr="00F812D4" w:rsidRDefault="00F73212" w:rsidP="00E11C10">
      <w:pPr>
        <w:pStyle w:val="Estilo-YBP-Normal-1"/>
        <w:numPr>
          <w:ilvl w:val="0"/>
          <w:numId w:val="226"/>
        </w:numPr>
        <w:rPr>
          <w:b/>
          <w:bCs/>
          <w:color w:val="767171"/>
        </w:rPr>
      </w:pPr>
      <w:r w:rsidRPr="00F812D4">
        <w:rPr>
          <w:color w:val="767171"/>
        </w:rPr>
        <w:t>Diseño moderno, responsivo y alineado a la identidad institucional.</w:t>
      </w:r>
    </w:p>
    <w:p w14:paraId="7E3F07B7" w14:textId="77777777" w:rsidR="00F73212" w:rsidRPr="00F812D4" w:rsidRDefault="00F73212" w:rsidP="00E11C10">
      <w:pPr>
        <w:pStyle w:val="Estilo-YBP-Normal-1"/>
        <w:numPr>
          <w:ilvl w:val="0"/>
          <w:numId w:val="226"/>
        </w:numPr>
        <w:rPr>
          <w:b/>
          <w:bCs/>
          <w:color w:val="767171"/>
        </w:rPr>
      </w:pPr>
      <w:r w:rsidRPr="00F812D4">
        <w:rPr>
          <w:color w:val="767171"/>
        </w:rPr>
        <w:t>Mejor experiencia de usuario.</w:t>
      </w:r>
    </w:p>
    <w:p w14:paraId="5317F0F0" w14:textId="77777777" w:rsidR="00F73212" w:rsidRPr="00F812D4" w:rsidRDefault="00F73212" w:rsidP="00E11C10">
      <w:pPr>
        <w:pStyle w:val="Estilo-YBP-Normal-1"/>
        <w:numPr>
          <w:ilvl w:val="0"/>
          <w:numId w:val="226"/>
        </w:numPr>
        <w:rPr>
          <w:b/>
          <w:bCs/>
          <w:color w:val="767171"/>
        </w:rPr>
      </w:pPr>
      <w:r w:rsidRPr="00F812D4">
        <w:rPr>
          <w:color w:val="767171"/>
        </w:rPr>
        <w:t>Estructura de navegación más clara y accesible.</w:t>
      </w:r>
    </w:p>
    <w:p w14:paraId="588311F6" w14:textId="77777777" w:rsidR="00F73212" w:rsidRPr="00F812D4" w:rsidRDefault="00F73212" w:rsidP="00E11C10">
      <w:pPr>
        <w:pStyle w:val="Estilo-YBP-Normal-1"/>
        <w:numPr>
          <w:ilvl w:val="0"/>
          <w:numId w:val="226"/>
        </w:numPr>
        <w:rPr>
          <w:b/>
          <w:bCs/>
          <w:color w:val="767171"/>
        </w:rPr>
      </w:pPr>
      <w:r w:rsidRPr="00F812D4">
        <w:rPr>
          <w:color w:val="767171"/>
        </w:rPr>
        <w:t>Optimización para dispositivos móviles.</w:t>
      </w:r>
    </w:p>
    <w:p w14:paraId="3754DDFD" w14:textId="77777777" w:rsidR="00F73212" w:rsidRPr="00F812D4" w:rsidRDefault="00F73212" w:rsidP="00E11C10">
      <w:pPr>
        <w:pStyle w:val="Estilo-YBP-Normal-1"/>
        <w:numPr>
          <w:ilvl w:val="0"/>
          <w:numId w:val="226"/>
        </w:numPr>
        <w:rPr>
          <w:b/>
          <w:bCs/>
          <w:color w:val="767171"/>
        </w:rPr>
      </w:pPr>
      <w:r w:rsidRPr="00F812D4">
        <w:rPr>
          <w:color w:val="767171"/>
        </w:rPr>
        <w:t>Integración de contenido multimedia.</w:t>
      </w:r>
    </w:p>
    <w:p w14:paraId="4DD501A9" w14:textId="77777777" w:rsidR="00F73212" w:rsidRPr="00F812D4" w:rsidRDefault="00F73212" w:rsidP="00E11C10">
      <w:pPr>
        <w:pStyle w:val="Estilo-YBP-Normal-1"/>
        <w:numPr>
          <w:ilvl w:val="0"/>
          <w:numId w:val="226"/>
        </w:numPr>
        <w:rPr>
          <w:b/>
          <w:bCs/>
          <w:color w:val="767171"/>
        </w:rPr>
      </w:pPr>
      <w:r w:rsidRPr="00F812D4">
        <w:rPr>
          <w:color w:val="767171"/>
        </w:rPr>
        <w:t>Mayor visibilidad de proyectos, servicios y noticias.</w:t>
      </w:r>
    </w:p>
    <w:p w14:paraId="7FAD868F" w14:textId="77777777" w:rsidR="00F73212" w:rsidRPr="00F812D4" w:rsidRDefault="00F73212" w:rsidP="00E11C10">
      <w:pPr>
        <w:pStyle w:val="Estilo-YBP-Normal-1"/>
        <w:numPr>
          <w:ilvl w:val="0"/>
          <w:numId w:val="226"/>
        </w:numPr>
        <w:rPr>
          <w:b/>
          <w:bCs/>
          <w:color w:val="767171"/>
        </w:rPr>
      </w:pPr>
      <w:r w:rsidRPr="00F812D4">
        <w:rPr>
          <w:color w:val="767171"/>
        </w:rPr>
        <w:t>Mejora en tiempos de carga y seguridad.</w:t>
      </w:r>
    </w:p>
    <w:p w14:paraId="6EABB4BC" w14:textId="77777777" w:rsidR="00BC27E9" w:rsidRPr="00F73212" w:rsidRDefault="00BC27E9" w:rsidP="00F73212">
      <w:pPr>
        <w:pStyle w:val="Estilo-YBP-Normal-1"/>
        <w:rPr>
          <w:color w:val="767171"/>
        </w:rPr>
      </w:pPr>
    </w:p>
    <w:p w14:paraId="07D8ECB4" w14:textId="40613ADE" w:rsidR="00BC27E9" w:rsidRPr="00F51751" w:rsidRDefault="00F51751" w:rsidP="00F51751">
      <w:pPr>
        <w:pStyle w:val="Heading1"/>
        <w:numPr>
          <w:ilvl w:val="0"/>
          <w:numId w:val="108"/>
        </w:numPr>
        <w:jc w:val="center"/>
        <w:rPr>
          <w:rFonts w:ascii="Times New Roman" w:hAnsi="Times New Roman" w:cs="Times New Roman"/>
          <w:color w:val="767171"/>
          <w:sz w:val="28"/>
          <w:szCs w:val="28"/>
        </w:rPr>
      </w:pPr>
      <w:bookmarkStart w:id="168" w:name="_Toc217387680"/>
      <w:bookmarkStart w:id="169" w:name="_Toc217402151"/>
      <w:bookmarkEnd w:id="144"/>
      <w:r w:rsidRPr="00F51751">
        <w:rPr>
          <w:rFonts w:ascii="Times New Roman" w:hAnsi="Times New Roman" w:cs="Times New Roman"/>
          <w:color w:val="767171"/>
          <w:sz w:val="28"/>
          <w:szCs w:val="28"/>
        </w:rPr>
        <w:t>CONTRATACIONES Y ADQUISICIONES</w:t>
      </w:r>
      <w:bookmarkEnd w:id="145"/>
      <w:bookmarkEnd w:id="168"/>
      <w:bookmarkEnd w:id="169"/>
    </w:p>
    <w:p w14:paraId="27FD614D" w14:textId="77777777" w:rsidR="00BC27E9" w:rsidRPr="00954407" w:rsidRDefault="00BC27E9" w:rsidP="00BC27E9">
      <w:pPr>
        <w:pStyle w:val="EstilodePrrafoNormal1RdeC"/>
        <w:rPr>
          <w:rFonts w:eastAsia="Calibri"/>
          <w:sz w:val="18"/>
        </w:rPr>
      </w:pPr>
      <w:r w:rsidRPr="00954407">
        <w:rPr>
          <w:rFonts w:eastAsia="Calibri"/>
          <w:noProof/>
          <w:sz w:val="18"/>
          <w:lang w:eastAsia="es-DO"/>
        </w:rPr>
        <mc:AlternateContent>
          <mc:Choice Requires="wps">
            <w:drawing>
              <wp:anchor distT="0" distB="0" distL="114300" distR="114300" simplePos="0" relativeHeight="251673600" behindDoc="0" locked="0" layoutInCell="1" allowOverlap="1" wp14:anchorId="7882E4E3" wp14:editId="5093D6F1">
                <wp:simplePos x="0" y="0"/>
                <wp:positionH relativeFrom="margin">
                  <wp:posOffset>2381471</wp:posOffset>
                </wp:positionH>
                <wp:positionV relativeFrom="paragraph">
                  <wp:posOffset>100330</wp:posOffset>
                </wp:positionV>
                <wp:extent cx="463550" cy="0"/>
                <wp:effectExtent l="22860" t="15875" r="18415" b="22225"/>
                <wp:wrapNone/>
                <wp:docPr id="107374192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2711A"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7.5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" strokecolor="#ee2a24" strokeweight="2.25pt">
                <v:stroke joinstyle="miter"/>
                <w10:wrap anchorx="margin"/>
              </v:line>
            </w:pict>
          </mc:Fallback>
        </mc:AlternateContent>
      </w:r>
    </w:p>
    <w:p w14:paraId="3E8A8B62" w14:textId="77777777" w:rsidR="00BC27E9" w:rsidRDefault="00BC27E9" w:rsidP="00F73212">
      <w:pPr>
        <w:pStyle w:val="EstilodePrrafoNormal1RdeC"/>
        <w:jc w:val="center"/>
      </w:pPr>
      <w:r w:rsidRPr="00954407">
        <w:t>Memoria institucional 2025</w:t>
      </w:r>
    </w:p>
    <w:p w14:paraId="7D1295F4" w14:textId="77777777" w:rsidR="00634A56" w:rsidRPr="00954407" w:rsidRDefault="00634A56" w:rsidP="00F73212">
      <w:pPr>
        <w:pStyle w:val="EstilodePrrafoNormal1RdeC"/>
        <w:jc w:val="center"/>
      </w:pPr>
    </w:p>
    <w:p w14:paraId="5861FFE9" w14:textId="77777777" w:rsidR="00634A56" w:rsidRPr="00634A56" w:rsidRDefault="00634A56" w:rsidP="00634A56">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170" w:name="_Toc217394564"/>
      <w:bookmarkStart w:id="171" w:name="_Toc217394818"/>
      <w:bookmarkStart w:id="172" w:name="_Toc217394923"/>
      <w:bookmarkStart w:id="173" w:name="_Toc217402083"/>
      <w:bookmarkStart w:id="174" w:name="_Toc217402152"/>
      <w:bookmarkEnd w:id="170"/>
      <w:bookmarkEnd w:id="171"/>
      <w:bookmarkEnd w:id="172"/>
      <w:bookmarkEnd w:id="173"/>
      <w:bookmarkEnd w:id="174"/>
    </w:p>
    <w:p w14:paraId="64120238" w14:textId="3D8CA9FC" w:rsidR="00BC27E9" w:rsidRPr="00634A56" w:rsidRDefault="00BC27E9" w:rsidP="00634A56">
      <w:pPr>
        <w:pStyle w:val="Heading2"/>
        <w:rPr>
          <w:rFonts w:ascii="Times New Roman" w:hAnsi="Times New Roman" w:cs="Times New Roman"/>
          <w:b/>
          <w:bCs/>
          <w:color w:val="767171"/>
          <w:sz w:val="24"/>
          <w:szCs w:val="24"/>
        </w:rPr>
      </w:pPr>
      <w:bookmarkStart w:id="175" w:name="_Toc217402153"/>
      <w:r w:rsidRPr="00634A56">
        <w:rPr>
          <w:rFonts w:ascii="Times New Roman" w:hAnsi="Times New Roman" w:cs="Times New Roman"/>
          <w:b/>
          <w:bCs/>
          <w:color w:val="767171"/>
          <w:sz w:val="24"/>
          <w:szCs w:val="24"/>
        </w:rPr>
        <w:t>Plan Anual de Compras y Contrataciones (PACC)</w:t>
      </w:r>
      <w:bookmarkEnd w:id="175"/>
    </w:p>
    <w:p w14:paraId="21EC1375" w14:textId="77777777" w:rsidR="00BC27E9" w:rsidRPr="00954407" w:rsidRDefault="00BC27E9" w:rsidP="00BC27E9">
      <w:pPr>
        <w:pStyle w:val="EstilodePrrafoNormal1RdeC"/>
        <w:rPr>
          <w:rFonts w:eastAsia="Calibri"/>
        </w:rPr>
      </w:pPr>
    </w:p>
    <w:p w14:paraId="78B345AB" w14:textId="77777777" w:rsidR="00BC27E9" w:rsidRPr="00954407" w:rsidRDefault="00BC27E9" w:rsidP="00BC27E9">
      <w:pPr>
        <w:pStyle w:val="EstilodePrrafoNormal1RdeC"/>
        <w:rPr>
          <w:color w:val="EE0000"/>
          <w:sz w:val="32"/>
          <w:szCs w:val="32"/>
        </w:rPr>
      </w:pPr>
      <w:r w:rsidRPr="00954407">
        <w:t xml:space="preserve">El Ministerio de Obras Públicas y Comunicaciones (MOPC), en cumplimiento a lo establecido en la Ley No. 340-06 sobre Compras y Contrataciones de Bienes, Servicios, Obras y Concesiones, durante el periodo  enero-diciembre del año 2025, llevó a efecto un total de Ochenta y Seis (86) procesos, aplicando las modalidades de Licitación Pública Nacional (LPN), Compras Menores (CM), Compras Directas (CD), Comparación de Precios (CP), Procesos Excepción (PE) y Subasta Inversa </w:t>
      </w:r>
      <w:r w:rsidRPr="00954407">
        <w:lastRenderedPageBreak/>
        <w:t xml:space="preserve">(SI) para la adquisición de bienes, servicios, y obras, con una inversión equivalente a la suma de RD$9,423,560,957.85 (Nueve Mil Cuatrocientos Veintitrés Millones Quinientos Sesenta Mil Novecientos Cincuenta y Siete Pesos con 85/100). </w:t>
      </w:r>
    </w:p>
    <w:p w14:paraId="1084ACFB" w14:textId="77777777" w:rsidR="00BC27E9" w:rsidRPr="00954407" w:rsidRDefault="00BC27E9" w:rsidP="00BC27E9">
      <w:pPr>
        <w:pStyle w:val="EstilodePrrafoNormal1RdeC"/>
        <w:rPr>
          <w:rFonts w:eastAsia="Calibri"/>
          <w:color w:val="EE0000"/>
          <w:sz w:val="32"/>
          <w:szCs w:val="28"/>
        </w:rPr>
      </w:pPr>
    </w:p>
    <w:p w14:paraId="4CECD666" w14:textId="77777777" w:rsidR="00BC27E9" w:rsidRPr="00634A56" w:rsidRDefault="00BC27E9" w:rsidP="00634A56">
      <w:pPr>
        <w:pStyle w:val="Heading2"/>
        <w:rPr>
          <w:rFonts w:ascii="Times New Roman" w:hAnsi="Times New Roman" w:cs="Times New Roman"/>
          <w:b/>
          <w:bCs/>
          <w:color w:val="767171"/>
          <w:sz w:val="24"/>
          <w:szCs w:val="24"/>
        </w:rPr>
      </w:pPr>
      <w:bookmarkStart w:id="176" w:name="_Toc217402154"/>
      <w:r w:rsidRPr="00634A56">
        <w:rPr>
          <w:rFonts w:ascii="Times New Roman" w:hAnsi="Times New Roman" w:cs="Times New Roman"/>
          <w:b/>
          <w:bCs/>
          <w:color w:val="767171"/>
          <w:sz w:val="24"/>
          <w:szCs w:val="24"/>
        </w:rPr>
        <w:t>Plan de Compras Publicado Año 2025</w:t>
      </w:r>
      <w:bookmarkEnd w:id="176"/>
    </w:p>
    <w:p w14:paraId="34E9F041" w14:textId="77777777" w:rsidR="00BC27E9" w:rsidRPr="00954407" w:rsidRDefault="00BC27E9" w:rsidP="00BC27E9">
      <w:pPr>
        <w:pStyle w:val="EstilodePrrafoNormal1RdeC"/>
        <w:rPr>
          <w:rFonts w:eastAsia="Calibri"/>
        </w:rPr>
      </w:pPr>
    </w:p>
    <w:p w14:paraId="0DB2C85B" w14:textId="77777777" w:rsidR="00BC27E9" w:rsidRPr="00954407" w:rsidRDefault="00BC27E9" w:rsidP="00BC27E9">
      <w:pPr>
        <w:pStyle w:val="EstilodePrrafoNormal1RdeC"/>
      </w:pPr>
      <w:r w:rsidRPr="00954407">
        <w:t>En cumplimiento a los requerimientos de la Dirección General de Compras y Contrataciones (DGCC),  el MOPC publicó a través de la página web de la institución, el Plan Anual de Compras y Contrataciones correspondiente al año 2025, instrumento que establece los requerimientos de insumos (bienes, servicios y obras) de la institución que serán contratados durante el año fiscal vigente, conteniendo los procedimientos de gestión con los códigos del catálogo de bienes y servicios (CBS), nombre del artículo, unidad de medida, cantidad total estimada, precio unitario, monto total estimado; además contiene: nombre o referencia de contratación, finalidad de la contratación, objeto de contratación, procedimiento de selección, destinado a MIPYMES, código SNIP y la fuente de financiamiento para la ejecución de los mismos. (Ver anexo C).</w:t>
      </w:r>
    </w:p>
    <w:p w14:paraId="1EBCFD43" w14:textId="77777777" w:rsidR="00BC27E9" w:rsidRPr="00954407" w:rsidRDefault="00BC27E9" w:rsidP="00BC27E9">
      <w:pPr>
        <w:pStyle w:val="EstilodePrrafoNormal1RdeC"/>
      </w:pPr>
    </w:p>
    <w:p w14:paraId="534CC1A4" w14:textId="77777777" w:rsidR="00BC27E9" w:rsidRPr="00954407" w:rsidRDefault="00BC27E9" w:rsidP="00BC27E9">
      <w:pPr>
        <w:pStyle w:val="EstilodePrrafoNormal1RdeC"/>
      </w:pPr>
    </w:p>
    <w:p w14:paraId="42AD834D" w14:textId="77777777" w:rsidR="00BC27E9" w:rsidRPr="00634A56" w:rsidRDefault="00BC27E9" w:rsidP="00634A56">
      <w:pPr>
        <w:pStyle w:val="Heading2"/>
        <w:rPr>
          <w:rFonts w:ascii="Times New Roman" w:hAnsi="Times New Roman" w:cs="Times New Roman"/>
          <w:b/>
          <w:bCs/>
          <w:color w:val="767171"/>
          <w:sz w:val="24"/>
          <w:szCs w:val="24"/>
        </w:rPr>
      </w:pPr>
      <w:r w:rsidRPr="00634A56">
        <w:rPr>
          <w:rFonts w:ascii="Times New Roman" w:hAnsi="Times New Roman" w:cs="Times New Roman"/>
          <w:b/>
          <w:bCs/>
          <w:color w:val="767171"/>
          <w:sz w:val="24"/>
          <w:szCs w:val="24"/>
        </w:rPr>
        <w:t xml:space="preserve"> </w:t>
      </w:r>
      <w:bookmarkStart w:id="177" w:name="_Toc217402155"/>
      <w:r w:rsidRPr="00634A56">
        <w:rPr>
          <w:rFonts w:ascii="Times New Roman" w:hAnsi="Times New Roman" w:cs="Times New Roman"/>
          <w:b/>
          <w:bCs/>
          <w:color w:val="767171"/>
          <w:sz w:val="24"/>
          <w:szCs w:val="24"/>
        </w:rPr>
        <w:t>Plan de Compras y Contrataciones Publicado Vs. Plan de Compras Ejecutado</w:t>
      </w:r>
      <w:bookmarkEnd w:id="177"/>
    </w:p>
    <w:p w14:paraId="1592E8D5" w14:textId="77777777" w:rsidR="00BC27E9" w:rsidRPr="00954407" w:rsidRDefault="00BC27E9" w:rsidP="00BC27E9">
      <w:pPr>
        <w:pStyle w:val="EstilodePrrafoNormal1RdeC"/>
        <w:rPr>
          <w:rFonts w:eastAsia="Calibri"/>
        </w:rPr>
      </w:pPr>
    </w:p>
    <w:p w14:paraId="3FFAEE46" w14:textId="77777777" w:rsidR="00BC27E9" w:rsidRPr="00954407" w:rsidRDefault="00BC27E9" w:rsidP="00BC27E9">
      <w:pPr>
        <w:pStyle w:val="EstilodePrrafoNormal1RdeC"/>
        <w:rPr>
          <w:rFonts w:eastAsia="Calibri"/>
        </w:rPr>
      </w:pPr>
    </w:p>
    <w:p w14:paraId="1893C46E" w14:textId="68963AB4" w:rsidR="00BC27E9" w:rsidRPr="00954407" w:rsidRDefault="00BC27E9" w:rsidP="00BC27E9">
      <w:pPr>
        <w:pStyle w:val="EstilodePrrafoNormal1RdeC"/>
        <w:rPr>
          <w:rFonts w:eastAsia="Calibri"/>
        </w:rPr>
      </w:pPr>
      <w:r w:rsidRPr="00954407">
        <w:rPr>
          <w:rFonts w:eastAsia="Calibri"/>
        </w:rPr>
        <w:t>El Plan de Compras y Contrataciones del MOPC publicado para la adquisición de bienes y servicios (exceptuando la construcción de obras) para el año 2025, ascendió a la suma de RD$1,269,495,872.76</w:t>
      </w:r>
      <w:r w:rsidRPr="00954407">
        <w:rPr>
          <w:rFonts w:eastAsia="Calibri"/>
          <w:color w:val="EE0000"/>
        </w:rPr>
        <w:t xml:space="preserve"> </w:t>
      </w:r>
      <w:r w:rsidRPr="00954407">
        <w:rPr>
          <w:rFonts w:eastAsia="Calibri"/>
        </w:rPr>
        <w:t xml:space="preserve">(Mil Doscientos Sesenta y Nueve Millones Cuatrocientos Noventa y Cinco Mil </w:t>
      </w:r>
      <w:r w:rsidRPr="00954407">
        <w:rPr>
          <w:rFonts w:eastAsia="Calibri"/>
        </w:rPr>
        <w:lastRenderedPageBreak/>
        <w:t>Ochocientos Setenta y Dos pesos</w:t>
      </w:r>
      <w:r w:rsidRPr="00954407">
        <w:rPr>
          <w:rFonts w:eastAsia="Calibri"/>
          <w:color w:val="EE0000"/>
        </w:rPr>
        <w:t xml:space="preserve"> </w:t>
      </w:r>
      <w:r w:rsidRPr="00954407">
        <w:rPr>
          <w:rFonts w:eastAsia="Calibri"/>
        </w:rPr>
        <w:t xml:space="preserve">con 76/100),  y la </w:t>
      </w:r>
      <w:r w:rsidR="00B84A23" w:rsidRPr="00954407">
        <w:rPr>
          <w:rFonts w:eastAsia="Calibri"/>
        </w:rPr>
        <w:t>ejecución</w:t>
      </w:r>
      <w:r w:rsidRPr="00954407">
        <w:rPr>
          <w:rFonts w:eastAsia="Calibri"/>
        </w:rPr>
        <w:t xml:space="preserve"> del Plan de Compras del MOPC durante el periodo comprendido entre enero- noviembre del 2025, totalizó la suma de RD$9,423,560,957.85 (</w:t>
      </w:r>
      <w:r w:rsidRPr="00954407">
        <w:t xml:space="preserve">Nueve Mil Cuatrocientos Veintitrés Millones Quinientos Sesenta Mil, Novecientos Cincuenta y Siete con 85/100), </w:t>
      </w:r>
      <w:r w:rsidRPr="00954407">
        <w:rPr>
          <w:rFonts w:eastAsia="Calibri"/>
        </w:rPr>
        <w:t>considerando la inversión efectuada en obras de infraestructuras vial y de edificaciones.</w:t>
      </w:r>
    </w:p>
    <w:p w14:paraId="77E370FF" w14:textId="77777777" w:rsidR="00BC27E9" w:rsidRPr="00954407" w:rsidRDefault="00BC27E9" w:rsidP="00BC27E9">
      <w:pPr>
        <w:pStyle w:val="EstilodePrrafoNormal1RdeC"/>
      </w:pPr>
    </w:p>
    <w:p w14:paraId="6B72D9F3" w14:textId="77777777" w:rsidR="00BC27E9" w:rsidRPr="00634A56" w:rsidRDefault="00BC27E9" w:rsidP="00634A56">
      <w:pPr>
        <w:pStyle w:val="Heading2"/>
        <w:rPr>
          <w:rFonts w:ascii="Times New Roman" w:hAnsi="Times New Roman" w:cs="Times New Roman"/>
          <w:b/>
          <w:bCs/>
          <w:color w:val="767171"/>
          <w:sz w:val="24"/>
          <w:szCs w:val="24"/>
        </w:rPr>
      </w:pPr>
      <w:bookmarkStart w:id="178" w:name="_Toc217402156"/>
      <w:r w:rsidRPr="00634A56">
        <w:rPr>
          <w:rFonts w:ascii="Times New Roman" w:hAnsi="Times New Roman" w:cs="Times New Roman"/>
          <w:b/>
          <w:bCs/>
          <w:color w:val="767171"/>
          <w:sz w:val="24"/>
          <w:szCs w:val="24"/>
        </w:rPr>
        <w:t>Relación de Licitaciones Públicas Nacionales e Internacionales</w:t>
      </w:r>
      <w:bookmarkEnd w:id="178"/>
    </w:p>
    <w:p w14:paraId="30202E19" w14:textId="77777777" w:rsidR="00BC27E9" w:rsidRPr="00954407" w:rsidRDefault="00BC27E9" w:rsidP="00BC27E9">
      <w:pPr>
        <w:pStyle w:val="EstilodePrrafoNormal1RdeC"/>
        <w:rPr>
          <w:rFonts w:eastAsia="Calibri"/>
        </w:rPr>
      </w:pPr>
    </w:p>
    <w:p w14:paraId="5D95416F" w14:textId="77777777" w:rsidR="00BC27E9" w:rsidRPr="00954407" w:rsidRDefault="00BC27E9" w:rsidP="00BC27E9">
      <w:pPr>
        <w:pStyle w:val="EstilodePrrafoNormal1RdeC"/>
      </w:pPr>
      <w:r w:rsidRPr="00954407">
        <w:t xml:space="preserve">Las Licitaciones Públicas Nacionales (LPN) y Licitaciones Públicas Internacionales (LPI) realizadas por el Ministerio de Obras Públicas y Comunicaciones (MOPC), durante el periodo </w:t>
      </w:r>
      <w:r w:rsidRPr="00954407">
        <w:rPr>
          <w:rFonts w:eastAsia="Calibri"/>
        </w:rPr>
        <w:t>enero – noviembre 2025</w:t>
      </w:r>
      <w:r w:rsidRPr="00954407">
        <w:t>, corresponden a cinco procesos (5) de Licitación, los cuales presentan la condición actual siguiente:</w:t>
      </w:r>
    </w:p>
    <w:p w14:paraId="41FC1CAF" w14:textId="77777777" w:rsidR="00BC27E9" w:rsidRPr="00954407" w:rsidRDefault="00BC27E9" w:rsidP="00BC27E9">
      <w:pPr>
        <w:pStyle w:val="EstilodePrrafoNormal1RdeC"/>
      </w:pPr>
    </w:p>
    <w:p w14:paraId="7FE54BD9" w14:textId="77777777" w:rsidR="00BC27E9" w:rsidRPr="00954407" w:rsidRDefault="00BC27E9" w:rsidP="00E11C10">
      <w:pPr>
        <w:pStyle w:val="EstilodePrrafoNormal1RdeC"/>
        <w:numPr>
          <w:ilvl w:val="0"/>
          <w:numId w:val="227"/>
        </w:numPr>
      </w:pPr>
      <w:r w:rsidRPr="00954407">
        <w:t xml:space="preserve">Adjudicados: Uno (1) </w:t>
      </w:r>
    </w:p>
    <w:p w14:paraId="1A9BC1B7" w14:textId="77777777" w:rsidR="00BC27E9" w:rsidRPr="00954407" w:rsidRDefault="00BC27E9" w:rsidP="00E11C10">
      <w:pPr>
        <w:pStyle w:val="EstilodePrrafoNormal1RdeC"/>
        <w:numPr>
          <w:ilvl w:val="0"/>
          <w:numId w:val="227"/>
        </w:numPr>
      </w:pPr>
      <w:r w:rsidRPr="00954407">
        <w:t xml:space="preserve">No concluidos: Cuatro (4) </w:t>
      </w:r>
    </w:p>
    <w:p w14:paraId="646342F3" w14:textId="77777777" w:rsidR="00BC27E9" w:rsidRPr="00954407" w:rsidRDefault="00BC27E9" w:rsidP="00BC27E9">
      <w:pPr>
        <w:pStyle w:val="EstilodePrrafoNormal1RdeC"/>
        <w:rPr>
          <w:rFonts w:eastAsia="Calibri"/>
        </w:rPr>
      </w:pPr>
    </w:p>
    <w:p w14:paraId="4F0C4A54" w14:textId="77777777" w:rsidR="00BC27E9" w:rsidRDefault="00BC27E9" w:rsidP="00BC27E9">
      <w:pPr>
        <w:pStyle w:val="EstilodePrrafoNormal1RdeC"/>
      </w:pPr>
      <w:r w:rsidRPr="00954407">
        <w:t>A continuación, presentamos los procesos realizados durante periodo enero – noviembre del presente año.</w:t>
      </w:r>
    </w:p>
    <w:p w14:paraId="20BFCD4A" w14:textId="77777777" w:rsidR="00E11C10" w:rsidRDefault="00E11C10" w:rsidP="00BC27E9">
      <w:pPr>
        <w:pStyle w:val="EstilodePrrafoNormal1RdeC"/>
      </w:pPr>
    </w:p>
    <w:p w14:paraId="423B2919" w14:textId="77777777" w:rsidR="00E11C10" w:rsidRDefault="00E11C10" w:rsidP="00BC27E9">
      <w:pPr>
        <w:pStyle w:val="EstilodePrrafoNormal1RdeC"/>
      </w:pPr>
    </w:p>
    <w:p w14:paraId="2B239C8C" w14:textId="77777777" w:rsidR="00E11C10" w:rsidRDefault="00E11C10" w:rsidP="00BC27E9">
      <w:pPr>
        <w:pStyle w:val="EstilodePrrafoNormal1RdeC"/>
      </w:pPr>
    </w:p>
    <w:p w14:paraId="05C3CA77" w14:textId="77777777" w:rsidR="00E11C10" w:rsidRDefault="00E11C10" w:rsidP="00BC27E9">
      <w:pPr>
        <w:pStyle w:val="EstilodePrrafoNormal1RdeC"/>
      </w:pPr>
    </w:p>
    <w:p w14:paraId="48561BE3" w14:textId="77777777" w:rsidR="00E11C10" w:rsidRDefault="00E11C10" w:rsidP="00BC27E9">
      <w:pPr>
        <w:pStyle w:val="EstilodePrrafoNormal1RdeC"/>
      </w:pPr>
    </w:p>
    <w:p w14:paraId="75213E09" w14:textId="77777777" w:rsidR="00E11C10" w:rsidRPr="00954407" w:rsidRDefault="00E11C10" w:rsidP="00BC27E9">
      <w:pPr>
        <w:pStyle w:val="EstilodePrrafoNormal1RdeC"/>
      </w:pPr>
    </w:p>
    <w:p w14:paraId="258C617E" w14:textId="77777777" w:rsidR="00BC27E9" w:rsidRPr="00954407" w:rsidRDefault="00BC27E9" w:rsidP="00BC27E9">
      <w:pPr>
        <w:pStyle w:val="EstilodePrrafoNormal1RdeC"/>
        <w:rPr>
          <w:rFonts w:eastAsia="Calibri"/>
          <w:noProof/>
          <w:color w:val="auto"/>
          <w:spacing w:val="0"/>
          <w:sz w:val="22"/>
        </w:rPr>
      </w:pPr>
    </w:p>
    <w:p w14:paraId="2642F33D" w14:textId="701AB45B" w:rsidR="00BC27E9" w:rsidRPr="00E11C10" w:rsidRDefault="00E11C10" w:rsidP="00E11C10">
      <w:pPr>
        <w:pStyle w:val="Heading2"/>
        <w:rPr>
          <w:rFonts w:ascii="Times New Roman" w:hAnsi="Times New Roman" w:cs="Times New Roman"/>
          <w:b/>
          <w:bCs/>
          <w:color w:val="767171"/>
          <w:sz w:val="24"/>
          <w:szCs w:val="24"/>
        </w:rPr>
      </w:pPr>
      <w:bookmarkStart w:id="179" w:name="_Toc217402157"/>
      <w:r w:rsidRPr="00E11C10">
        <w:rPr>
          <w:rFonts w:ascii="Times New Roman" w:hAnsi="Times New Roman" w:cs="Times New Roman"/>
          <w:b/>
          <w:bCs/>
          <w:color w:val="767171"/>
          <w:sz w:val="24"/>
          <w:szCs w:val="24"/>
        </w:rPr>
        <w:lastRenderedPageBreak/>
        <w:t>Resumen de Procesos de Licitaciones Públicas Nacionales e InternacionalesEnero-Diciembre2025</w:t>
      </w:r>
      <w:bookmarkEnd w:id="179"/>
    </w:p>
    <w:p w14:paraId="717A3855" w14:textId="77777777" w:rsidR="00BC27E9" w:rsidRPr="00954407" w:rsidRDefault="00BC27E9" w:rsidP="00BC27E9">
      <w:pPr>
        <w:pStyle w:val="EstilodePrrafoNormal1RdeC"/>
      </w:pPr>
    </w:p>
    <w:p w14:paraId="78D01886" w14:textId="77777777" w:rsidR="00BC27E9" w:rsidRPr="00E11C10" w:rsidRDefault="00BC27E9" w:rsidP="00E11C10">
      <w:pPr>
        <w:jc w:val="center"/>
        <w:rPr>
          <w:b/>
          <w:bCs/>
        </w:rPr>
      </w:pPr>
      <w:r w:rsidRPr="00E11C10">
        <w:rPr>
          <w:b/>
          <w:bCs/>
        </w:rPr>
        <w:t>Procesos por Comparación de Precios</w:t>
      </w:r>
    </w:p>
    <w:p w14:paraId="6249D26D" w14:textId="77777777" w:rsidR="00BC27E9" w:rsidRPr="00954407" w:rsidRDefault="00BC27E9" w:rsidP="00BC27E9">
      <w:pPr>
        <w:pStyle w:val="EstilodePrrafoNormal1RdeC"/>
        <w:rPr>
          <w:rFonts w:eastAsia="Calibri"/>
        </w:rPr>
      </w:pPr>
      <w:r w:rsidRPr="00954407">
        <w:rPr>
          <w:rFonts w:eastAsia="Calibri"/>
          <w:noProof/>
          <w:color w:val="auto"/>
          <w:spacing w:val="0"/>
          <w:sz w:val="22"/>
          <w:lang w:eastAsia="es-DO"/>
        </w:rPr>
        <w:drawing>
          <wp:anchor distT="0" distB="0" distL="114300" distR="114300" simplePos="0" relativeHeight="251674624" behindDoc="0" locked="0" layoutInCell="1" allowOverlap="1" wp14:anchorId="52A9CCC4" wp14:editId="572166A6">
            <wp:simplePos x="0" y="0"/>
            <wp:positionH relativeFrom="column">
              <wp:posOffset>259281</wp:posOffset>
            </wp:positionH>
            <wp:positionV relativeFrom="paragraph">
              <wp:posOffset>5169</wp:posOffset>
            </wp:positionV>
            <wp:extent cx="4648200" cy="4297680"/>
            <wp:effectExtent l="0" t="0" r="0" b="7620"/>
            <wp:wrapNone/>
            <wp:docPr id="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4">
                      <a:extLst>
                        <a:ext uri="{28A0092B-C50C-407E-A947-70E740481C1C}">
                          <a14:useLocalDpi xmlns:a14="http://schemas.microsoft.com/office/drawing/2010/main" val="0"/>
                        </a:ext>
                      </a:extLst>
                    </a:blip>
                    <a:srcRect t="25310"/>
                    <a:stretch>
                      <a:fillRect/>
                    </a:stretch>
                  </pic:blipFill>
                  <pic:spPr bwMode="auto">
                    <a:xfrm>
                      <a:off x="0" y="0"/>
                      <a:ext cx="4648200" cy="4297680"/>
                    </a:xfrm>
                    <a:prstGeom prst="rect">
                      <a:avLst/>
                    </a:prstGeom>
                    <a:noFill/>
                  </pic:spPr>
                </pic:pic>
              </a:graphicData>
            </a:graphic>
            <wp14:sizeRelH relativeFrom="margin">
              <wp14:pctWidth>0</wp14:pctWidth>
            </wp14:sizeRelH>
            <wp14:sizeRelV relativeFrom="margin">
              <wp14:pctHeight>0</wp14:pctHeight>
            </wp14:sizeRelV>
          </wp:anchor>
        </w:drawing>
      </w:r>
    </w:p>
    <w:p w14:paraId="451A8247" w14:textId="77777777" w:rsidR="00BC27E9" w:rsidRPr="00954407" w:rsidRDefault="00BC27E9" w:rsidP="00BC27E9">
      <w:pPr>
        <w:pStyle w:val="EstilodePrrafoNormal1RdeC"/>
        <w:rPr>
          <w:rFonts w:eastAsia="Calibri"/>
        </w:rPr>
      </w:pPr>
    </w:p>
    <w:p w14:paraId="2504C01A" w14:textId="77777777" w:rsidR="00BC27E9" w:rsidRPr="00954407" w:rsidRDefault="00BC27E9" w:rsidP="00BC27E9">
      <w:pPr>
        <w:pStyle w:val="EstilodePrrafoNormal1RdeC"/>
        <w:rPr>
          <w:rFonts w:eastAsia="Calibri"/>
        </w:rPr>
      </w:pPr>
    </w:p>
    <w:p w14:paraId="424A64E9" w14:textId="77777777" w:rsidR="00BC27E9" w:rsidRPr="00954407" w:rsidRDefault="00BC27E9" w:rsidP="00BC27E9">
      <w:pPr>
        <w:pStyle w:val="EstilodePrrafoNormal1RdeC"/>
        <w:rPr>
          <w:rFonts w:eastAsia="Calibri"/>
        </w:rPr>
      </w:pPr>
    </w:p>
    <w:p w14:paraId="3B0E12B7" w14:textId="77777777" w:rsidR="00BC27E9" w:rsidRPr="00954407" w:rsidRDefault="00BC27E9" w:rsidP="00BC27E9">
      <w:pPr>
        <w:pStyle w:val="EstilodePrrafoNormal1RdeC"/>
        <w:rPr>
          <w:rFonts w:eastAsia="Calibri"/>
        </w:rPr>
      </w:pPr>
    </w:p>
    <w:p w14:paraId="25F0C8AE" w14:textId="77777777" w:rsidR="00BC27E9" w:rsidRPr="00954407" w:rsidRDefault="00BC27E9" w:rsidP="00BC27E9">
      <w:pPr>
        <w:pStyle w:val="EstilodePrrafoNormal1RdeC"/>
        <w:rPr>
          <w:rFonts w:eastAsia="Calibri"/>
        </w:rPr>
      </w:pPr>
    </w:p>
    <w:p w14:paraId="214F78A8" w14:textId="77777777" w:rsidR="00BC27E9" w:rsidRPr="00954407" w:rsidRDefault="00BC27E9" w:rsidP="00BC27E9">
      <w:pPr>
        <w:pStyle w:val="EstilodePrrafoNormal1RdeC"/>
        <w:rPr>
          <w:rFonts w:eastAsia="Calibri"/>
        </w:rPr>
      </w:pPr>
    </w:p>
    <w:p w14:paraId="00D4766A" w14:textId="77777777" w:rsidR="00BC27E9" w:rsidRPr="00954407" w:rsidRDefault="00BC27E9" w:rsidP="00BC27E9">
      <w:pPr>
        <w:pStyle w:val="EstilodePrrafoNormal1RdeC"/>
        <w:rPr>
          <w:rFonts w:eastAsia="Calibri"/>
        </w:rPr>
      </w:pPr>
    </w:p>
    <w:p w14:paraId="71CF6884" w14:textId="77777777" w:rsidR="00BC27E9" w:rsidRPr="00954407" w:rsidRDefault="00BC27E9" w:rsidP="00BC27E9">
      <w:pPr>
        <w:pStyle w:val="EstilodePrrafoNormal1RdeC"/>
        <w:rPr>
          <w:rFonts w:eastAsia="Calibri"/>
        </w:rPr>
      </w:pPr>
    </w:p>
    <w:p w14:paraId="3CE99002" w14:textId="77777777" w:rsidR="00BC27E9" w:rsidRPr="00954407" w:rsidRDefault="00BC27E9" w:rsidP="00BC27E9">
      <w:pPr>
        <w:pStyle w:val="EstilodePrrafoNormal1RdeC"/>
        <w:rPr>
          <w:rFonts w:eastAsia="Calibri"/>
        </w:rPr>
      </w:pPr>
    </w:p>
    <w:p w14:paraId="67466C13" w14:textId="77777777" w:rsidR="00BC27E9" w:rsidRPr="00954407" w:rsidRDefault="00BC27E9" w:rsidP="00BC27E9">
      <w:pPr>
        <w:pStyle w:val="EstilodePrrafoNormal1RdeC"/>
        <w:rPr>
          <w:rFonts w:eastAsia="Calibri"/>
        </w:rPr>
      </w:pPr>
    </w:p>
    <w:p w14:paraId="13ACFC75" w14:textId="77777777" w:rsidR="00BC27E9" w:rsidRPr="00954407" w:rsidRDefault="00BC27E9" w:rsidP="00BC27E9">
      <w:pPr>
        <w:pStyle w:val="EstilodePrrafoNormal1RdeC"/>
        <w:rPr>
          <w:rFonts w:eastAsia="Calibri"/>
        </w:rPr>
      </w:pPr>
    </w:p>
    <w:p w14:paraId="6E5DC907" w14:textId="77777777" w:rsidR="00BC27E9" w:rsidRPr="00954407" w:rsidRDefault="00BC27E9" w:rsidP="00BC27E9">
      <w:pPr>
        <w:pStyle w:val="EstilodePrrafoNormal1RdeC"/>
        <w:rPr>
          <w:rFonts w:eastAsia="Calibri"/>
        </w:rPr>
      </w:pPr>
    </w:p>
    <w:p w14:paraId="1EF5F80C" w14:textId="77777777" w:rsidR="00BC27E9" w:rsidRPr="00954407" w:rsidRDefault="00BC27E9" w:rsidP="00BC27E9">
      <w:pPr>
        <w:pStyle w:val="EstilodePrrafoNormal1RdeC"/>
        <w:rPr>
          <w:rFonts w:eastAsia="Calibri"/>
        </w:rPr>
      </w:pPr>
    </w:p>
    <w:p w14:paraId="5D39AA6A" w14:textId="77777777" w:rsidR="00BC27E9" w:rsidRPr="00954407" w:rsidRDefault="00BC27E9" w:rsidP="00BC27E9">
      <w:pPr>
        <w:pStyle w:val="EstilodePrrafoNormal1RdeC"/>
        <w:rPr>
          <w:rFonts w:eastAsia="Calibri"/>
        </w:rPr>
      </w:pPr>
    </w:p>
    <w:p w14:paraId="084B9E58" w14:textId="77777777" w:rsidR="00BC27E9" w:rsidRPr="00954407" w:rsidRDefault="00BC27E9" w:rsidP="00BC27E9">
      <w:pPr>
        <w:pStyle w:val="EstilodePrrafoNormal1RdeC"/>
        <w:rPr>
          <w:rFonts w:eastAsia="Calibri"/>
        </w:rPr>
      </w:pPr>
    </w:p>
    <w:p w14:paraId="580656C8" w14:textId="77777777" w:rsidR="00BC27E9" w:rsidRPr="00954407" w:rsidRDefault="00BC27E9" w:rsidP="00BC27E9">
      <w:pPr>
        <w:pStyle w:val="EstilodePrrafoNormal1RdeC"/>
        <w:rPr>
          <w:rFonts w:eastAsia="Calibri"/>
        </w:rPr>
      </w:pPr>
    </w:p>
    <w:p w14:paraId="063C1512" w14:textId="77777777" w:rsidR="00BC27E9" w:rsidRDefault="00BC27E9" w:rsidP="00BC27E9">
      <w:pPr>
        <w:pStyle w:val="EstilodePrrafoNormal1RdeC"/>
        <w:rPr>
          <w:rFonts w:eastAsia="Calibri"/>
        </w:rPr>
      </w:pPr>
      <w:r w:rsidRPr="00954407">
        <w:rPr>
          <w:rFonts w:eastAsia="Calibri"/>
        </w:rPr>
        <w:t>En la modalidad de procesos por comparación de precios, el MOPC efectuó durante el periodo enero-diciembre del 2025, un total de nueve (9) procesos, de los cuales siete (7) fueron adjudicados y dos (2) se declararon desiertos. El cuadro siguiente, presenta el resumen de los procesos por comparación de precios efectuados.</w:t>
      </w:r>
    </w:p>
    <w:p w14:paraId="53FDBB9E" w14:textId="77777777" w:rsidR="00E11C10" w:rsidRDefault="00E11C10" w:rsidP="00BC27E9">
      <w:pPr>
        <w:pStyle w:val="EstilodePrrafoNormal1RdeC"/>
        <w:rPr>
          <w:rFonts w:eastAsia="Calibri"/>
        </w:rPr>
      </w:pPr>
    </w:p>
    <w:p w14:paraId="2F1EA326" w14:textId="77777777" w:rsidR="00E11C10" w:rsidRDefault="00E11C10" w:rsidP="00BC27E9">
      <w:pPr>
        <w:pStyle w:val="EstilodePrrafoNormal1RdeC"/>
        <w:rPr>
          <w:rFonts w:eastAsia="Calibri"/>
        </w:rPr>
      </w:pPr>
    </w:p>
    <w:p w14:paraId="6CA99CF2" w14:textId="77777777" w:rsidR="00E11C10" w:rsidRPr="00954407" w:rsidRDefault="00E11C10" w:rsidP="00BC27E9">
      <w:pPr>
        <w:pStyle w:val="EstilodePrrafoNormal1RdeC"/>
        <w:rPr>
          <w:rFonts w:eastAsia="Calibri"/>
        </w:rPr>
      </w:pPr>
    </w:p>
    <w:p w14:paraId="4A0101EB" w14:textId="77777777" w:rsidR="00BC27E9" w:rsidRPr="00954407" w:rsidRDefault="00BC27E9" w:rsidP="00BC27E9">
      <w:pPr>
        <w:pStyle w:val="EstilodePrrafoNormal1RdeC"/>
      </w:pPr>
    </w:p>
    <w:p w14:paraId="23B37EEC" w14:textId="7AFD05A9" w:rsidR="00BC27E9" w:rsidRPr="00E11C10" w:rsidRDefault="00E11C10" w:rsidP="00E11C10">
      <w:pPr>
        <w:pStyle w:val="EstilodePrrafoNormal1RdeC"/>
        <w:spacing w:line="240" w:lineRule="auto"/>
        <w:jc w:val="center"/>
        <w:rPr>
          <w:b/>
          <w:bCs/>
        </w:rPr>
      </w:pPr>
      <w:r w:rsidRPr="00E11C10">
        <w:rPr>
          <w:b/>
          <w:bCs/>
        </w:rPr>
        <w:lastRenderedPageBreak/>
        <w:t xml:space="preserve">Resumen </w:t>
      </w:r>
      <w:r>
        <w:rPr>
          <w:b/>
          <w:bCs/>
        </w:rPr>
        <w:t>d</w:t>
      </w:r>
      <w:r w:rsidRPr="00E11C10">
        <w:rPr>
          <w:b/>
          <w:bCs/>
        </w:rPr>
        <w:t xml:space="preserve">e Procesos </w:t>
      </w:r>
      <w:r>
        <w:rPr>
          <w:b/>
          <w:bCs/>
        </w:rPr>
        <w:t>p</w:t>
      </w:r>
      <w:r w:rsidRPr="00E11C10">
        <w:rPr>
          <w:b/>
          <w:bCs/>
        </w:rPr>
        <w:t xml:space="preserve">or Comparación </w:t>
      </w:r>
      <w:r>
        <w:rPr>
          <w:b/>
          <w:bCs/>
        </w:rPr>
        <w:t>d</w:t>
      </w:r>
      <w:r w:rsidRPr="00E11C10">
        <w:rPr>
          <w:b/>
          <w:bCs/>
        </w:rPr>
        <w:t>e Precios</w:t>
      </w:r>
    </w:p>
    <w:p w14:paraId="3818E273" w14:textId="3AE13745" w:rsidR="00BC27E9" w:rsidRDefault="00E11C10" w:rsidP="00E11C10">
      <w:pPr>
        <w:pStyle w:val="EstilodePrrafoNormal1RdeC"/>
        <w:spacing w:line="240" w:lineRule="auto"/>
        <w:jc w:val="center"/>
        <w:rPr>
          <w:b/>
          <w:bCs/>
        </w:rPr>
      </w:pPr>
      <w:r>
        <w:rPr>
          <w:b/>
          <w:bCs/>
        </w:rPr>
        <w:t>e</w:t>
      </w:r>
      <w:r w:rsidRPr="00E11C10">
        <w:rPr>
          <w:b/>
          <w:bCs/>
        </w:rPr>
        <w:t>nero-</w:t>
      </w:r>
      <w:r>
        <w:rPr>
          <w:b/>
          <w:bCs/>
        </w:rPr>
        <w:t>d</w:t>
      </w:r>
      <w:r w:rsidRPr="00E11C10">
        <w:rPr>
          <w:b/>
          <w:bCs/>
        </w:rPr>
        <w:t>iciembre</w:t>
      </w:r>
      <w:r>
        <w:rPr>
          <w:b/>
          <w:bCs/>
        </w:rPr>
        <w:t xml:space="preserve"> </w:t>
      </w:r>
      <w:r w:rsidRPr="00E11C10">
        <w:rPr>
          <w:b/>
          <w:bCs/>
        </w:rPr>
        <w:t>2025</w:t>
      </w:r>
    </w:p>
    <w:p w14:paraId="4874D459" w14:textId="77777777" w:rsidR="00E11C10" w:rsidRPr="00E11C10" w:rsidRDefault="00E11C10" w:rsidP="00E11C10">
      <w:pPr>
        <w:pStyle w:val="EstilodePrrafoNormal1RdeC"/>
        <w:spacing w:line="240" w:lineRule="auto"/>
        <w:jc w:val="center"/>
        <w:rPr>
          <w:b/>
          <w:bCs/>
        </w:rPr>
      </w:pPr>
    </w:p>
    <w:p w14:paraId="2DB430E4" w14:textId="77777777" w:rsidR="00BC27E9" w:rsidRPr="00954407" w:rsidRDefault="00BC27E9" w:rsidP="00BC27E9">
      <w:pPr>
        <w:pStyle w:val="EstilodePrrafoNormal1RdeC"/>
        <w:rPr>
          <w:rFonts w:eastAsia="Calibri"/>
          <w:color w:val="auto"/>
          <w:spacing w:val="0"/>
          <w:sz w:val="22"/>
        </w:rPr>
      </w:pPr>
      <w:r w:rsidRPr="00954407">
        <w:rPr>
          <w:rFonts w:eastAsia="Calibri"/>
          <w:noProof/>
          <w:color w:val="auto"/>
          <w:spacing w:val="0"/>
          <w:sz w:val="22"/>
          <w:lang w:eastAsia="es-DO"/>
        </w:rPr>
        <w:drawing>
          <wp:inline distT="0" distB="0" distL="0" distR="0" wp14:anchorId="376BDA47" wp14:editId="3FA1A5D1">
            <wp:extent cx="5136417" cy="5327374"/>
            <wp:effectExtent l="0" t="0" r="7620" b="6985"/>
            <wp:docPr id="4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5">
                      <a:extLst>
                        <a:ext uri="{28A0092B-C50C-407E-A947-70E740481C1C}">
                          <a14:useLocalDpi xmlns:a14="http://schemas.microsoft.com/office/drawing/2010/main" val="0"/>
                        </a:ext>
                      </a:extLst>
                    </a:blip>
                    <a:srcRect t="22301"/>
                    <a:stretch>
                      <a:fillRect/>
                    </a:stretch>
                  </pic:blipFill>
                  <pic:spPr bwMode="auto">
                    <a:xfrm>
                      <a:off x="0" y="0"/>
                      <a:ext cx="5162491" cy="5354418"/>
                    </a:xfrm>
                    <a:prstGeom prst="rect">
                      <a:avLst/>
                    </a:prstGeom>
                    <a:noFill/>
                    <a:ln>
                      <a:noFill/>
                    </a:ln>
                  </pic:spPr>
                </pic:pic>
              </a:graphicData>
            </a:graphic>
          </wp:inline>
        </w:drawing>
      </w:r>
    </w:p>
    <w:p w14:paraId="74C46FDE" w14:textId="77777777" w:rsidR="00BC27E9" w:rsidRPr="00954407" w:rsidRDefault="00BC27E9" w:rsidP="00BC27E9">
      <w:pPr>
        <w:pStyle w:val="EstilodePrrafoNormal1RdeC"/>
        <w:rPr>
          <w:rFonts w:eastAsia="Calibri"/>
          <w:color w:val="auto"/>
          <w:spacing w:val="0"/>
          <w:sz w:val="22"/>
        </w:rPr>
      </w:pPr>
    </w:p>
    <w:p w14:paraId="2F049E12" w14:textId="77777777" w:rsidR="00BC27E9" w:rsidRPr="00954407" w:rsidRDefault="00BC27E9" w:rsidP="00BC27E9">
      <w:pPr>
        <w:pStyle w:val="EstilodePrrafoNormal1RdeC"/>
        <w:rPr>
          <w:rFonts w:eastAsia="Calibri"/>
          <w:color w:val="auto"/>
          <w:spacing w:val="0"/>
          <w:sz w:val="22"/>
        </w:rPr>
      </w:pPr>
    </w:p>
    <w:p w14:paraId="5F30ED48" w14:textId="77777777" w:rsidR="00BC27E9" w:rsidRPr="00634A56" w:rsidRDefault="00BC27E9" w:rsidP="00634A56">
      <w:pPr>
        <w:pStyle w:val="Heading2"/>
        <w:rPr>
          <w:rFonts w:ascii="Times New Roman" w:hAnsi="Times New Roman" w:cs="Times New Roman"/>
          <w:b/>
          <w:bCs/>
          <w:color w:val="767171"/>
          <w:sz w:val="24"/>
          <w:szCs w:val="24"/>
        </w:rPr>
      </w:pPr>
      <w:r w:rsidRPr="00634A56">
        <w:rPr>
          <w:rFonts w:ascii="Times New Roman" w:hAnsi="Times New Roman" w:cs="Times New Roman"/>
          <w:b/>
          <w:bCs/>
          <w:color w:val="767171"/>
          <w:sz w:val="24"/>
          <w:szCs w:val="24"/>
        </w:rPr>
        <w:t xml:space="preserve"> </w:t>
      </w:r>
      <w:bookmarkStart w:id="180" w:name="_Toc217402158"/>
      <w:r w:rsidRPr="00634A56">
        <w:rPr>
          <w:rFonts w:ascii="Times New Roman" w:hAnsi="Times New Roman" w:cs="Times New Roman"/>
          <w:b/>
          <w:bCs/>
          <w:color w:val="767171"/>
          <w:sz w:val="24"/>
          <w:szCs w:val="24"/>
        </w:rPr>
        <w:t>Procesos de Emergencia</w:t>
      </w:r>
      <w:bookmarkEnd w:id="180"/>
    </w:p>
    <w:p w14:paraId="730BCDB4" w14:textId="77777777" w:rsidR="00BC27E9" w:rsidRPr="00954407" w:rsidRDefault="00BC27E9" w:rsidP="00BC27E9">
      <w:pPr>
        <w:pStyle w:val="EstilodePrrafoNormal1RdeC"/>
      </w:pPr>
    </w:p>
    <w:p w14:paraId="26DF5779" w14:textId="77777777" w:rsidR="00BC27E9" w:rsidRPr="00954407" w:rsidRDefault="00BC27E9" w:rsidP="00BC27E9">
      <w:pPr>
        <w:pStyle w:val="EstilodePrrafoNormal1RdeC"/>
        <w:rPr>
          <w:rFonts w:eastAsia="Calibri"/>
        </w:rPr>
      </w:pPr>
      <w:r w:rsidRPr="00954407">
        <w:rPr>
          <w:rFonts w:eastAsia="Calibri"/>
        </w:rPr>
        <w:t xml:space="preserve">Durante el periodo enero-diciembre del 2025, el MOPC inició cinco (5) Procesos de Emergencia para efectuar el Programa de Emergencia de los trabajos viales y asfaltados para las provincias afectadas por el paso de la tormenta Melissa por el país, los cuales se encuentran en procesos de </w:t>
      </w:r>
      <w:r w:rsidRPr="00954407">
        <w:rPr>
          <w:rFonts w:eastAsia="Calibri"/>
        </w:rPr>
        <w:lastRenderedPageBreak/>
        <w:t>evaluación de subsanación y de evaluación de ofertas técnicas para cumplir con el proceso. El resumen del referido tipo de proceso, se presenta en el cuadro siguiente:</w:t>
      </w:r>
    </w:p>
    <w:p w14:paraId="612B71C8" w14:textId="77777777" w:rsidR="00BC27E9" w:rsidRPr="00954407" w:rsidRDefault="00BC27E9" w:rsidP="00BC27E9">
      <w:pPr>
        <w:pStyle w:val="EstilodePrrafoNormal1RdeC"/>
        <w:rPr>
          <w:rFonts w:eastAsia="Calibri"/>
        </w:rPr>
      </w:pPr>
    </w:p>
    <w:p w14:paraId="5AB8E1AB" w14:textId="77777777" w:rsidR="00BC27E9" w:rsidRPr="00954407" w:rsidRDefault="00BC27E9" w:rsidP="00BC27E9">
      <w:pPr>
        <w:pStyle w:val="EstilodePrrafoNormal1RdeC"/>
        <w:rPr>
          <w:rFonts w:eastAsia="Calibri"/>
        </w:rPr>
      </w:pPr>
    </w:p>
    <w:p w14:paraId="01B63910" w14:textId="7974681F" w:rsidR="00BC27E9" w:rsidRPr="00E11C10" w:rsidRDefault="00E11C10" w:rsidP="00E11C10">
      <w:pPr>
        <w:pStyle w:val="EstilodePrrafoNormal1RdeC"/>
        <w:spacing w:line="240" w:lineRule="auto"/>
        <w:jc w:val="center"/>
        <w:rPr>
          <w:b/>
          <w:bCs/>
        </w:rPr>
      </w:pPr>
      <w:r w:rsidRPr="00E11C10">
        <w:rPr>
          <w:b/>
          <w:bCs/>
        </w:rPr>
        <w:t xml:space="preserve">Resumen </w:t>
      </w:r>
      <w:r>
        <w:rPr>
          <w:b/>
          <w:bCs/>
        </w:rPr>
        <w:t>d</w:t>
      </w:r>
      <w:r w:rsidRPr="00E11C10">
        <w:rPr>
          <w:b/>
          <w:bCs/>
        </w:rPr>
        <w:t xml:space="preserve">e Procesos </w:t>
      </w:r>
      <w:r>
        <w:rPr>
          <w:b/>
          <w:bCs/>
        </w:rPr>
        <w:t>d</w:t>
      </w:r>
      <w:r w:rsidRPr="00E11C10">
        <w:rPr>
          <w:b/>
          <w:bCs/>
        </w:rPr>
        <w:t xml:space="preserve">e Emergencia </w:t>
      </w:r>
    </w:p>
    <w:p w14:paraId="46B7C96B" w14:textId="2D955492" w:rsidR="00BC27E9" w:rsidRPr="00E11C10" w:rsidRDefault="00E11C10" w:rsidP="00E11C10">
      <w:pPr>
        <w:pStyle w:val="EstilodePrrafoNormal1RdeC"/>
        <w:spacing w:line="240" w:lineRule="auto"/>
        <w:jc w:val="center"/>
        <w:rPr>
          <w:b/>
          <w:bCs/>
        </w:rPr>
      </w:pPr>
      <w:r>
        <w:rPr>
          <w:b/>
          <w:bCs/>
        </w:rPr>
        <w:t>e</w:t>
      </w:r>
      <w:r w:rsidRPr="00E11C10">
        <w:rPr>
          <w:b/>
          <w:bCs/>
        </w:rPr>
        <w:t>nero-</w:t>
      </w:r>
      <w:r>
        <w:rPr>
          <w:b/>
          <w:bCs/>
        </w:rPr>
        <w:t>d</w:t>
      </w:r>
      <w:r w:rsidRPr="00E11C10">
        <w:rPr>
          <w:b/>
          <w:bCs/>
        </w:rPr>
        <w:t>iciembre</w:t>
      </w:r>
      <w:r>
        <w:rPr>
          <w:b/>
          <w:bCs/>
        </w:rPr>
        <w:t xml:space="preserve"> </w:t>
      </w:r>
      <w:r w:rsidRPr="00E11C10">
        <w:rPr>
          <w:b/>
          <w:bCs/>
        </w:rPr>
        <w:t>2025</w:t>
      </w:r>
    </w:p>
    <w:p w14:paraId="6AC75B15" w14:textId="77777777" w:rsidR="00BC27E9" w:rsidRPr="00954407" w:rsidRDefault="00BC27E9" w:rsidP="00BC27E9">
      <w:pPr>
        <w:pStyle w:val="EstilodePrrafoNormal1RdeC"/>
      </w:pPr>
    </w:p>
    <w:p w14:paraId="7CFE2E29" w14:textId="77777777" w:rsidR="00BC27E9" w:rsidRPr="00954407" w:rsidRDefault="00BC27E9" w:rsidP="00BC27E9">
      <w:pPr>
        <w:pStyle w:val="EstilodePrrafoNormal1RdeC"/>
      </w:pPr>
      <w:r w:rsidRPr="00954407">
        <w:rPr>
          <w:rFonts w:eastAsia="Calibri"/>
          <w:noProof/>
          <w:color w:val="auto"/>
          <w:spacing w:val="0"/>
          <w:sz w:val="22"/>
          <w:lang w:eastAsia="es-DO"/>
        </w:rPr>
        <w:drawing>
          <wp:inline distT="0" distB="0" distL="0" distR="0" wp14:anchorId="37631C77" wp14:editId="7047DD64">
            <wp:extent cx="5107701" cy="3442915"/>
            <wp:effectExtent l="0" t="0" r="0" b="571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t="26241"/>
                    <a:stretch>
                      <a:fillRect/>
                    </a:stretch>
                  </pic:blipFill>
                  <pic:spPr bwMode="auto">
                    <a:xfrm>
                      <a:off x="0" y="0"/>
                      <a:ext cx="5113057" cy="3446526"/>
                    </a:xfrm>
                    <a:prstGeom prst="rect">
                      <a:avLst/>
                    </a:prstGeom>
                    <a:noFill/>
                    <a:ln>
                      <a:noFill/>
                    </a:ln>
                  </pic:spPr>
                </pic:pic>
              </a:graphicData>
            </a:graphic>
          </wp:inline>
        </w:drawing>
      </w:r>
    </w:p>
    <w:p w14:paraId="3E3DCCB6" w14:textId="77777777" w:rsidR="00BC27E9" w:rsidRPr="00954407" w:rsidRDefault="00BC27E9" w:rsidP="00BC27E9">
      <w:pPr>
        <w:pStyle w:val="EstilodePrrafoNormal1RdeC"/>
      </w:pPr>
    </w:p>
    <w:p w14:paraId="63E338A8" w14:textId="77777777" w:rsidR="00BC27E9" w:rsidRPr="00954407" w:rsidRDefault="00BC27E9" w:rsidP="00BC27E9">
      <w:pPr>
        <w:pStyle w:val="EstilodePrrafoNormal1RdeC"/>
      </w:pPr>
    </w:p>
    <w:p w14:paraId="1F017D5E" w14:textId="77777777" w:rsidR="00BC27E9" w:rsidRPr="00634A56" w:rsidRDefault="00BC27E9" w:rsidP="00634A56">
      <w:pPr>
        <w:pStyle w:val="Heading2"/>
        <w:rPr>
          <w:rFonts w:ascii="Times New Roman" w:hAnsi="Times New Roman" w:cs="Times New Roman"/>
          <w:b/>
          <w:bCs/>
          <w:color w:val="767171"/>
          <w:sz w:val="24"/>
          <w:szCs w:val="24"/>
        </w:rPr>
      </w:pPr>
      <w:r w:rsidRPr="00634A56">
        <w:rPr>
          <w:rFonts w:ascii="Times New Roman" w:hAnsi="Times New Roman" w:cs="Times New Roman"/>
          <w:b/>
          <w:bCs/>
          <w:color w:val="767171"/>
          <w:sz w:val="24"/>
          <w:szCs w:val="24"/>
        </w:rPr>
        <w:t xml:space="preserve"> </w:t>
      </w:r>
      <w:bookmarkStart w:id="181" w:name="_Toc217402159"/>
      <w:r w:rsidRPr="00634A56">
        <w:rPr>
          <w:rFonts w:ascii="Times New Roman" w:hAnsi="Times New Roman" w:cs="Times New Roman"/>
          <w:b/>
          <w:bCs/>
          <w:color w:val="767171"/>
          <w:sz w:val="24"/>
          <w:szCs w:val="24"/>
        </w:rPr>
        <w:t>Procesos de Emergencia de Obras Científicas, Técnicas y Artísticas</w:t>
      </w:r>
      <w:bookmarkEnd w:id="181"/>
    </w:p>
    <w:p w14:paraId="17334E0D" w14:textId="77777777" w:rsidR="00BC27E9" w:rsidRPr="00954407" w:rsidRDefault="00BC27E9" w:rsidP="00BC27E9">
      <w:pPr>
        <w:pStyle w:val="EstilodePrrafoNormal1RdeC"/>
      </w:pPr>
    </w:p>
    <w:p w14:paraId="26460677" w14:textId="77777777" w:rsidR="00BC27E9" w:rsidRPr="00954407" w:rsidRDefault="00BC27E9" w:rsidP="00BC27E9">
      <w:pPr>
        <w:pStyle w:val="EstilodePrrafoNormal1RdeC"/>
        <w:rPr>
          <w:rFonts w:eastAsia="Calibri"/>
        </w:rPr>
      </w:pPr>
      <w:r w:rsidRPr="00954407">
        <w:rPr>
          <w:rFonts w:eastAsia="Calibri"/>
        </w:rPr>
        <w:t xml:space="preserve">A continuación, se presentan los dos (2) procesos relativos a la categoría Obras Científicas, Técnicas y Artísticas, realizados durante el período enero-diciembre del año 2025, el primero fue cancelado el pliego y el segundo proceso fue adjudicado. </w:t>
      </w:r>
    </w:p>
    <w:p w14:paraId="6772D07B" w14:textId="77777777" w:rsidR="00BC27E9" w:rsidRPr="00954407" w:rsidRDefault="00BC27E9" w:rsidP="00BC27E9">
      <w:pPr>
        <w:pStyle w:val="EstilodePrrafoNormal1RdeC"/>
        <w:rPr>
          <w:rFonts w:eastAsia="Calibri"/>
        </w:rPr>
      </w:pPr>
    </w:p>
    <w:p w14:paraId="3AB4E2F0" w14:textId="77777777" w:rsidR="00BC27E9" w:rsidRPr="00954407" w:rsidRDefault="00BC27E9" w:rsidP="00BC27E9">
      <w:pPr>
        <w:pStyle w:val="EstilodePrrafoNormal1RdeC"/>
        <w:rPr>
          <w:rFonts w:eastAsia="Calibri"/>
        </w:rPr>
      </w:pPr>
    </w:p>
    <w:p w14:paraId="7BE2FAE2" w14:textId="29F16AA7" w:rsidR="00BC27E9" w:rsidRPr="00E11C10" w:rsidRDefault="00E11C10" w:rsidP="00E11C10">
      <w:pPr>
        <w:pStyle w:val="EstilodePrrafoNormal1RdeC"/>
        <w:spacing w:line="240" w:lineRule="auto"/>
        <w:jc w:val="center"/>
        <w:rPr>
          <w:b/>
          <w:bCs/>
        </w:rPr>
      </w:pPr>
      <w:r w:rsidRPr="00E11C10">
        <w:rPr>
          <w:b/>
          <w:bCs/>
        </w:rPr>
        <w:t xml:space="preserve">Resumen </w:t>
      </w:r>
      <w:r>
        <w:rPr>
          <w:b/>
          <w:bCs/>
        </w:rPr>
        <w:t>d</w:t>
      </w:r>
      <w:r w:rsidRPr="00E11C10">
        <w:rPr>
          <w:b/>
          <w:bCs/>
        </w:rPr>
        <w:t xml:space="preserve">e Procesos </w:t>
      </w:r>
      <w:r>
        <w:rPr>
          <w:b/>
          <w:bCs/>
        </w:rPr>
        <w:t>d</w:t>
      </w:r>
      <w:r w:rsidRPr="00E11C10">
        <w:rPr>
          <w:b/>
          <w:bCs/>
        </w:rPr>
        <w:t xml:space="preserve">e Obras Científicas, Técnicas </w:t>
      </w:r>
      <w:r>
        <w:rPr>
          <w:b/>
          <w:bCs/>
        </w:rPr>
        <w:t>d</w:t>
      </w:r>
      <w:r w:rsidRPr="00E11C10">
        <w:rPr>
          <w:b/>
          <w:bCs/>
        </w:rPr>
        <w:t xml:space="preserve"> Artísticas Enero-Diciembre</w:t>
      </w:r>
      <w:r>
        <w:rPr>
          <w:b/>
          <w:bCs/>
        </w:rPr>
        <w:t xml:space="preserve"> </w:t>
      </w:r>
      <w:r w:rsidRPr="00E11C10">
        <w:rPr>
          <w:b/>
          <w:bCs/>
        </w:rPr>
        <w:t>2025</w:t>
      </w:r>
    </w:p>
    <w:p w14:paraId="4DBFB267" w14:textId="77777777" w:rsidR="00BC27E9" w:rsidRPr="00954407" w:rsidRDefault="00BC27E9" w:rsidP="00BC27E9">
      <w:pPr>
        <w:pStyle w:val="EstilodePrrafoNormal1RdeC"/>
      </w:pPr>
    </w:p>
    <w:p w14:paraId="066804EE" w14:textId="77777777" w:rsidR="00BC27E9" w:rsidRPr="00954407" w:rsidRDefault="00BC27E9" w:rsidP="00BC27E9">
      <w:pPr>
        <w:pStyle w:val="EstilodePrrafoNormal1RdeC"/>
      </w:pPr>
      <w:r w:rsidRPr="00954407">
        <w:rPr>
          <w:rFonts w:eastAsia="Calibri"/>
          <w:noProof/>
          <w:color w:val="auto"/>
          <w:spacing w:val="0"/>
          <w:sz w:val="22"/>
          <w:lang w:eastAsia="es-DO"/>
        </w:rPr>
        <w:drawing>
          <wp:inline distT="0" distB="0" distL="0" distR="0" wp14:anchorId="10052F34" wp14:editId="31F0AAB1">
            <wp:extent cx="5107305" cy="1594586"/>
            <wp:effectExtent l="0" t="0" r="0" b="5715"/>
            <wp:docPr id="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7">
                      <a:extLst>
                        <a:ext uri="{28A0092B-C50C-407E-A947-70E740481C1C}">
                          <a14:useLocalDpi xmlns:a14="http://schemas.microsoft.com/office/drawing/2010/main" val="0"/>
                        </a:ext>
                      </a:extLst>
                    </a:blip>
                    <a:srcRect t="48006"/>
                    <a:stretch>
                      <a:fillRect/>
                    </a:stretch>
                  </pic:blipFill>
                  <pic:spPr bwMode="auto">
                    <a:xfrm>
                      <a:off x="0" y="0"/>
                      <a:ext cx="5139464" cy="1604627"/>
                    </a:xfrm>
                    <a:prstGeom prst="rect">
                      <a:avLst/>
                    </a:prstGeom>
                    <a:noFill/>
                    <a:ln>
                      <a:noFill/>
                    </a:ln>
                  </pic:spPr>
                </pic:pic>
              </a:graphicData>
            </a:graphic>
          </wp:inline>
        </w:drawing>
      </w:r>
    </w:p>
    <w:p w14:paraId="5F91CCB1" w14:textId="77777777" w:rsidR="00BC27E9" w:rsidRPr="00954407" w:rsidRDefault="00BC27E9" w:rsidP="00BC27E9">
      <w:pPr>
        <w:pStyle w:val="EstilodePrrafoNormal1RdeC"/>
      </w:pPr>
    </w:p>
    <w:p w14:paraId="77667EE9" w14:textId="77777777" w:rsidR="00BC27E9" w:rsidRPr="00954407" w:rsidRDefault="00BC27E9" w:rsidP="00BC27E9">
      <w:pPr>
        <w:pStyle w:val="EstilodePrrafoNormal1RdeC"/>
      </w:pPr>
    </w:p>
    <w:p w14:paraId="321F9DF7" w14:textId="7AE7CDF3" w:rsidR="00BC27E9" w:rsidRPr="00634A56" w:rsidRDefault="00634A56" w:rsidP="00634A56">
      <w:pPr>
        <w:pStyle w:val="Heading2"/>
        <w:rPr>
          <w:rFonts w:ascii="Times New Roman" w:hAnsi="Times New Roman" w:cs="Times New Roman"/>
          <w:b/>
          <w:bCs/>
          <w:color w:val="767171"/>
          <w:sz w:val="24"/>
          <w:szCs w:val="24"/>
        </w:rPr>
      </w:pPr>
      <w:r>
        <w:rPr>
          <w:rFonts w:ascii="Times New Roman" w:hAnsi="Times New Roman" w:cs="Times New Roman"/>
          <w:b/>
          <w:bCs/>
          <w:color w:val="767171"/>
          <w:sz w:val="24"/>
          <w:szCs w:val="24"/>
        </w:rPr>
        <w:t xml:space="preserve"> </w:t>
      </w:r>
      <w:bookmarkStart w:id="182" w:name="_Toc217402160"/>
      <w:r w:rsidR="00BC27E9" w:rsidRPr="00634A56">
        <w:rPr>
          <w:rFonts w:ascii="Times New Roman" w:hAnsi="Times New Roman" w:cs="Times New Roman"/>
          <w:b/>
          <w:bCs/>
          <w:color w:val="767171"/>
          <w:sz w:val="24"/>
          <w:szCs w:val="24"/>
        </w:rPr>
        <w:t>Procesos de Proveedor Único</w:t>
      </w:r>
      <w:bookmarkEnd w:id="182"/>
    </w:p>
    <w:p w14:paraId="01FBE72C" w14:textId="77777777" w:rsidR="00BC27E9" w:rsidRPr="00954407" w:rsidRDefault="00BC27E9" w:rsidP="00BC27E9">
      <w:pPr>
        <w:pStyle w:val="EstilodePrrafoNormal1RdeC"/>
      </w:pPr>
    </w:p>
    <w:p w14:paraId="30F7AEA3" w14:textId="77777777" w:rsidR="00BC27E9" w:rsidRDefault="00BC27E9" w:rsidP="00BC27E9">
      <w:pPr>
        <w:pStyle w:val="EstilodePrrafoNormal1RdeC"/>
        <w:rPr>
          <w:rFonts w:eastAsia="Calibri"/>
        </w:rPr>
      </w:pPr>
      <w:r w:rsidRPr="00954407">
        <w:rPr>
          <w:rFonts w:eastAsia="Calibri"/>
        </w:rPr>
        <w:t>La institución, realizó además durante el periodo enero-diciembre del 2025, cinco (5) procesos de la tipología “Proveedor Único”, de los cuales dos (2) fueron cancelados los pliegos, un  (1) proceso se encuentra la Oferta en Análisis y los dos (2) restantes fueron adjudicados, como se detalla en el cuadro siguiente:</w:t>
      </w:r>
    </w:p>
    <w:p w14:paraId="5355FFFD" w14:textId="77777777" w:rsidR="00E11C10" w:rsidRDefault="00E11C10" w:rsidP="00BC27E9">
      <w:pPr>
        <w:pStyle w:val="EstilodePrrafoNormal1RdeC"/>
        <w:rPr>
          <w:rFonts w:eastAsia="Calibri"/>
        </w:rPr>
      </w:pPr>
    </w:p>
    <w:p w14:paraId="33267BFB" w14:textId="77777777" w:rsidR="00E11C10" w:rsidRDefault="00E11C10" w:rsidP="00BC27E9">
      <w:pPr>
        <w:pStyle w:val="EstilodePrrafoNormal1RdeC"/>
        <w:rPr>
          <w:rFonts w:eastAsia="Calibri"/>
        </w:rPr>
      </w:pPr>
    </w:p>
    <w:p w14:paraId="51EA1C27" w14:textId="77777777" w:rsidR="00E11C10" w:rsidRDefault="00E11C10" w:rsidP="00BC27E9">
      <w:pPr>
        <w:pStyle w:val="EstilodePrrafoNormal1RdeC"/>
        <w:rPr>
          <w:rFonts w:eastAsia="Calibri"/>
        </w:rPr>
      </w:pPr>
    </w:p>
    <w:p w14:paraId="425B28ED" w14:textId="77777777" w:rsidR="00E11C10" w:rsidRDefault="00E11C10" w:rsidP="00BC27E9">
      <w:pPr>
        <w:pStyle w:val="EstilodePrrafoNormal1RdeC"/>
        <w:rPr>
          <w:rFonts w:eastAsia="Calibri"/>
        </w:rPr>
      </w:pPr>
    </w:p>
    <w:p w14:paraId="66382A8A" w14:textId="77777777" w:rsidR="00E11C10" w:rsidRDefault="00E11C10" w:rsidP="00BC27E9">
      <w:pPr>
        <w:pStyle w:val="EstilodePrrafoNormal1RdeC"/>
        <w:rPr>
          <w:rFonts w:eastAsia="Calibri"/>
        </w:rPr>
      </w:pPr>
    </w:p>
    <w:p w14:paraId="0461CF22" w14:textId="77777777" w:rsidR="00E11C10" w:rsidRDefault="00E11C10" w:rsidP="00BC27E9">
      <w:pPr>
        <w:pStyle w:val="EstilodePrrafoNormal1RdeC"/>
        <w:rPr>
          <w:rFonts w:eastAsia="Calibri"/>
        </w:rPr>
      </w:pPr>
    </w:p>
    <w:p w14:paraId="2F1E5D43" w14:textId="77777777" w:rsidR="00E11C10" w:rsidRDefault="00E11C10" w:rsidP="00BC27E9">
      <w:pPr>
        <w:pStyle w:val="EstilodePrrafoNormal1RdeC"/>
        <w:rPr>
          <w:rFonts w:eastAsia="Calibri"/>
        </w:rPr>
      </w:pPr>
    </w:p>
    <w:p w14:paraId="2412F704" w14:textId="77777777" w:rsidR="00E11C10" w:rsidRDefault="00E11C10" w:rsidP="00BC27E9">
      <w:pPr>
        <w:pStyle w:val="EstilodePrrafoNormal1RdeC"/>
        <w:rPr>
          <w:rFonts w:eastAsia="Calibri"/>
        </w:rPr>
      </w:pPr>
    </w:p>
    <w:p w14:paraId="066C118A" w14:textId="77777777" w:rsidR="00E11C10" w:rsidRDefault="00E11C10" w:rsidP="00BC27E9">
      <w:pPr>
        <w:pStyle w:val="EstilodePrrafoNormal1RdeC"/>
        <w:rPr>
          <w:rFonts w:eastAsia="Calibri"/>
        </w:rPr>
      </w:pPr>
    </w:p>
    <w:p w14:paraId="6D58A51C" w14:textId="77777777" w:rsidR="00E11C10" w:rsidRPr="00954407" w:rsidRDefault="00E11C10" w:rsidP="00BC27E9">
      <w:pPr>
        <w:pStyle w:val="EstilodePrrafoNormal1RdeC"/>
        <w:rPr>
          <w:rFonts w:eastAsia="Calibri"/>
        </w:rPr>
      </w:pPr>
    </w:p>
    <w:p w14:paraId="28F36514" w14:textId="4B848ABF" w:rsidR="00BC27E9" w:rsidRPr="00E11C10" w:rsidRDefault="00E11C10" w:rsidP="00E11C10">
      <w:pPr>
        <w:pStyle w:val="EstilodePrrafoNormal1RdeC"/>
        <w:spacing w:line="240" w:lineRule="auto"/>
        <w:jc w:val="center"/>
        <w:rPr>
          <w:b/>
          <w:bCs/>
        </w:rPr>
      </w:pPr>
      <w:r w:rsidRPr="00E11C10">
        <w:rPr>
          <w:b/>
          <w:bCs/>
        </w:rPr>
        <w:lastRenderedPageBreak/>
        <w:t xml:space="preserve">Resumen </w:t>
      </w:r>
      <w:r>
        <w:rPr>
          <w:b/>
          <w:bCs/>
        </w:rPr>
        <w:t>d</w:t>
      </w:r>
      <w:r w:rsidRPr="00E11C10">
        <w:rPr>
          <w:b/>
          <w:bCs/>
        </w:rPr>
        <w:t xml:space="preserve">e Procesos </w:t>
      </w:r>
      <w:r>
        <w:rPr>
          <w:b/>
          <w:bCs/>
        </w:rPr>
        <w:t>d</w:t>
      </w:r>
      <w:r w:rsidRPr="00E11C10">
        <w:rPr>
          <w:b/>
          <w:bCs/>
        </w:rPr>
        <w:t>e Proveedor Único</w:t>
      </w:r>
    </w:p>
    <w:p w14:paraId="1C797D25" w14:textId="34F4AF2F" w:rsidR="00BC27E9" w:rsidRPr="00E11C10" w:rsidRDefault="00E11C10" w:rsidP="00E11C10">
      <w:pPr>
        <w:pStyle w:val="EstilodePrrafoNormal1RdeC"/>
        <w:spacing w:line="240" w:lineRule="auto"/>
        <w:jc w:val="center"/>
        <w:rPr>
          <w:b/>
          <w:bCs/>
        </w:rPr>
      </w:pPr>
      <w:r>
        <w:rPr>
          <w:b/>
          <w:bCs/>
        </w:rPr>
        <w:t>e</w:t>
      </w:r>
      <w:r w:rsidRPr="00E11C10">
        <w:rPr>
          <w:b/>
          <w:bCs/>
        </w:rPr>
        <w:t>nero-</w:t>
      </w:r>
      <w:r>
        <w:rPr>
          <w:b/>
          <w:bCs/>
        </w:rPr>
        <w:t>d</w:t>
      </w:r>
      <w:r w:rsidRPr="00E11C10">
        <w:rPr>
          <w:b/>
          <w:bCs/>
        </w:rPr>
        <w:t>iciembre</w:t>
      </w:r>
      <w:r>
        <w:rPr>
          <w:b/>
          <w:bCs/>
        </w:rPr>
        <w:t xml:space="preserve"> </w:t>
      </w:r>
      <w:r w:rsidRPr="00E11C10">
        <w:rPr>
          <w:b/>
          <w:bCs/>
        </w:rPr>
        <w:t>2025</w:t>
      </w:r>
    </w:p>
    <w:p w14:paraId="7BC2B5DA" w14:textId="77777777" w:rsidR="00BC27E9" w:rsidRPr="00954407" w:rsidRDefault="00BC27E9" w:rsidP="00BC27E9">
      <w:pPr>
        <w:pStyle w:val="EstilodePrrafoNormal1RdeC"/>
      </w:pPr>
    </w:p>
    <w:p w14:paraId="3620D30D" w14:textId="77777777" w:rsidR="00BC27E9" w:rsidRPr="00954407" w:rsidRDefault="00BC27E9" w:rsidP="00BC27E9">
      <w:pPr>
        <w:pStyle w:val="EstilodePrrafoNormal1RdeC"/>
      </w:pPr>
      <w:r w:rsidRPr="00954407">
        <w:rPr>
          <w:rFonts w:eastAsia="Calibri"/>
          <w:noProof/>
          <w:color w:val="auto"/>
          <w:spacing w:val="0"/>
          <w:sz w:val="22"/>
          <w:lang w:eastAsia="es-DO"/>
        </w:rPr>
        <w:drawing>
          <wp:inline distT="0" distB="0" distL="0" distR="0" wp14:anchorId="78D1291B" wp14:editId="0B22E4BA">
            <wp:extent cx="5144494" cy="3806184"/>
            <wp:effectExtent l="0" t="0" r="0" b="0"/>
            <wp:docPr id="4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8">
                      <a:extLst>
                        <a:ext uri="{28A0092B-C50C-407E-A947-70E740481C1C}">
                          <a14:useLocalDpi xmlns:a14="http://schemas.microsoft.com/office/drawing/2010/main" val="0"/>
                        </a:ext>
                      </a:extLst>
                    </a:blip>
                    <a:srcRect t="27994"/>
                    <a:stretch>
                      <a:fillRect/>
                    </a:stretch>
                  </pic:blipFill>
                  <pic:spPr bwMode="auto">
                    <a:xfrm>
                      <a:off x="0" y="0"/>
                      <a:ext cx="5151706" cy="3811520"/>
                    </a:xfrm>
                    <a:prstGeom prst="rect">
                      <a:avLst/>
                    </a:prstGeom>
                    <a:noFill/>
                    <a:ln>
                      <a:noFill/>
                    </a:ln>
                  </pic:spPr>
                </pic:pic>
              </a:graphicData>
            </a:graphic>
          </wp:inline>
        </w:drawing>
      </w:r>
      <w:r w:rsidRPr="00954407">
        <w:t xml:space="preserve"> </w:t>
      </w:r>
    </w:p>
    <w:p w14:paraId="244D60FB" w14:textId="77777777" w:rsidR="00BC27E9" w:rsidRPr="00954407" w:rsidRDefault="00BC27E9" w:rsidP="00BC27E9">
      <w:pPr>
        <w:pStyle w:val="EstilodePrrafoNormal1RdeC"/>
      </w:pPr>
    </w:p>
    <w:p w14:paraId="478E4D0F" w14:textId="77777777" w:rsidR="00BC27E9" w:rsidRPr="00954407" w:rsidRDefault="00BC27E9" w:rsidP="00BC27E9">
      <w:pPr>
        <w:pStyle w:val="EstilodePrrafoNormal1RdeC"/>
      </w:pPr>
    </w:p>
    <w:p w14:paraId="392F040D" w14:textId="3E5E3FD5" w:rsidR="00BC27E9" w:rsidRPr="00634A56" w:rsidRDefault="00634A56" w:rsidP="00634A56">
      <w:pPr>
        <w:pStyle w:val="Heading2"/>
        <w:rPr>
          <w:rFonts w:ascii="Times New Roman" w:hAnsi="Times New Roman" w:cs="Times New Roman"/>
          <w:b/>
          <w:bCs/>
          <w:color w:val="767171"/>
          <w:sz w:val="24"/>
          <w:szCs w:val="24"/>
        </w:rPr>
      </w:pPr>
      <w:r>
        <w:rPr>
          <w:rFonts w:ascii="Times New Roman" w:hAnsi="Times New Roman" w:cs="Times New Roman"/>
          <w:b/>
          <w:bCs/>
          <w:color w:val="767171"/>
          <w:sz w:val="24"/>
          <w:szCs w:val="24"/>
        </w:rPr>
        <w:t xml:space="preserve"> </w:t>
      </w:r>
      <w:bookmarkStart w:id="183" w:name="_Toc217402161"/>
      <w:r w:rsidR="00BC27E9" w:rsidRPr="00634A56">
        <w:rPr>
          <w:rFonts w:ascii="Times New Roman" w:hAnsi="Times New Roman" w:cs="Times New Roman"/>
          <w:b/>
          <w:bCs/>
          <w:color w:val="767171"/>
          <w:sz w:val="24"/>
          <w:szCs w:val="24"/>
        </w:rPr>
        <w:t>Procesos de Excepción de Compras</w:t>
      </w:r>
      <w:bookmarkEnd w:id="183"/>
    </w:p>
    <w:p w14:paraId="5BBB4B20" w14:textId="77777777" w:rsidR="00BC27E9" w:rsidRPr="00954407" w:rsidRDefault="00BC27E9" w:rsidP="00BC27E9">
      <w:pPr>
        <w:pStyle w:val="EstilodePrrafoNormal1RdeC"/>
      </w:pPr>
    </w:p>
    <w:p w14:paraId="3B3DF3C0" w14:textId="77777777" w:rsidR="00BC27E9" w:rsidRPr="00954407" w:rsidRDefault="00BC27E9" w:rsidP="00BC27E9">
      <w:pPr>
        <w:pStyle w:val="EstilodePrrafoNormal1RdeC"/>
      </w:pPr>
      <w:r w:rsidRPr="00954407">
        <w:t xml:space="preserve">Durante </w:t>
      </w:r>
      <w:r w:rsidRPr="00954407">
        <w:rPr>
          <w:rFonts w:eastAsia="Calibri"/>
        </w:rPr>
        <w:t xml:space="preserve">enero-diciembre del año 2025, el MOPC llevó a efecto un total de diecisiete (17) procesos de Excepción de Compras, los cuales en su mayoría son procesos de contratación de servicios de publicidad, siendo adjudicados </w:t>
      </w:r>
    </w:p>
    <w:p w14:paraId="52BCE085" w14:textId="77777777" w:rsidR="00BC27E9" w:rsidRPr="00954407" w:rsidRDefault="00BC27E9" w:rsidP="00BC27E9">
      <w:pPr>
        <w:pStyle w:val="EstilodePrrafoNormal1RdeC"/>
      </w:pPr>
      <w:r w:rsidRPr="00954407">
        <w:t>Quince (15) procesos, dos (2) definidos PEPB-MOPC-0003 y PEPB-MOPC-0009 fueron desestimado y No Ejecutado, respectivamente. El resumen de los procesos de excepción de compras, se presenta en el siguiente cuadro:</w:t>
      </w:r>
    </w:p>
    <w:p w14:paraId="32FE2B01" w14:textId="77777777" w:rsidR="00BC27E9" w:rsidRDefault="00BC27E9" w:rsidP="00BC27E9">
      <w:pPr>
        <w:pStyle w:val="EstilodePrrafoNormal1RdeC"/>
      </w:pPr>
    </w:p>
    <w:p w14:paraId="34904DDE" w14:textId="77777777" w:rsidR="00E11C10" w:rsidRPr="00954407" w:rsidRDefault="00E11C10" w:rsidP="00BC27E9">
      <w:pPr>
        <w:pStyle w:val="EstilodePrrafoNormal1RdeC"/>
      </w:pPr>
    </w:p>
    <w:p w14:paraId="5BC4934A" w14:textId="324D6FBC" w:rsidR="00BC27E9" w:rsidRPr="00E11C10" w:rsidRDefault="00E11C10" w:rsidP="00E11C10">
      <w:pPr>
        <w:pStyle w:val="EstilodePrrafoNormal1RdeC"/>
        <w:spacing w:line="240" w:lineRule="auto"/>
        <w:jc w:val="center"/>
        <w:rPr>
          <w:b/>
          <w:bCs/>
        </w:rPr>
      </w:pPr>
      <w:r w:rsidRPr="00E11C10">
        <w:rPr>
          <w:b/>
          <w:bCs/>
        </w:rPr>
        <w:lastRenderedPageBreak/>
        <w:t xml:space="preserve">Resumen </w:t>
      </w:r>
      <w:r>
        <w:rPr>
          <w:b/>
          <w:bCs/>
        </w:rPr>
        <w:t>d</w:t>
      </w:r>
      <w:r w:rsidRPr="00E11C10">
        <w:rPr>
          <w:b/>
          <w:bCs/>
        </w:rPr>
        <w:t xml:space="preserve">e Procesos </w:t>
      </w:r>
      <w:r>
        <w:rPr>
          <w:b/>
          <w:bCs/>
        </w:rPr>
        <w:t>d</w:t>
      </w:r>
      <w:r w:rsidRPr="00E11C10">
        <w:rPr>
          <w:b/>
          <w:bCs/>
        </w:rPr>
        <w:t xml:space="preserve">e Excepción </w:t>
      </w:r>
      <w:r>
        <w:rPr>
          <w:b/>
          <w:bCs/>
        </w:rPr>
        <w:t>d</w:t>
      </w:r>
      <w:r w:rsidRPr="00E11C10">
        <w:rPr>
          <w:b/>
          <w:bCs/>
        </w:rPr>
        <w:t>e Compras</w:t>
      </w:r>
    </w:p>
    <w:p w14:paraId="1F535421" w14:textId="214025BE" w:rsidR="00BC27E9" w:rsidRPr="00E11C10" w:rsidRDefault="00E11C10" w:rsidP="00E11C10">
      <w:pPr>
        <w:pStyle w:val="EstilodePrrafoNormal1RdeC"/>
        <w:spacing w:line="240" w:lineRule="auto"/>
        <w:jc w:val="center"/>
        <w:rPr>
          <w:b/>
          <w:bCs/>
        </w:rPr>
      </w:pPr>
      <w:r>
        <w:rPr>
          <w:b/>
          <w:bCs/>
        </w:rPr>
        <w:t>e</w:t>
      </w:r>
      <w:r w:rsidRPr="00E11C10">
        <w:rPr>
          <w:b/>
          <w:bCs/>
        </w:rPr>
        <w:t>nero-</w:t>
      </w:r>
      <w:r>
        <w:rPr>
          <w:b/>
          <w:bCs/>
        </w:rPr>
        <w:t>d</w:t>
      </w:r>
      <w:r w:rsidRPr="00E11C10">
        <w:rPr>
          <w:b/>
          <w:bCs/>
        </w:rPr>
        <w:t>iciembre</w:t>
      </w:r>
      <w:r>
        <w:rPr>
          <w:b/>
          <w:bCs/>
        </w:rPr>
        <w:t xml:space="preserve"> </w:t>
      </w:r>
      <w:r w:rsidRPr="00E11C10">
        <w:rPr>
          <w:b/>
          <w:bCs/>
        </w:rPr>
        <w:t>2025</w:t>
      </w:r>
    </w:p>
    <w:p w14:paraId="20F29062" w14:textId="77777777" w:rsidR="00E11C10" w:rsidRDefault="00E11C10" w:rsidP="00BC27E9">
      <w:pPr>
        <w:pStyle w:val="EstilodePrrafoNormal1RdeC"/>
      </w:pPr>
    </w:p>
    <w:p w14:paraId="6A82707A" w14:textId="28F02CC7" w:rsidR="00BC27E9" w:rsidRPr="00954407" w:rsidRDefault="00BC27E9" w:rsidP="00BC27E9">
      <w:pPr>
        <w:pStyle w:val="EstilodePrrafoNormal1RdeC"/>
      </w:pPr>
      <w:r w:rsidRPr="00954407">
        <w:rPr>
          <w:rFonts w:eastAsia="Calibri"/>
          <w:noProof/>
          <w:color w:val="auto"/>
          <w:spacing w:val="0"/>
          <w:sz w:val="22"/>
          <w:lang w:eastAsia="es-DO"/>
        </w:rPr>
        <w:drawing>
          <wp:inline distT="0" distB="0" distL="0" distR="0" wp14:anchorId="54AD670C" wp14:editId="1B570909">
            <wp:extent cx="5184633" cy="5629523"/>
            <wp:effectExtent l="0" t="0" r="0" b="0"/>
            <wp:docPr id="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9">
                      <a:extLst>
                        <a:ext uri="{28A0092B-C50C-407E-A947-70E740481C1C}">
                          <a14:useLocalDpi xmlns:a14="http://schemas.microsoft.com/office/drawing/2010/main" val="0"/>
                        </a:ext>
                      </a:extLst>
                    </a:blip>
                    <a:srcRect b="6058"/>
                    <a:stretch>
                      <a:fillRect/>
                    </a:stretch>
                  </pic:blipFill>
                  <pic:spPr bwMode="auto">
                    <a:xfrm>
                      <a:off x="0" y="0"/>
                      <a:ext cx="5198173" cy="5644225"/>
                    </a:xfrm>
                    <a:prstGeom prst="rect">
                      <a:avLst/>
                    </a:prstGeom>
                    <a:noFill/>
                    <a:ln>
                      <a:noFill/>
                    </a:ln>
                  </pic:spPr>
                </pic:pic>
              </a:graphicData>
            </a:graphic>
          </wp:inline>
        </w:drawing>
      </w:r>
    </w:p>
    <w:p w14:paraId="2921FA06" w14:textId="77777777" w:rsidR="00BC27E9" w:rsidRPr="00954407" w:rsidRDefault="00BC27E9" w:rsidP="00BC27E9">
      <w:pPr>
        <w:pStyle w:val="EstilodePrrafoNormal1RdeC"/>
      </w:pPr>
    </w:p>
    <w:p w14:paraId="17817BC5" w14:textId="77777777" w:rsidR="00BC27E9" w:rsidRPr="00954407" w:rsidRDefault="00BC27E9" w:rsidP="00BC27E9">
      <w:pPr>
        <w:pStyle w:val="EstilodePrrafoNormal1RdeC"/>
      </w:pPr>
      <w:r w:rsidRPr="00954407">
        <w:rPr>
          <w:rFonts w:eastAsia="Calibri"/>
          <w:noProof/>
          <w:color w:val="auto"/>
          <w:spacing w:val="0"/>
          <w:sz w:val="22"/>
          <w:lang w:eastAsia="es-DO"/>
        </w:rPr>
        <w:lastRenderedPageBreak/>
        <w:drawing>
          <wp:inline distT="0" distB="0" distL="0" distR="0" wp14:anchorId="7502514B" wp14:editId="74F59ED5">
            <wp:extent cx="5231497" cy="3339548"/>
            <wp:effectExtent l="0" t="0" r="762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51594" cy="3352377"/>
                    </a:xfrm>
                    <a:prstGeom prst="rect">
                      <a:avLst/>
                    </a:prstGeom>
                    <a:noFill/>
                    <a:ln>
                      <a:noFill/>
                    </a:ln>
                  </pic:spPr>
                </pic:pic>
              </a:graphicData>
            </a:graphic>
          </wp:inline>
        </w:drawing>
      </w:r>
    </w:p>
    <w:p w14:paraId="5D75E1E6" w14:textId="77777777" w:rsidR="00BC27E9" w:rsidRPr="00954407" w:rsidRDefault="00BC27E9" w:rsidP="00BC27E9">
      <w:pPr>
        <w:pStyle w:val="EstilodePrrafoNormal1RdeC"/>
      </w:pPr>
    </w:p>
    <w:p w14:paraId="0E680A47" w14:textId="77777777" w:rsidR="00BC27E9" w:rsidRPr="00954407" w:rsidRDefault="00BC27E9" w:rsidP="00BC27E9">
      <w:pPr>
        <w:pStyle w:val="EstilodePrrafoNormal1RdeC"/>
      </w:pPr>
    </w:p>
    <w:p w14:paraId="485EF17A" w14:textId="228AD408" w:rsidR="00BC27E9" w:rsidRPr="00634A56" w:rsidRDefault="00BC27E9" w:rsidP="00634A56">
      <w:pPr>
        <w:pStyle w:val="Heading2"/>
        <w:rPr>
          <w:rFonts w:ascii="Times New Roman" w:hAnsi="Times New Roman" w:cs="Times New Roman"/>
          <w:b/>
          <w:bCs/>
          <w:color w:val="767171"/>
          <w:sz w:val="24"/>
          <w:szCs w:val="24"/>
        </w:rPr>
      </w:pPr>
      <w:bookmarkStart w:id="184" w:name="_Toc217402162"/>
      <w:r w:rsidRPr="00634A56">
        <w:rPr>
          <w:rFonts w:ascii="Times New Roman" w:hAnsi="Times New Roman" w:cs="Times New Roman"/>
          <w:b/>
          <w:bCs/>
          <w:color w:val="767171"/>
          <w:sz w:val="24"/>
          <w:szCs w:val="24"/>
        </w:rPr>
        <w:t>Procesos de Compras Menores</w:t>
      </w:r>
      <w:bookmarkEnd w:id="184"/>
    </w:p>
    <w:p w14:paraId="7D62AB2F" w14:textId="77777777" w:rsidR="00BC27E9" w:rsidRPr="00954407" w:rsidRDefault="00BC27E9" w:rsidP="00BC27E9">
      <w:pPr>
        <w:pStyle w:val="EstilodePrrafoNormal1RdeC"/>
      </w:pPr>
    </w:p>
    <w:p w14:paraId="4BA46CEF" w14:textId="77777777" w:rsidR="00BC27E9" w:rsidRPr="00954407" w:rsidRDefault="00BC27E9" w:rsidP="00BC27E9">
      <w:pPr>
        <w:pStyle w:val="EstilodePrrafoNormal1RdeC"/>
      </w:pPr>
      <w:r w:rsidRPr="00954407">
        <w:t xml:space="preserve">Durante el periodo enero-diciembre del año 2025, los procesos de compras menores efectuados por el Ministerio de Obras Públicas y Comunicaciones (MOPC), alcanzaron el mayor número de procesos adjudicados del periodo. El resumen de procesos compras menores abiertos alcanzó la suma de sesenta y tres, de los cuales un total de treinta y cinco (35) fueron adjudicados; veinte (20) declarados procesos desiertos; cinco (5) no evaluados, tres (3) pliegos cancelados, El resumen de los procesos de Compras Menores registrados en el referido periodo, se presenta en los cuadros siguientes: </w:t>
      </w:r>
    </w:p>
    <w:p w14:paraId="7DF3F486" w14:textId="77777777" w:rsidR="00BC27E9" w:rsidRPr="00954407" w:rsidRDefault="00BC27E9" w:rsidP="00BC27E9">
      <w:pPr>
        <w:pStyle w:val="EstilodePrrafoNormal1RdeC"/>
      </w:pPr>
    </w:p>
    <w:p w14:paraId="12F8A182" w14:textId="77777777" w:rsidR="00BC27E9" w:rsidRPr="00954407" w:rsidRDefault="00BC27E9" w:rsidP="00BC27E9">
      <w:pPr>
        <w:pStyle w:val="EstilodePrrafoNormal1RdeC"/>
      </w:pPr>
    </w:p>
    <w:p w14:paraId="6758B032" w14:textId="77777777" w:rsidR="00BC27E9" w:rsidRPr="00954407" w:rsidRDefault="00BC27E9" w:rsidP="00BC27E9">
      <w:pPr>
        <w:pStyle w:val="EstilodePrrafoNormal1RdeC"/>
      </w:pPr>
    </w:p>
    <w:p w14:paraId="506C624D" w14:textId="77777777" w:rsidR="00BC27E9" w:rsidRPr="00954407" w:rsidRDefault="00BC27E9" w:rsidP="00BC27E9">
      <w:pPr>
        <w:pStyle w:val="EstilodePrrafoNormal1RdeC"/>
      </w:pPr>
    </w:p>
    <w:p w14:paraId="690412A4" w14:textId="137E504D" w:rsidR="00BC27E9" w:rsidRPr="00E11C10" w:rsidRDefault="00E11C10" w:rsidP="00E11C10">
      <w:pPr>
        <w:pStyle w:val="EstilodePrrafoNormal1RdeC"/>
        <w:spacing w:line="240" w:lineRule="auto"/>
        <w:jc w:val="center"/>
        <w:rPr>
          <w:b/>
          <w:bCs/>
        </w:rPr>
      </w:pPr>
      <w:r w:rsidRPr="00E11C10">
        <w:rPr>
          <w:b/>
          <w:bCs/>
        </w:rPr>
        <w:lastRenderedPageBreak/>
        <w:t xml:space="preserve">Resumen </w:t>
      </w:r>
      <w:r>
        <w:rPr>
          <w:b/>
          <w:bCs/>
        </w:rPr>
        <w:t>d</w:t>
      </w:r>
      <w:r w:rsidRPr="00E11C10">
        <w:rPr>
          <w:b/>
          <w:bCs/>
        </w:rPr>
        <w:t xml:space="preserve">e Procesos </w:t>
      </w:r>
      <w:r>
        <w:rPr>
          <w:b/>
          <w:bCs/>
        </w:rPr>
        <w:t>d</w:t>
      </w:r>
      <w:r w:rsidRPr="00E11C10">
        <w:rPr>
          <w:b/>
          <w:bCs/>
        </w:rPr>
        <w:t>e Compras Menores</w:t>
      </w:r>
    </w:p>
    <w:p w14:paraId="5C4C0248" w14:textId="6248E32D" w:rsidR="00BC27E9" w:rsidRPr="00E11C10" w:rsidRDefault="00E11C10" w:rsidP="00E11C10">
      <w:pPr>
        <w:pStyle w:val="EstilodePrrafoNormal1RdeC"/>
        <w:spacing w:line="240" w:lineRule="auto"/>
        <w:jc w:val="center"/>
        <w:rPr>
          <w:b/>
          <w:bCs/>
        </w:rPr>
      </w:pPr>
      <w:r>
        <w:rPr>
          <w:b/>
          <w:bCs/>
        </w:rPr>
        <w:t>e</w:t>
      </w:r>
      <w:r w:rsidRPr="00E11C10">
        <w:rPr>
          <w:b/>
          <w:bCs/>
        </w:rPr>
        <w:t>nero-</w:t>
      </w:r>
      <w:r>
        <w:rPr>
          <w:b/>
          <w:bCs/>
        </w:rPr>
        <w:t>d</w:t>
      </w:r>
      <w:r w:rsidRPr="00E11C10">
        <w:rPr>
          <w:b/>
          <w:bCs/>
        </w:rPr>
        <w:t>iciembre</w:t>
      </w:r>
      <w:r>
        <w:rPr>
          <w:b/>
          <w:bCs/>
        </w:rPr>
        <w:t xml:space="preserve"> </w:t>
      </w:r>
      <w:r w:rsidRPr="00E11C10">
        <w:rPr>
          <w:b/>
          <w:bCs/>
        </w:rPr>
        <w:t>2025</w:t>
      </w:r>
    </w:p>
    <w:p w14:paraId="6B0062CA" w14:textId="77777777" w:rsidR="00BC27E9" w:rsidRPr="00954407" w:rsidRDefault="00BC27E9" w:rsidP="00BC27E9">
      <w:pPr>
        <w:pStyle w:val="EstilodePrrafoNormal1RdeC"/>
      </w:pPr>
      <w:r w:rsidRPr="00954407">
        <w:rPr>
          <w:rFonts w:eastAsia="Calibri"/>
          <w:noProof/>
          <w:color w:val="auto"/>
          <w:spacing w:val="0"/>
          <w:sz w:val="22"/>
          <w:lang w:eastAsia="es-DO"/>
        </w:rPr>
        <w:drawing>
          <wp:anchor distT="0" distB="0" distL="114300" distR="114300" simplePos="0" relativeHeight="251675648" behindDoc="0" locked="0" layoutInCell="1" allowOverlap="1" wp14:anchorId="0DDB4380" wp14:editId="2FB92B31">
            <wp:simplePos x="0" y="0"/>
            <wp:positionH relativeFrom="column">
              <wp:posOffset>-67945</wp:posOffset>
            </wp:positionH>
            <wp:positionV relativeFrom="paragraph">
              <wp:posOffset>170180</wp:posOffset>
            </wp:positionV>
            <wp:extent cx="5372100" cy="6169660"/>
            <wp:effectExtent l="0" t="0" r="0" b="0"/>
            <wp:wrapSquare wrapText="bothSides"/>
            <wp:docPr id="5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72100" cy="6169660"/>
                    </a:xfrm>
                    <a:prstGeom prst="rect">
                      <a:avLst/>
                    </a:prstGeom>
                    <a:noFill/>
                  </pic:spPr>
                </pic:pic>
              </a:graphicData>
            </a:graphic>
            <wp14:sizeRelH relativeFrom="page">
              <wp14:pctWidth>0</wp14:pctWidth>
            </wp14:sizeRelH>
            <wp14:sizeRelV relativeFrom="margin">
              <wp14:pctHeight>0</wp14:pctHeight>
            </wp14:sizeRelV>
          </wp:anchor>
        </w:drawing>
      </w:r>
    </w:p>
    <w:p w14:paraId="08DAC909" w14:textId="77777777" w:rsidR="00BC27E9" w:rsidRPr="00954407" w:rsidRDefault="00BC27E9" w:rsidP="00BC27E9">
      <w:pPr>
        <w:pStyle w:val="EstilodePrrafoNormal1RdeC"/>
      </w:pPr>
    </w:p>
    <w:p w14:paraId="4C5F163E" w14:textId="77777777" w:rsidR="00BC27E9" w:rsidRPr="00954407" w:rsidRDefault="00BC27E9" w:rsidP="00BC27E9">
      <w:pPr>
        <w:pStyle w:val="EstilodePrrafoNormal1RdeC"/>
      </w:pPr>
    </w:p>
    <w:p w14:paraId="76E5164C" w14:textId="77777777" w:rsidR="00BC27E9" w:rsidRPr="00954407" w:rsidRDefault="00BC27E9" w:rsidP="00BC27E9">
      <w:pPr>
        <w:pStyle w:val="EstilodePrrafoNormal1RdeC"/>
      </w:pPr>
    </w:p>
    <w:p w14:paraId="4D955047" w14:textId="77777777" w:rsidR="00BC27E9" w:rsidRPr="00954407" w:rsidRDefault="00BC27E9" w:rsidP="00BC27E9">
      <w:pPr>
        <w:pStyle w:val="EstilodePrrafoNormal1RdeC"/>
      </w:pPr>
      <w:r w:rsidRPr="00954407">
        <w:rPr>
          <w:rFonts w:eastAsia="Calibri"/>
          <w:noProof/>
          <w:color w:val="auto"/>
          <w:spacing w:val="0"/>
          <w:sz w:val="22"/>
          <w:lang w:eastAsia="es-DO"/>
        </w:rPr>
        <w:lastRenderedPageBreak/>
        <w:drawing>
          <wp:anchor distT="0" distB="0" distL="114300" distR="114300" simplePos="0" relativeHeight="251676672" behindDoc="0" locked="0" layoutInCell="1" allowOverlap="1" wp14:anchorId="6DBAB849" wp14:editId="2F3CBF48">
            <wp:simplePos x="0" y="0"/>
            <wp:positionH relativeFrom="column">
              <wp:posOffset>-12286</wp:posOffset>
            </wp:positionH>
            <wp:positionV relativeFrom="paragraph">
              <wp:posOffset>158750</wp:posOffset>
            </wp:positionV>
            <wp:extent cx="5383530" cy="6718300"/>
            <wp:effectExtent l="0" t="0" r="7620" b="6350"/>
            <wp:wrapSquare wrapText="bothSides"/>
            <wp:docPr id="1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83530" cy="6718300"/>
                    </a:xfrm>
                    <a:prstGeom prst="rect">
                      <a:avLst/>
                    </a:prstGeom>
                    <a:noFill/>
                  </pic:spPr>
                </pic:pic>
              </a:graphicData>
            </a:graphic>
            <wp14:sizeRelH relativeFrom="page">
              <wp14:pctWidth>0</wp14:pctWidth>
            </wp14:sizeRelH>
            <wp14:sizeRelV relativeFrom="page">
              <wp14:pctHeight>0</wp14:pctHeight>
            </wp14:sizeRelV>
          </wp:anchor>
        </w:drawing>
      </w:r>
    </w:p>
    <w:p w14:paraId="74359892" w14:textId="77777777" w:rsidR="00BC27E9" w:rsidRPr="00954407" w:rsidRDefault="00BC27E9" w:rsidP="00BC27E9">
      <w:pPr>
        <w:pStyle w:val="EstilodePrrafoNormal1RdeC"/>
      </w:pPr>
    </w:p>
    <w:p w14:paraId="472AFEA4" w14:textId="77777777" w:rsidR="00BC27E9" w:rsidRPr="00954407" w:rsidRDefault="00BC27E9" w:rsidP="00BC27E9">
      <w:pPr>
        <w:pStyle w:val="EstilodePrrafoNormal1RdeC"/>
      </w:pPr>
      <w:r w:rsidRPr="00954407">
        <w:rPr>
          <w:rFonts w:eastAsia="Calibri"/>
          <w:noProof/>
          <w:color w:val="auto"/>
          <w:spacing w:val="0"/>
          <w:sz w:val="22"/>
          <w:lang w:eastAsia="es-DO"/>
        </w:rPr>
        <w:lastRenderedPageBreak/>
        <w:drawing>
          <wp:anchor distT="0" distB="0" distL="114300" distR="114300" simplePos="0" relativeHeight="251677696" behindDoc="0" locked="0" layoutInCell="1" allowOverlap="1" wp14:anchorId="48830340" wp14:editId="65207CC6">
            <wp:simplePos x="0" y="0"/>
            <wp:positionH relativeFrom="column">
              <wp:posOffset>-197126</wp:posOffset>
            </wp:positionH>
            <wp:positionV relativeFrom="paragraph">
              <wp:posOffset>330835</wp:posOffset>
            </wp:positionV>
            <wp:extent cx="5963285" cy="6678930"/>
            <wp:effectExtent l="0" t="0" r="0" b="0"/>
            <wp:wrapSquare wrapText="bothSides"/>
            <wp:docPr id="5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63285" cy="6678930"/>
                    </a:xfrm>
                    <a:prstGeom prst="rect">
                      <a:avLst/>
                    </a:prstGeom>
                    <a:noFill/>
                  </pic:spPr>
                </pic:pic>
              </a:graphicData>
            </a:graphic>
            <wp14:sizeRelH relativeFrom="page">
              <wp14:pctWidth>0</wp14:pctWidth>
            </wp14:sizeRelH>
            <wp14:sizeRelV relativeFrom="page">
              <wp14:pctHeight>0</wp14:pctHeight>
            </wp14:sizeRelV>
          </wp:anchor>
        </w:drawing>
      </w:r>
    </w:p>
    <w:p w14:paraId="5777BF1B" w14:textId="77777777" w:rsidR="00BC27E9" w:rsidRPr="00954407" w:rsidRDefault="00BC27E9" w:rsidP="00BC27E9">
      <w:pPr>
        <w:pStyle w:val="EstilodePrrafoNormal1RdeC"/>
      </w:pPr>
    </w:p>
    <w:p w14:paraId="27EB4D5F" w14:textId="77777777" w:rsidR="00BC27E9" w:rsidRPr="00954407" w:rsidRDefault="00BC27E9" w:rsidP="00BC27E9">
      <w:pPr>
        <w:pStyle w:val="EstilodePrrafoNormal1RdeC"/>
      </w:pPr>
      <w:r w:rsidRPr="00954407">
        <w:rPr>
          <w:rFonts w:eastAsia="Calibri"/>
          <w:noProof/>
          <w:color w:val="auto"/>
          <w:spacing w:val="0"/>
          <w:sz w:val="22"/>
          <w:lang w:eastAsia="es-DO"/>
        </w:rPr>
        <w:lastRenderedPageBreak/>
        <w:drawing>
          <wp:anchor distT="0" distB="0" distL="114300" distR="114300" simplePos="0" relativeHeight="251678720" behindDoc="0" locked="0" layoutInCell="1" allowOverlap="1" wp14:anchorId="2A5F9F8F" wp14:editId="3178EC72">
            <wp:simplePos x="0" y="0"/>
            <wp:positionH relativeFrom="margin">
              <wp:align>center</wp:align>
            </wp:positionH>
            <wp:positionV relativeFrom="paragraph">
              <wp:posOffset>219710</wp:posOffset>
            </wp:positionV>
            <wp:extent cx="6130290" cy="6734175"/>
            <wp:effectExtent l="0" t="0" r="3810" b="9525"/>
            <wp:wrapSquare wrapText="bothSides"/>
            <wp:docPr id="5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30290" cy="6734175"/>
                    </a:xfrm>
                    <a:prstGeom prst="rect">
                      <a:avLst/>
                    </a:prstGeom>
                    <a:noFill/>
                  </pic:spPr>
                </pic:pic>
              </a:graphicData>
            </a:graphic>
            <wp14:sizeRelH relativeFrom="page">
              <wp14:pctWidth>0</wp14:pctWidth>
            </wp14:sizeRelH>
            <wp14:sizeRelV relativeFrom="page">
              <wp14:pctHeight>0</wp14:pctHeight>
            </wp14:sizeRelV>
          </wp:anchor>
        </w:drawing>
      </w:r>
    </w:p>
    <w:p w14:paraId="0903F1D5" w14:textId="77777777" w:rsidR="00BC27E9" w:rsidRPr="00954407" w:rsidRDefault="00BC27E9" w:rsidP="00BC27E9">
      <w:pPr>
        <w:pStyle w:val="EstilodePrrafoNormal1RdeC"/>
      </w:pPr>
    </w:p>
    <w:p w14:paraId="77613452" w14:textId="77777777" w:rsidR="00BC27E9" w:rsidRPr="00954407" w:rsidRDefault="00BC27E9" w:rsidP="00BC27E9">
      <w:pPr>
        <w:pStyle w:val="EstilodePrrafoNormal1RdeC"/>
      </w:pPr>
      <w:r w:rsidRPr="00954407">
        <w:rPr>
          <w:rFonts w:eastAsia="Calibri"/>
          <w:noProof/>
          <w:color w:val="auto"/>
          <w:spacing w:val="0"/>
          <w:sz w:val="22"/>
          <w:lang w:eastAsia="es-DO"/>
        </w:rPr>
        <w:lastRenderedPageBreak/>
        <w:drawing>
          <wp:anchor distT="0" distB="0" distL="114300" distR="114300" simplePos="0" relativeHeight="251679744" behindDoc="0" locked="0" layoutInCell="1" allowOverlap="1" wp14:anchorId="07138D6F" wp14:editId="1425A1C3">
            <wp:simplePos x="0" y="0"/>
            <wp:positionH relativeFrom="margin">
              <wp:posOffset>-173355</wp:posOffset>
            </wp:positionH>
            <wp:positionV relativeFrom="paragraph">
              <wp:posOffset>213360</wp:posOffset>
            </wp:positionV>
            <wp:extent cx="5349240" cy="6089650"/>
            <wp:effectExtent l="0" t="0" r="0" b="0"/>
            <wp:wrapSquare wrapText="bothSides"/>
            <wp:docPr id="1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49240" cy="6089650"/>
                    </a:xfrm>
                    <a:prstGeom prst="rect">
                      <a:avLst/>
                    </a:prstGeom>
                    <a:noFill/>
                  </pic:spPr>
                </pic:pic>
              </a:graphicData>
            </a:graphic>
            <wp14:sizeRelH relativeFrom="page">
              <wp14:pctWidth>0</wp14:pctWidth>
            </wp14:sizeRelH>
            <wp14:sizeRelV relativeFrom="page">
              <wp14:pctHeight>0</wp14:pctHeight>
            </wp14:sizeRelV>
          </wp:anchor>
        </w:drawing>
      </w:r>
    </w:p>
    <w:p w14:paraId="6721139D" w14:textId="77777777" w:rsidR="00BC27E9" w:rsidRPr="00954407" w:rsidRDefault="00BC27E9" w:rsidP="00BC27E9">
      <w:pPr>
        <w:pStyle w:val="EstilodePrrafoNormal1RdeC"/>
      </w:pPr>
      <w:r w:rsidRPr="00954407">
        <w:rPr>
          <w:rFonts w:eastAsia="Calibri"/>
          <w:noProof/>
          <w:color w:val="auto"/>
          <w:spacing w:val="0"/>
          <w:sz w:val="22"/>
          <w:lang w:eastAsia="es-DO"/>
        </w:rPr>
        <w:lastRenderedPageBreak/>
        <w:drawing>
          <wp:inline distT="0" distB="0" distL="0" distR="0" wp14:anchorId="02BB5F6E" wp14:editId="6948AB2B">
            <wp:extent cx="4913091" cy="3552972"/>
            <wp:effectExtent l="0" t="0" r="1905" b="952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31577" cy="3566341"/>
                    </a:xfrm>
                    <a:prstGeom prst="rect">
                      <a:avLst/>
                    </a:prstGeom>
                    <a:noFill/>
                    <a:ln>
                      <a:noFill/>
                    </a:ln>
                  </pic:spPr>
                </pic:pic>
              </a:graphicData>
            </a:graphic>
          </wp:inline>
        </w:drawing>
      </w:r>
    </w:p>
    <w:p w14:paraId="7AFA688A" w14:textId="77777777" w:rsidR="00BC27E9" w:rsidRPr="00954407" w:rsidRDefault="00BC27E9" w:rsidP="00BC27E9">
      <w:pPr>
        <w:pStyle w:val="EstilodePrrafoNormal1RdeC"/>
      </w:pPr>
    </w:p>
    <w:p w14:paraId="738975A8" w14:textId="77777777" w:rsidR="00BC27E9" w:rsidRPr="00954407" w:rsidRDefault="00BC27E9" w:rsidP="00BC27E9">
      <w:pPr>
        <w:pStyle w:val="EstilodePrrafoNormal1RdeC"/>
      </w:pPr>
    </w:p>
    <w:p w14:paraId="7B73B439" w14:textId="27685BBA" w:rsidR="00BC27E9" w:rsidRPr="00634A56" w:rsidRDefault="00BC27E9" w:rsidP="00634A56">
      <w:pPr>
        <w:pStyle w:val="Heading2"/>
        <w:jc w:val="left"/>
        <w:rPr>
          <w:rFonts w:ascii="Times New Roman" w:hAnsi="Times New Roman" w:cs="Times New Roman"/>
          <w:b/>
          <w:bCs/>
          <w:color w:val="767171"/>
          <w:sz w:val="24"/>
          <w:szCs w:val="24"/>
        </w:rPr>
      </w:pPr>
      <w:bookmarkStart w:id="185" w:name="_Toc217402163"/>
      <w:r w:rsidRPr="00634A56">
        <w:rPr>
          <w:rFonts w:ascii="Times New Roman" w:hAnsi="Times New Roman" w:cs="Times New Roman"/>
          <w:b/>
          <w:bCs/>
          <w:color w:val="767171"/>
          <w:sz w:val="24"/>
          <w:szCs w:val="24"/>
        </w:rPr>
        <w:t>Procesos de Compras Directas</w:t>
      </w:r>
      <w:bookmarkEnd w:id="185"/>
    </w:p>
    <w:p w14:paraId="20D5FB33" w14:textId="77777777" w:rsidR="00BC27E9" w:rsidRPr="00954407" w:rsidRDefault="00BC27E9" w:rsidP="00BC27E9">
      <w:pPr>
        <w:pStyle w:val="EstilodePrrafoNormal1RdeC"/>
      </w:pPr>
    </w:p>
    <w:p w14:paraId="0124DCC2" w14:textId="77777777" w:rsidR="00BC27E9" w:rsidRPr="00954407" w:rsidRDefault="00BC27E9" w:rsidP="00BC27E9">
      <w:pPr>
        <w:pStyle w:val="EstilodePrrafoNormal1RdeC"/>
      </w:pPr>
      <w:r w:rsidRPr="00954407">
        <w:t xml:space="preserve">Durante </w:t>
      </w:r>
      <w:r w:rsidRPr="00954407">
        <w:rPr>
          <w:rFonts w:eastAsia="Calibri"/>
        </w:rPr>
        <w:t>enero-diciembre del año 2025, el MOPC llevó a efecto un total de nueve (9) procesos de Compras Directas, de los cuales se adjudicaron seis (6) y los tres (3) procesos restantes se encuentran en recepción de ofertas.</w:t>
      </w:r>
    </w:p>
    <w:p w14:paraId="7E35B94B" w14:textId="77777777" w:rsidR="00BC27E9" w:rsidRPr="00954407" w:rsidRDefault="00BC27E9" w:rsidP="00BC27E9">
      <w:pPr>
        <w:pStyle w:val="EstilodePrrafoNormal1RdeC"/>
      </w:pPr>
      <w:r w:rsidRPr="00954407">
        <w:t xml:space="preserve"> El resumen de los </w:t>
      </w:r>
      <w:r w:rsidRPr="00954407">
        <w:rPr>
          <w:rFonts w:eastAsia="Calibri"/>
        </w:rPr>
        <w:t>procesos de Compras Directas</w:t>
      </w:r>
      <w:r w:rsidRPr="00954407">
        <w:t>, se presenta en el siguiente cuadro:</w:t>
      </w:r>
    </w:p>
    <w:p w14:paraId="6E1262A3" w14:textId="77777777" w:rsidR="00BC27E9" w:rsidRPr="00954407" w:rsidRDefault="00BC27E9" w:rsidP="00BC27E9">
      <w:pPr>
        <w:pStyle w:val="EstilodePrrafoNormal1RdeC"/>
      </w:pPr>
    </w:p>
    <w:p w14:paraId="525EFE46" w14:textId="77777777" w:rsidR="00BC27E9" w:rsidRPr="00954407" w:rsidRDefault="00BC27E9" w:rsidP="00BC27E9">
      <w:pPr>
        <w:pStyle w:val="EstilodePrrafoNormal1RdeC"/>
      </w:pPr>
    </w:p>
    <w:p w14:paraId="214DB566" w14:textId="77777777" w:rsidR="00BC27E9" w:rsidRPr="00954407" w:rsidRDefault="00BC27E9" w:rsidP="00BC27E9">
      <w:pPr>
        <w:pStyle w:val="EstilodePrrafoNormal1RdeC"/>
      </w:pPr>
    </w:p>
    <w:p w14:paraId="3D34C819" w14:textId="77777777" w:rsidR="00BC27E9" w:rsidRPr="00954407" w:rsidRDefault="00BC27E9" w:rsidP="00BC27E9">
      <w:pPr>
        <w:pStyle w:val="EstilodePrrafoNormal1RdeC"/>
      </w:pPr>
    </w:p>
    <w:p w14:paraId="2CED29D8" w14:textId="77777777" w:rsidR="00BC27E9" w:rsidRPr="00954407" w:rsidRDefault="00BC27E9" w:rsidP="00BC27E9">
      <w:pPr>
        <w:pStyle w:val="EstilodePrrafoNormal1RdeC"/>
      </w:pPr>
    </w:p>
    <w:p w14:paraId="216B173E" w14:textId="77777777" w:rsidR="00BC27E9" w:rsidRPr="00954407" w:rsidRDefault="00BC27E9" w:rsidP="00BC27E9">
      <w:pPr>
        <w:pStyle w:val="EstilodePrrafoNormal1RdeC"/>
      </w:pPr>
    </w:p>
    <w:p w14:paraId="24675BD9" w14:textId="77777777" w:rsidR="00BC27E9" w:rsidRPr="00954407" w:rsidRDefault="00BC27E9" w:rsidP="00BC27E9">
      <w:pPr>
        <w:pStyle w:val="EstilodePrrafoNormal1RdeC"/>
      </w:pPr>
    </w:p>
    <w:p w14:paraId="2C3B61C2" w14:textId="77777777" w:rsidR="00BC27E9" w:rsidRPr="00954407" w:rsidRDefault="00BC27E9" w:rsidP="00BC27E9">
      <w:pPr>
        <w:pStyle w:val="EstilodePrrafoNormal1RdeC"/>
      </w:pPr>
    </w:p>
    <w:p w14:paraId="7D2225B7" w14:textId="25E6EE40" w:rsidR="00BC27E9" w:rsidRPr="00F46B3F" w:rsidRDefault="00F46B3F" w:rsidP="00F46B3F">
      <w:pPr>
        <w:pStyle w:val="EstilodePrrafoNormal1RdeC"/>
        <w:spacing w:line="240" w:lineRule="auto"/>
        <w:jc w:val="center"/>
        <w:rPr>
          <w:b/>
          <w:bCs/>
        </w:rPr>
      </w:pPr>
      <w:r w:rsidRPr="00F46B3F">
        <w:rPr>
          <w:b/>
          <w:bCs/>
        </w:rPr>
        <w:t xml:space="preserve">Resumen </w:t>
      </w:r>
      <w:r>
        <w:rPr>
          <w:b/>
          <w:bCs/>
        </w:rPr>
        <w:t>d</w:t>
      </w:r>
      <w:r w:rsidRPr="00F46B3F">
        <w:rPr>
          <w:b/>
          <w:bCs/>
        </w:rPr>
        <w:t xml:space="preserve">e Procesos </w:t>
      </w:r>
      <w:r>
        <w:rPr>
          <w:b/>
          <w:bCs/>
        </w:rPr>
        <w:t>d</w:t>
      </w:r>
      <w:r w:rsidRPr="00F46B3F">
        <w:rPr>
          <w:b/>
          <w:bCs/>
        </w:rPr>
        <w:t>e Compras Directas</w:t>
      </w:r>
    </w:p>
    <w:p w14:paraId="220DE04F" w14:textId="1607916E" w:rsidR="00BC27E9" w:rsidRPr="00F46B3F" w:rsidRDefault="00F46B3F" w:rsidP="00F46B3F">
      <w:pPr>
        <w:pStyle w:val="EstilodePrrafoNormal1RdeC"/>
        <w:spacing w:line="240" w:lineRule="auto"/>
        <w:jc w:val="center"/>
        <w:rPr>
          <w:b/>
          <w:bCs/>
        </w:rPr>
      </w:pPr>
      <w:r>
        <w:rPr>
          <w:b/>
          <w:bCs/>
        </w:rPr>
        <w:t>e</w:t>
      </w:r>
      <w:r w:rsidRPr="00F46B3F">
        <w:rPr>
          <w:b/>
          <w:bCs/>
        </w:rPr>
        <w:t>nero-</w:t>
      </w:r>
      <w:r>
        <w:rPr>
          <w:b/>
          <w:bCs/>
        </w:rPr>
        <w:t>d</w:t>
      </w:r>
      <w:r w:rsidRPr="00F46B3F">
        <w:rPr>
          <w:b/>
          <w:bCs/>
        </w:rPr>
        <w:t>iciembre 2025</w:t>
      </w:r>
    </w:p>
    <w:p w14:paraId="0962EFE0" w14:textId="77777777" w:rsidR="00BC27E9" w:rsidRPr="00954407" w:rsidRDefault="00BC27E9" w:rsidP="00BC27E9">
      <w:pPr>
        <w:pStyle w:val="EstilodePrrafoNormal1RdeC"/>
      </w:pPr>
    </w:p>
    <w:p w14:paraId="10DC12E6" w14:textId="77777777" w:rsidR="00BC27E9" w:rsidRPr="00954407" w:rsidRDefault="00BC27E9" w:rsidP="00BC27E9">
      <w:pPr>
        <w:pStyle w:val="EstilodePrrafoNormal1RdeC"/>
      </w:pPr>
      <w:r w:rsidRPr="00954407">
        <w:rPr>
          <w:rFonts w:eastAsia="Calibri"/>
          <w:noProof/>
          <w:color w:val="auto"/>
          <w:spacing w:val="0"/>
          <w:sz w:val="22"/>
          <w:lang w:eastAsia="es-DO"/>
        </w:rPr>
        <w:drawing>
          <wp:inline distT="0" distB="0" distL="0" distR="0" wp14:anchorId="23DB70E9" wp14:editId="34874E6C">
            <wp:extent cx="5438692" cy="5693912"/>
            <wp:effectExtent l="0" t="0" r="0" b="2540"/>
            <wp:docPr id="5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38692" cy="5693912"/>
                    </a:xfrm>
                    <a:prstGeom prst="rect">
                      <a:avLst/>
                    </a:prstGeom>
                    <a:noFill/>
                    <a:ln>
                      <a:noFill/>
                    </a:ln>
                  </pic:spPr>
                </pic:pic>
              </a:graphicData>
            </a:graphic>
          </wp:inline>
        </w:drawing>
      </w:r>
    </w:p>
    <w:p w14:paraId="65CDC5E3" w14:textId="77777777" w:rsidR="00BC27E9" w:rsidRPr="00954407" w:rsidRDefault="00BC27E9" w:rsidP="00BC27E9">
      <w:pPr>
        <w:pStyle w:val="EstilodePrrafoNormal1RdeC"/>
      </w:pPr>
    </w:p>
    <w:p w14:paraId="222D887B" w14:textId="77777777" w:rsidR="00BC27E9" w:rsidRDefault="00BC27E9" w:rsidP="00BC27E9">
      <w:pPr>
        <w:pStyle w:val="EstilodePrrafoNormal1RdeC"/>
      </w:pPr>
    </w:p>
    <w:p w14:paraId="5DEB611D" w14:textId="77777777" w:rsidR="00F46B3F" w:rsidRDefault="00F46B3F" w:rsidP="00BC27E9">
      <w:pPr>
        <w:pStyle w:val="EstilodePrrafoNormal1RdeC"/>
      </w:pPr>
    </w:p>
    <w:p w14:paraId="617D442F" w14:textId="77777777" w:rsidR="00F46B3F" w:rsidRPr="00954407" w:rsidRDefault="00F46B3F" w:rsidP="00BC27E9">
      <w:pPr>
        <w:pStyle w:val="EstilodePrrafoNormal1RdeC"/>
      </w:pPr>
    </w:p>
    <w:p w14:paraId="47D9A98E" w14:textId="77777777" w:rsidR="00BC27E9" w:rsidRPr="00634A56" w:rsidRDefault="00BC27E9" w:rsidP="00634A56">
      <w:pPr>
        <w:pStyle w:val="Heading2"/>
        <w:rPr>
          <w:rFonts w:ascii="Times New Roman" w:hAnsi="Times New Roman" w:cs="Times New Roman"/>
          <w:b/>
          <w:bCs/>
          <w:color w:val="767171"/>
          <w:sz w:val="24"/>
          <w:szCs w:val="24"/>
        </w:rPr>
      </w:pPr>
      <w:bookmarkStart w:id="186" w:name="_Toc217402164"/>
      <w:r w:rsidRPr="00634A56">
        <w:rPr>
          <w:rFonts w:ascii="Times New Roman" w:hAnsi="Times New Roman" w:cs="Times New Roman"/>
          <w:b/>
          <w:bCs/>
          <w:color w:val="767171"/>
          <w:sz w:val="24"/>
          <w:szCs w:val="24"/>
        </w:rPr>
        <w:lastRenderedPageBreak/>
        <w:t>Número y Monto de Adquisiciones Realizadas por Modalidad</w:t>
      </w:r>
      <w:bookmarkEnd w:id="186"/>
      <w:r w:rsidRPr="00634A56">
        <w:rPr>
          <w:rFonts w:ascii="Times New Roman" w:hAnsi="Times New Roman" w:cs="Times New Roman"/>
          <w:b/>
          <w:bCs/>
          <w:color w:val="767171"/>
          <w:sz w:val="24"/>
          <w:szCs w:val="24"/>
        </w:rPr>
        <w:t xml:space="preserve"> </w:t>
      </w:r>
    </w:p>
    <w:p w14:paraId="044A8262" w14:textId="77777777" w:rsidR="00BC27E9" w:rsidRPr="00954407" w:rsidRDefault="00BC27E9" w:rsidP="00BC27E9">
      <w:pPr>
        <w:pStyle w:val="EstilodePrrafoNormal1RdeC"/>
      </w:pPr>
    </w:p>
    <w:p w14:paraId="630F3B5C" w14:textId="77777777" w:rsidR="00BC27E9" w:rsidRPr="00954407" w:rsidRDefault="00BC27E9" w:rsidP="00BC27E9">
      <w:pPr>
        <w:pStyle w:val="EstilodePrrafoNormal1RdeC"/>
      </w:pPr>
      <w:r w:rsidRPr="00954407">
        <w:t xml:space="preserve">El Ministerio de Obras Públicas y Comunicaciones MOPC, durante el periodo enero – noviembre del 2025, ejecutó los procesos de adquisición bajo las distintas modalidades de contratación, por un monto global de RD$9,423,560,957.85 (Nueve Mil Cuatrocientos Veintitrés Millones Quinientos Sesenta Mil Novecientos Cincuenta y Siete Pesos con 85/100), los cuales se detallan a continuación: </w:t>
      </w:r>
    </w:p>
    <w:p w14:paraId="5A6518C7" w14:textId="77777777" w:rsidR="00BC27E9" w:rsidRPr="00F46B3F" w:rsidRDefault="00BC27E9" w:rsidP="00BC27E9">
      <w:pPr>
        <w:pStyle w:val="EstilodePrrafoNormal1RdeC"/>
        <w:rPr>
          <w:sz w:val="16"/>
          <w:szCs w:val="16"/>
        </w:rPr>
      </w:pPr>
    </w:p>
    <w:p w14:paraId="569656F7" w14:textId="77777777" w:rsidR="00BC27E9" w:rsidRPr="00954407" w:rsidRDefault="00BC27E9" w:rsidP="00F46B3F">
      <w:pPr>
        <w:pStyle w:val="EstilodePrrafoNormal1RdeC"/>
        <w:numPr>
          <w:ilvl w:val="0"/>
          <w:numId w:val="229"/>
        </w:numPr>
      </w:pPr>
      <w:r w:rsidRPr="00954407">
        <w:t>Una (1) Licitación Pública Nacional (LPN), por valor de RD$7,850,000,000.00 (Siete Mil Ochocientos Cincuenta Millones con 00/100);</w:t>
      </w:r>
    </w:p>
    <w:p w14:paraId="6093308C" w14:textId="77777777" w:rsidR="00BC27E9" w:rsidRPr="00F46B3F" w:rsidRDefault="00BC27E9" w:rsidP="00BC27E9">
      <w:pPr>
        <w:pStyle w:val="EstilodePrrafoNormal1RdeC"/>
        <w:rPr>
          <w:sz w:val="16"/>
          <w:szCs w:val="16"/>
        </w:rPr>
      </w:pPr>
    </w:p>
    <w:p w14:paraId="09BA5D81" w14:textId="77777777" w:rsidR="00BC27E9" w:rsidRPr="00954407" w:rsidRDefault="00BC27E9" w:rsidP="00F46B3F">
      <w:pPr>
        <w:pStyle w:val="EstilodePrrafoNormal1RdeC"/>
        <w:numPr>
          <w:ilvl w:val="0"/>
          <w:numId w:val="229"/>
        </w:numPr>
      </w:pPr>
      <w:r w:rsidRPr="00954407">
        <w:t>Siete (7) procesos de Comparación de Precios, por un monto de RD$17,221,820.45 (Diecisiete Millones, Doscientos Veintiún Mil Ochocientos Veinte con 45/100);</w:t>
      </w:r>
    </w:p>
    <w:p w14:paraId="4DA1CDE4" w14:textId="77777777" w:rsidR="00BC27E9" w:rsidRPr="00F46B3F" w:rsidRDefault="00BC27E9" w:rsidP="00BC27E9">
      <w:pPr>
        <w:pStyle w:val="EstilodePrrafoNormal1RdeC"/>
        <w:rPr>
          <w:sz w:val="16"/>
          <w:szCs w:val="16"/>
        </w:rPr>
      </w:pPr>
    </w:p>
    <w:p w14:paraId="53648E3A" w14:textId="77777777" w:rsidR="00BC27E9" w:rsidRPr="00954407" w:rsidRDefault="00BC27E9" w:rsidP="00F46B3F">
      <w:pPr>
        <w:pStyle w:val="EstilodePrrafoNormal1RdeC"/>
        <w:numPr>
          <w:ilvl w:val="0"/>
          <w:numId w:val="229"/>
        </w:numPr>
      </w:pPr>
      <w:r w:rsidRPr="00954407">
        <w:t xml:space="preserve">Cero (0) Sorteo de Obras; </w:t>
      </w:r>
    </w:p>
    <w:p w14:paraId="45352224" w14:textId="121BC079" w:rsidR="00F46B3F" w:rsidRPr="00F46B3F" w:rsidRDefault="00F46B3F" w:rsidP="00BC27E9">
      <w:pPr>
        <w:pStyle w:val="EstilodePrrafoNormal1RdeC"/>
        <w:rPr>
          <w:sz w:val="16"/>
          <w:szCs w:val="16"/>
        </w:rPr>
      </w:pPr>
    </w:p>
    <w:p w14:paraId="4CE0E0F9" w14:textId="77777777" w:rsidR="00BC27E9" w:rsidRPr="00954407" w:rsidRDefault="00BC27E9" w:rsidP="00F46B3F">
      <w:pPr>
        <w:pStyle w:val="EstilodePrrafoNormal1RdeC"/>
        <w:numPr>
          <w:ilvl w:val="0"/>
          <w:numId w:val="229"/>
        </w:numPr>
      </w:pPr>
      <w:r w:rsidRPr="00954407">
        <w:t>Quince (15) procesos por Excepción, por un monto de RD$314,328,708.77 (Trescientos Catorce Millones, Trescientos Veintiocho Mil, Setecientos Ocho con 77/100);</w:t>
      </w:r>
    </w:p>
    <w:p w14:paraId="6A2384C0" w14:textId="77777777" w:rsidR="00BC27E9" w:rsidRPr="00F46B3F" w:rsidRDefault="00BC27E9" w:rsidP="00BC27E9">
      <w:pPr>
        <w:pStyle w:val="EstilodePrrafoNormal1RdeC"/>
        <w:rPr>
          <w:sz w:val="16"/>
          <w:szCs w:val="16"/>
        </w:rPr>
      </w:pPr>
    </w:p>
    <w:p w14:paraId="6FA8A0D9" w14:textId="77777777" w:rsidR="00BC27E9" w:rsidRPr="00954407" w:rsidRDefault="00BC27E9" w:rsidP="00F46B3F">
      <w:pPr>
        <w:pStyle w:val="EstilodePrrafoNormal1RdeC"/>
        <w:numPr>
          <w:ilvl w:val="0"/>
          <w:numId w:val="229"/>
        </w:numPr>
      </w:pPr>
      <w:r w:rsidRPr="00954407">
        <w:t xml:space="preserve">Treinta y Cinco (35) procesos por Compras Menores, por la suma de RD$44,568,620.09 (Cuarenta y Cuatro Millones, Quinientos Sesenta y Ocho Mil Seiscientos Veinte con 09/100); </w:t>
      </w:r>
    </w:p>
    <w:p w14:paraId="332FA2A3" w14:textId="77777777" w:rsidR="00BC27E9" w:rsidRPr="00F46B3F" w:rsidRDefault="00BC27E9" w:rsidP="00BC27E9">
      <w:pPr>
        <w:pStyle w:val="EstilodePrrafoNormal1RdeC"/>
        <w:rPr>
          <w:sz w:val="16"/>
          <w:szCs w:val="16"/>
        </w:rPr>
      </w:pPr>
    </w:p>
    <w:p w14:paraId="457F2028" w14:textId="77777777" w:rsidR="00BC27E9" w:rsidRPr="00954407" w:rsidRDefault="00BC27E9" w:rsidP="00F46B3F">
      <w:pPr>
        <w:pStyle w:val="EstilodePrrafoNormal1RdeC"/>
        <w:numPr>
          <w:ilvl w:val="0"/>
          <w:numId w:val="229"/>
        </w:numPr>
      </w:pPr>
      <w:r w:rsidRPr="00954407">
        <w:t>Cinco (5) procesos por Subasta Inversa (SI), por un monto de RD$1,192,375,589.63 ((Mil Ciento Noventa y Dos Millones, Trescientos Setenta y Cinco Mil, Quinientos Ochenta y Nueve con 63/100);</w:t>
      </w:r>
    </w:p>
    <w:p w14:paraId="3901694F" w14:textId="77777777" w:rsidR="00BC27E9" w:rsidRPr="00954407" w:rsidRDefault="00BC27E9" w:rsidP="00BC27E9">
      <w:pPr>
        <w:pStyle w:val="EstilodePrrafoNormal1RdeC"/>
      </w:pPr>
    </w:p>
    <w:p w14:paraId="42720E71" w14:textId="77777777" w:rsidR="00BC27E9" w:rsidRPr="00954407" w:rsidRDefault="00BC27E9" w:rsidP="00F46B3F">
      <w:pPr>
        <w:pStyle w:val="EstilodePrrafoNormal1RdeC"/>
        <w:numPr>
          <w:ilvl w:val="0"/>
          <w:numId w:val="229"/>
        </w:numPr>
      </w:pPr>
      <w:r w:rsidRPr="00954407">
        <w:lastRenderedPageBreak/>
        <w:t>Veintitrés (23) procesos por Compras Directas, por valor de RD$5,066,218.91 (Cinco Millones, Sesenta y Seis Mil Doscientos Dieciocho con 91/100).</w:t>
      </w:r>
    </w:p>
    <w:p w14:paraId="2CA0D4B3" w14:textId="77777777" w:rsidR="00BC27E9" w:rsidRPr="00954407" w:rsidRDefault="00BC27E9" w:rsidP="00BC27E9">
      <w:pPr>
        <w:pStyle w:val="EstilodePrrafoNormal1RdeC"/>
      </w:pPr>
    </w:p>
    <w:p w14:paraId="310CB417" w14:textId="77777777" w:rsidR="00BC27E9" w:rsidRPr="00F46B3F" w:rsidRDefault="00BC27E9" w:rsidP="00BC27E9">
      <w:pPr>
        <w:pStyle w:val="EstilodePrrafoNormal1RdeC"/>
        <w:rPr>
          <w:b/>
          <w:bCs/>
          <w:spacing w:val="30"/>
          <w:kern w:val="38"/>
        </w:rPr>
      </w:pPr>
      <w:r w:rsidRPr="00F46B3F">
        <w:rPr>
          <w:b/>
          <w:bCs/>
          <w:spacing w:val="30"/>
          <w:kern w:val="38"/>
        </w:rPr>
        <w:t xml:space="preserve">Resumen de Compras y Contrataciones por Tipo de Modalidad realizadas </w:t>
      </w:r>
    </w:p>
    <w:p w14:paraId="4F65A0C2" w14:textId="77777777" w:rsidR="00BC27E9" w:rsidRPr="00954407" w:rsidRDefault="00BC27E9" w:rsidP="00BC27E9">
      <w:pPr>
        <w:pStyle w:val="EstilodePrrafoNormal1RdeC"/>
        <w:rPr>
          <w:rFonts w:eastAsia="Calibri"/>
        </w:rPr>
      </w:pPr>
    </w:p>
    <w:p w14:paraId="726598A7" w14:textId="77777777" w:rsidR="00BC27E9" w:rsidRPr="00954407" w:rsidRDefault="00BC27E9" w:rsidP="00BC27E9">
      <w:pPr>
        <w:pStyle w:val="EstilodePrrafoNormal1RdeC"/>
      </w:pPr>
      <w:r w:rsidRPr="00954407">
        <w:t xml:space="preserve">Los procesos de Compras y Contrataciones realizados en el periodo enero – noviembre del 2025, así como los montos contratados por tipo de modalidad, se presentan en el cuadro y gráfico siguientes: </w:t>
      </w:r>
    </w:p>
    <w:p w14:paraId="560FF7A7" w14:textId="77777777" w:rsidR="00BC27E9" w:rsidRPr="00954407" w:rsidRDefault="00BC27E9" w:rsidP="00BC27E9">
      <w:pPr>
        <w:pStyle w:val="EstilodePrrafoNormal1RdeC"/>
      </w:pPr>
    </w:p>
    <w:tbl>
      <w:tblPr>
        <w:tblpPr w:leftFromText="141" w:rightFromText="141" w:vertAnchor="text" w:horzAnchor="margin" w:tblpY="272"/>
        <w:tblW w:w="7920" w:type="dxa"/>
        <w:tblCellMar>
          <w:left w:w="70" w:type="dxa"/>
          <w:right w:w="70" w:type="dxa"/>
        </w:tblCellMar>
        <w:tblLook w:val="04A0" w:firstRow="1" w:lastRow="0" w:firstColumn="1" w:lastColumn="0" w:noHBand="0" w:noVBand="1"/>
      </w:tblPr>
      <w:tblGrid>
        <w:gridCol w:w="2150"/>
        <w:gridCol w:w="1710"/>
        <w:gridCol w:w="1088"/>
        <w:gridCol w:w="2972"/>
      </w:tblGrid>
      <w:tr w:rsidR="00BC27E9" w:rsidRPr="00954407" w14:paraId="3A22C656" w14:textId="77777777" w:rsidTr="00220FA8">
        <w:trPr>
          <w:trHeight w:val="254"/>
        </w:trPr>
        <w:tc>
          <w:tcPr>
            <w:tcW w:w="2150" w:type="dxa"/>
            <w:tcBorders>
              <w:top w:val="single" w:sz="8" w:space="0" w:color="808080"/>
              <w:left w:val="single" w:sz="8" w:space="0" w:color="808080"/>
              <w:bottom w:val="single" w:sz="8" w:space="0" w:color="808080"/>
              <w:right w:val="single" w:sz="4" w:space="0" w:color="FFFFFF"/>
            </w:tcBorders>
            <w:shd w:val="clear" w:color="auto" w:fill="002060"/>
            <w:vAlign w:val="center"/>
            <w:hideMark/>
          </w:tcPr>
          <w:p w14:paraId="3D9CB44F"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MODALIDAD</w:t>
            </w:r>
          </w:p>
        </w:tc>
        <w:tc>
          <w:tcPr>
            <w:tcW w:w="1710" w:type="dxa"/>
            <w:tcBorders>
              <w:top w:val="single" w:sz="8" w:space="0" w:color="808080"/>
              <w:left w:val="nil"/>
              <w:bottom w:val="single" w:sz="8" w:space="0" w:color="808080"/>
              <w:right w:val="single" w:sz="4" w:space="0" w:color="FFFFFF"/>
            </w:tcBorders>
            <w:shd w:val="clear" w:color="auto" w:fill="002060"/>
            <w:vAlign w:val="center"/>
            <w:hideMark/>
          </w:tcPr>
          <w:p w14:paraId="3FBE1118"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CANTIDADES</w:t>
            </w:r>
          </w:p>
        </w:tc>
        <w:tc>
          <w:tcPr>
            <w:tcW w:w="1088" w:type="dxa"/>
            <w:tcBorders>
              <w:top w:val="single" w:sz="8" w:space="0" w:color="808080"/>
              <w:left w:val="nil"/>
              <w:bottom w:val="single" w:sz="8" w:space="0" w:color="808080"/>
              <w:right w:val="single" w:sz="4" w:space="0" w:color="FFFFFF"/>
            </w:tcBorders>
            <w:shd w:val="clear" w:color="auto" w:fill="002060"/>
            <w:vAlign w:val="center"/>
            <w:hideMark/>
          </w:tcPr>
          <w:p w14:paraId="79A289C0"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w:t>
            </w:r>
          </w:p>
        </w:tc>
        <w:tc>
          <w:tcPr>
            <w:tcW w:w="2970" w:type="dxa"/>
            <w:tcBorders>
              <w:top w:val="single" w:sz="8" w:space="0" w:color="808080"/>
              <w:left w:val="nil"/>
              <w:bottom w:val="single" w:sz="8" w:space="0" w:color="808080"/>
              <w:right w:val="single" w:sz="8" w:space="0" w:color="808080"/>
            </w:tcBorders>
            <w:shd w:val="clear" w:color="auto" w:fill="002060"/>
            <w:vAlign w:val="center"/>
            <w:hideMark/>
          </w:tcPr>
          <w:p w14:paraId="6B8B8841"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xml:space="preserve">MONTO </w:t>
            </w:r>
          </w:p>
          <w:p w14:paraId="62F7090B"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RD$</w:t>
            </w:r>
          </w:p>
        </w:tc>
      </w:tr>
      <w:tr w:rsidR="00BC27E9" w:rsidRPr="00954407" w14:paraId="4D9D5CB6" w14:textId="77777777" w:rsidTr="00220FA8">
        <w:trPr>
          <w:trHeight w:val="57"/>
        </w:trPr>
        <w:tc>
          <w:tcPr>
            <w:tcW w:w="7920" w:type="dxa"/>
            <w:gridSpan w:val="4"/>
            <w:tcBorders>
              <w:top w:val="nil"/>
              <w:left w:val="nil"/>
              <w:bottom w:val="nil"/>
              <w:right w:val="nil"/>
            </w:tcBorders>
            <w:noWrap/>
            <w:vAlign w:val="center"/>
            <w:hideMark/>
          </w:tcPr>
          <w:p w14:paraId="631F94D3" w14:textId="77777777" w:rsidR="00BC27E9" w:rsidRPr="00954407" w:rsidRDefault="00BC27E9" w:rsidP="00220FA8">
            <w:pPr>
              <w:pStyle w:val="EstilodePrrafoNormal1RdeC"/>
              <w:rPr>
                <w:color w:val="auto"/>
                <w:spacing w:val="0"/>
                <w:lang w:eastAsia="es-DO"/>
              </w:rPr>
            </w:pPr>
          </w:p>
        </w:tc>
      </w:tr>
      <w:tr w:rsidR="00BC27E9" w:rsidRPr="00954407" w14:paraId="67C1DF7F" w14:textId="77777777" w:rsidTr="00220FA8">
        <w:trPr>
          <w:trHeight w:val="238"/>
        </w:trPr>
        <w:tc>
          <w:tcPr>
            <w:tcW w:w="2150" w:type="dxa"/>
            <w:tcBorders>
              <w:top w:val="single" w:sz="8" w:space="0" w:color="808080"/>
              <w:left w:val="single" w:sz="8" w:space="0" w:color="808080"/>
              <w:bottom w:val="single" w:sz="8" w:space="0" w:color="808080"/>
              <w:right w:val="single" w:sz="8" w:space="0" w:color="808080"/>
            </w:tcBorders>
            <w:noWrap/>
            <w:vAlign w:val="center"/>
            <w:hideMark/>
          </w:tcPr>
          <w:p w14:paraId="28FA87D6"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LPN</w:t>
            </w:r>
          </w:p>
        </w:tc>
        <w:tc>
          <w:tcPr>
            <w:tcW w:w="1710" w:type="dxa"/>
            <w:tcBorders>
              <w:top w:val="single" w:sz="8" w:space="0" w:color="808080"/>
              <w:left w:val="nil"/>
              <w:bottom w:val="single" w:sz="8" w:space="0" w:color="808080"/>
              <w:right w:val="single" w:sz="8" w:space="0" w:color="808080"/>
            </w:tcBorders>
            <w:shd w:val="clear" w:color="000000" w:fill="FFFFFF"/>
            <w:noWrap/>
            <w:vAlign w:val="center"/>
            <w:hideMark/>
          </w:tcPr>
          <w:p w14:paraId="2E39EECA"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1</w:t>
            </w:r>
          </w:p>
        </w:tc>
        <w:tc>
          <w:tcPr>
            <w:tcW w:w="1088" w:type="dxa"/>
            <w:tcBorders>
              <w:top w:val="single" w:sz="8" w:space="0" w:color="808080"/>
              <w:left w:val="nil"/>
              <w:bottom w:val="single" w:sz="8" w:space="0" w:color="808080"/>
              <w:right w:val="single" w:sz="8" w:space="0" w:color="808080"/>
            </w:tcBorders>
            <w:noWrap/>
            <w:vAlign w:val="center"/>
            <w:hideMark/>
          </w:tcPr>
          <w:p w14:paraId="7F8A913F"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83%</w:t>
            </w:r>
          </w:p>
        </w:tc>
        <w:tc>
          <w:tcPr>
            <w:tcW w:w="2970" w:type="dxa"/>
            <w:tcBorders>
              <w:top w:val="single" w:sz="8" w:space="0" w:color="808080"/>
              <w:left w:val="single" w:sz="8" w:space="0" w:color="FFFFFF"/>
              <w:bottom w:val="single" w:sz="8" w:space="0" w:color="808080"/>
              <w:right w:val="single" w:sz="8" w:space="0" w:color="808080"/>
            </w:tcBorders>
            <w:noWrap/>
            <w:vAlign w:val="center"/>
            <w:hideMark/>
          </w:tcPr>
          <w:p w14:paraId="01F3243D"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xml:space="preserve"> RD$          7,850,000,000.00 </w:t>
            </w:r>
          </w:p>
        </w:tc>
      </w:tr>
      <w:tr w:rsidR="00BC27E9" w:rsidRPr="00954407" w14:paraId="0486A651" w14:textId="77777777" w:rsidTr="00220FA8">
        <w:trPr>
          <w:trHeight w:val="101"/>
        </w:trPr>
        <w:tc>
          <w:tcPr>
            <w:tcW w:w="2150" w:type="dxa"/>
            <w:tcBorders>
              <w:top w:val="nil"/>
              <w:left w:val="nil"/>
              <w:bottom w:val="single" w:sz="8" w:space="0" w:color="808080"/>
              <w:right w:val="nil"/>
            </w:tcBorders>
            <w:noWrap/>
            <w:vAlign w:val="center"/>
            <w:hideMark/>
          </w:tcPr>
          <w:p w14:paraId="13A7F2D8"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c>
          <w:tcPr>
            <w:tcW w:w="1710" w:type="dxa"/>
            <w:tcBorders>
              <w:top w:val="nil"/>
              <w:left w:val="nil"/>
              <w:bottom w:val="single" w:sz="8" w:space="0" w:color="808080"/>
              <w:right w:val="nil"/>
            </w:tcBorders>
            <w:shd w:val="clear" w:color="000000" w:fill="FFFFFF"/>
            <w:noWrap/>
            <w:vAlign w:val="center"/>
            <w:hideMark/>
          </w:tcPr>
          <w:p w14:paraId="2D1BFB92" w14:textId="77777777" w:rsidR="00BC27E9" w:rsidRPr="00954407" w:rsidRDefault="00BC27E9" w:rsidP="00220FA8">
            <w:pPr>
              <w:pStyle w:val="EstilodePrrafoNormal1RdeC"/>
              <w:rPr>
                <w:color w:val="FF0000"/>
                <w:spacing w:val="0"/>
                <w:lang w:eastAsia="es-DO"/>
              </w:rPr>
            </w:pPr>
            <w:r w:rsidRPr="00954407">
              <w:rPr>
                <w:color w:val="FF0000"/>
                <w:spacing w:val="0"/>
                <w:lang w:eastAsia="es-DO"/>
              </w:rPr>
              <w:t> </w:t>
            </w:r>
          </w:p>
        </w:tc>
        <w:tc>
          <w:tcPr>
            <w:tcW w:w="1088" w:type="dxa"/>
            <w:tcBorders>
              <w:top w:val="nil"/>
              <w:left w:val="nil"/>
              <w:bottom w:val="single" w:sz="8" w:space="0" w:color="808080"/>
              <w:right w:val="nil"/>
            </w:tcBorders>
            <w:noWrap/>
            <w:vAlign w:val="center"/>
            <w:hideMark/>
          </w:tcPr>
          <w:p w14:paraId="258EE53C"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c>
          <w:tcPr>
            <w:tcW w:w="2970" w:type="dxa"/>
            <w:tcBorders>
              <w:top w:val="nil"/>
              <w:left w:val="nil"/>
              <w:bottom w:val="single" w:sz="8" w:space="0" w:color="808080"/>
              <w:right w:val="nil"/>
            </w:tcBorders>
            <w:noWrap/>
            <w:vAlign w:val="center"/>
            <w:hideMark/>
          </w:tcPr>
          <w:p w14:paraId="75FCF66D"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r>
      <w:tr w:rsidR="00BC27E9" w:rsidRPr="00954407" w14:paraId="5B2DA1DE" w14:textId="77777777" w:rsidTr="00220FA8">
        <w:trPr>
          <w:trHeight w:val="238"/>
        </w:trPr>
        <w:tc>
          <w:tcPr>
            <w:tcW w:w="2150" w:type="dxa"/>
            <w:tcBorders>
              <w:top w:val="nil"/>
              <w:left w:val="single" w:sz="8" w:space="0" w:color="808080"/>
              <w:bottom w:val="single" w:sz="8" w:space="0" w:color="808080"/>
              <w:right w:val="single" w:sz="8" w:space="0" w:color="808080"/>
            </w:tcBorders>
            <w:noWrap/>
            <w:vAlign w:val="center"/>
            <w:hideMark/>
          </w:tcPr>
          <w:p w14:paraId="3CA72880"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PE</w:t>
            </w:r>
          </w:p>
        </w:tc>
        <w:tc>
          <w:tcPr>
            <w:tcW w:w="1710" w:type="dxa"/>
            <w:tcBorders>
              <w:top w:val="nil"/>
              <w:left w:val="nil"/>
              <w:bottom w:val="single" w:sz="8" w:space="0" w:color="808080"/>
              <w:right w:val="single" w:sz="8" w:space="0" w:color="808080"/>
            </w:tcBorders>
            <w:shd w:val="clear" w:color="000000" w:fill="FFFFFF"/>
            <w:noWrap/>
            <w:vAlign w:val="center"/>
            <w:hideMark/>
          </w:tcPr>
          <w:p w14:paraId="73C97D61"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15</w:t>
            </w:r>
          </w:p>
        </w:tc>
        <w:tc>
          <w:tcPr>
            <w:tcW w:w="1088" w:type="dxa"/>
            <w:tcBorders>
              <w:top w:val="nil"/>
              <w:left w:val="nil"/>
              <w:bottom w:val="single" w:sz="8" w:space="0" w:color="808080"/>
              <w:right w:val="single" w:sz="8" w:space="0" w:color="808080"/>
            </w:tcBorders>
            <w:noWrap/>
            <w:vAlign w:val="center"/>
            <w:hideMark/>
          </w:tcPr>
          <w:p w14:paraId="13DBEC00"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3%</w:t>
            </w:r>
          </w:p>
        </w:tc>
        <w:tc>
          <w:tcPr>
            <w:tcW w:w="2970" w:type="dxa"/>
            <w:tcBorders>
              <w:top w:val="nil"/>
              <w:left w:val="single" w:sz="8" w:space="0" w:color="FFFFFF"/>
              <w:bottom w:val="single" w:sz="8" w:space="0" w:color="808080"/>
              <w:right w:val="single" w:sz="8" w:space="0" w:color="808080"/>
            </w:tcBorders>
            <w:noWrap/>
            <w:vAlign w:val="center"/>
            <w:hideMark/>
          </w:tcPr>
          <w:p w14:paraId="76F975EB"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xml:space="preserve"> RD$             314,328,708.77 </w:t>
            </w:r>
          </w:p>
        </w:tc>
      </w:tr>
      <w:tr w:rsidR="00BC27E9" w:rsidRPr="00954407" w14:paraId="71D464BA" w14:textId="77777777" w:rsidTr="00220FA8">
        <w:trPr>
          <w:trHeight w:val="101"/>
        </w:trPr>
        <w:tc>
          <w:tcPr>
            <w:tcW w:w="2150" w:type="dxa"/>
            <w:tcBorders>
              <w:top w:val="nil"/>
              <w:left w:val="nil"/>
              <w:bottom w:val="single" w:sz="8" w:space="0" w:color="808080"/>
              <w:right w:val="nil"/>
            </w:tcBorders>
            <w:noWrap/>
            <w:vAlign w:val="center"/>
            <w:hideMark/>
          </w:tcPr>
          <w:p w14:paraId="00A7B844"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c>
          <w:tcPr>
            <w:tcW w:w="1710" w:type="dxa"/>
            <w:tcBorders>
              <w:top w:val="nil"/>
              <w:left w:val="nil"/>
              <w:bottom w:val="single" w:sz="8" w:space="0" w:color="808080"/>
              <w:right w:val="nil"/>
            </w:tcBorders>
            <w:shd w:val="clear" w:color="000000" w:fill="FFFFFF"/>
            <w:noWrap/>
            <w:vAlign w:val="center"/>
            <w:hideMark/>
          </w:tcPr>
          <w:p w14:paraId="3D54AA6C" w14:textId="77777777" w:rsidR="00BC27E9" w:rsidRPr="00954407" w:rsidRDefault="00BC27E9" w:rsidP="00220FA8">
            <w:pPr>
              <w:pStyle w:val="EstilodePrrafoNormal1RdeC"/>
              <w:rPr>
                <w:color w:val="FF0000"/>
                <w:spacing w:val="0"/>
                <w:lang w:eastAsia="es-DO"/>
              </w:rPr>
            </w:pPr>
            <w:r w:rsidRPr="00954407">
              <w:rPr>
                <w:color w:val="FF0000"/>
                <w:spacing w:val="0"/>
                <w:lang w:eastAsia="es-DO"/>
              </w:rPr>
              <w:t> </w:t>
            </w:r>
          </w:p>
        </w:tc>
        <w:tc>
          <w:tcPr>
            <w:tcW w:w="1088" w:type="dxa"/>
            <w:tcBorders>
              <w:top w:val="nil"/>
              <w:left w:val="nil"/>
              <w:bottom w:val="single" w:sz="8" w:space="0" w:color="808080"/>
              <w:right w:val="nil"/>
            </w:tcBorders>
            <w:noWrap/>
            <w:vAlign w:val="center"/>
            <w:hideMark/>
          </w:tcPr>
          <w:p w14:paraId="741AC108"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c>
          <w:tcPr>
            <w:tcW w:w="2970" w:type="dxa"/>
            <w:tcBorders>
              <w:top w:val="nil"/>
              <w:left w:val="nil"/>
              <w:bottom w:val="single" w:sz="8" w:space="0" w:color="808080"/>
              <w:right w:val="nil"/>
            </w:tcBorders>
            <w:noWrap/>
            <w:vAlign w:val="center"/>
            <w:hideMark/>
          </w:tcPr>
          <w:p w14:paraId="416C465E"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r>
      <w:tr w:rsidR="00BC27E9" w:rsidRPr="00954407" w14:paraId="352CB3D9" w14:textId="77777777" w:rsidTr="00220FA8">
        <w:trPr>
          <w:trHeight w:val="187"/>
        </w:trPr>
        <w:tc>
          <w:tcPr>
            <w:tcW w:w="2150" w:type="dxa"/>
            <w:tcBorders>
              <w:top w:val="nil"/>
              <w:left w:val="single" w:sz="8" w:space="0" w:color="808080"/>
              <w:bottom w:val="single" w:sz="8" w:space="0" w:color="808080"/>
              <w:right w:val="single" w:sz="8" w:space="0" w:color="808080"/>
            </w:tcBorders>
            <w:noWrap/>
            <w:vAlign w:val="center"/>
            <w:hideMark/>
          </w:tcPr>
          <w:p w14:paraId="7C2938F0"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SO</w:t>
            </w:r>
          </w:p>
        </w:tc>
        <w:tc>
          <w:tcPr>
            <w:tcW w:w="1710" w:type="dxa"/>
            <w:tcBorders>
              <w:top w:val="nil"/>
              <w:left w:val="nil"/>
              <w:bottom w:val="single" w:sz="8" w:space="0" w:color="808080"/>
              <w:right w:val="single" w:sz="8" w:space="0" w:color="808080"/>
            </w:tcBorders>
            <w:shd w:val="clear" w:color="000000" w:fill="FFFFFF"/>
            <w:noWrap/>
            <w:vAlign w:val="center"/>
            <w:hideMark/>
          </w:tcPr>
          <w:p w14:paraId="547A5BAD"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0</w:t>
            </w:r>
          </w:p>
        </w:tc>
        <w:tc>
          <w:tcPr>
            <w:tcW w:w="1088" w:type="dxa"/>
            <w:tcBorders>
              <w:top w:val="nil"/>
              <w:left w:val="nil"/>
              <w:bottom w:val="single" w:sz="8" w:space="0" w:color="808080"/>
              <w:right w:val="single" w:sz="8" w:space="0" w:color="808080"/>
            </w:tcBorders>
            <w:noWrap/>
            <w:vAlign w:val="center"/>
            <w:hideMark/>
          </w:tcPr>
          <w:p w14:paraId="751BEBDD"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0.00%</w:t>
            </w:r>
          </w:p>
        </w:tc>
        <w:tc>
          <w:tcPr>
            <w:tcW w:w="2970" w:type="dxa"/>
            <w:tcBorders>
              <w:top w:val="nil"/>
              <w:left w:val="single" w:sz="8" w:space="0" w:color="FFFFFF"/>
              <w:bottom w:val="single" w:sz="8" w:space="0" w:color="808080"/>
              <w:right w:val="single" w:sz="8" w:space="0" w:color="808080"/>
            </w:tcBorders>
            <w:noWrap/>
            <w:vAlign w:val="center"/>
            <w:hideMark/>
          </w:tcPr>
          <w:p w14:paraId="4B346C54"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xml:space="preserve"> RD$                                -   </w:t>
            </w:r>
          </w:p>
        </w:tc>
      </w:tr>
      <w:tr w:rsidR="00BC27E9" w:rsidRPr="00954407" w14:paraId="6F167BE4" w14:textId="77777777" w:rsidTr="00220FA8">
        <w:trPr>
          <w:trHeight w:val="111"/>
        </w:trPr>
        <w:tc>
          <w:tcPr>
            <w:tcW w:w="2150" w:type="dxa"/>
            <w:tcBorders>
              <w:top w:val="nil"/>
              <w:left w:val="nil"/>
              <w:bottom w:val="nil"/>
              <w:right w:val="nil"/>
            </w:tcBorders>
            <w:noWrap/>
            <w:vAlign w:val="center"/>
            <w:hideMark/>
          </w:tcPr>
          <w:p w14:paraId="0EFC63CD" w14:textId="77777777" w:rsidR="00BC27E9" w:rsidRPr="00954407" w:rsidRDefault="00BC27E9" w:rsidP="00220FA8">
            <w:pPr>
              <w:pStyle w:val="EstilodePrrafoNormal1RdeC"/>
              <w:rPr>
                <w:color w:val="000000"/>
                <w:spacing w:val="0"/>
                <w:lang w:eastAsia="es-DO"/>
              </w:rPr>
            </w:pPr>
          </w:p>
        </w:tc>
        <w:tc>
          <w:tcPr>
            <w:tcW w:w="1710" w:type="dxa"/>
            <w:tcBorders>
              <w:top w:val="nil"/>
              <w:left w:val="nil"/>
              <w:bottom w:val="nil"/>
              <w:right w:val="nil"/>
            </w:tcBorders>
            <w:shd w:val="clear" w:color="000000" w:fill="FFFFFF"/>
            <w:noWrap/>
            <w:vAlign w:val="center"/>
            <w:hideMark/>
          </w:tcPr>
          <w:p w14:paraId="038D6C65"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w:t>
            </w:r>
          </w:p>
        </w:tc>
        <w:tc>
          <w:tcPr>
            <w:tcW w:w="1088" w:type="dxa"/>
            <w:tcBorders>
              <w:top w:val="nil"/>
              <w:left w:val="nil"/>
              <w:bottom w:val="nil"/>
              <w:right w:val="nil"/>
            </w:tcBorders>
            <w:noWrap/>
            <w:vAlign w:val="center"/>
            <w:hideMark/>
          </w:tcPr>
          <w:p w14:paraId="638405A7" w14:textId="77777777" w:rsidR="00BC27E9" w:rsidRPr="00954407" w:rsidRDefault="00BC27E9" w:rsidP="00220FA8">
            <w:pPr>
              <w:pStyle w:val="EstilodePrrafoNormal1RdeC"/>
              <w:rPr>
                <w:color w:val="000000"/>
                <w:spacing w:val="0"/>
                <w:lang w:eastAsia="es-DO"/>
              </w:rPr>
            </w:pPr>
          </w:p>
        </w:tc>
        <w:tc>
          <w:tcPr>
            <w:tcW w:w="2970" w:type="dxa"/>
            <w:tcBorders>
              <w:top w:val="nil"/>
              <w:left w:val="nil"/>
              <w:bottom w:val="nil"/>
              <w:right w:val="nil"/>
            </w:tcBorders>
            <w:noWrap/>
            <w:vAlign w:val="center"/>
            <w:hideMark/>
          </w:tcPr>
          <w:p w14:paraId="5AD9C2E4" w14:textId="77777777" w:rsidR="00BC27E9" w:rsidRPr="00954407" w:rsidRDefault="00BC27E9" w:rsidP="00220FA8">
            <w:pPr>
              <w:pStyle w:val="EstilodePrrafoNormal1RdeC"/>
              <w:rPr>
                <w:color w:val="auto"/>
                <w:spacing w:val="0"/>
                <w:lang w:eastAsia="es-DO"/>
              </w:rPr>
            </w:pPr>
          </w:p>
        </w:tc>
      </w:tr>
      <w:tr w:rsidR="00BC27E9" w:rsidRPr="00954407" w14:paraId="49F371FA" w14:textId="77777777" w:rsidTr="00220FA8">
        <w:trPr>
          <w:trHeight w:val="238"/>
        </w:trPr>
        <w:tc>
          <w:tcPr>
            <w:tcW w:w="2150" w:type="dxa"/>
            <w:tcBorders>
              <w:top w:val="single" w:sz="8" w:space="0" w:color="808080"/>
              <w:left w:val="single" w:sz="8" w:space="0" w:color="808080"/>
              <w:bottom w:val="single" w:sz="8" w:space="0" w:color="808080"/>
              <w:right w:val="single" w:sz="8" w:space="0" w:color="808080"/>
            </w:tcBorders>
            <w:noWrap/>
            <w:vAlign w:val="center"/>
            <w:hideMark/>
          </w:tcPr>
          <w:p w14:paraId="4C9BDC94"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CP</w:t>
            </w:r>
          </w:p>
        </w:tc>
        <w:tc>
          <w:tcPr>
            <w:tcW w:w="1710" w:type="dxa"/>
            <w:tcBorders>
              <w:top w:val="single" w:sz="8" w:space="0" w:color="808080"/>
              <w:left w:val="nil"/>
              <w:bottom w:val="single" w:sz="8" w:space="0" w:color="808080"/>
              <w:right w:val="single" w:sz="8" w:space="0" w:color="808080"/>
            </w:tcBorders>
            <w:shd w:val="clear" w:color="000000" w:fill="FFFFFF"/>
            <w:noWrap/>
            <w:vAlign w:val="center"/>
            <w:hideMark/>
          </w:tcPr>
          <w:p w14:paraId="1269F242"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7</w:t>
            </w:r>
          </w:p>
        </w:tc>
        <w:tc>
          <w:tcPr>
            <w:tcW w:w="1088" w:type="dxa"/>
            <w:tcBorders>
              <w:top w:val="single" w:sz="8" w:space="0" w:color="808080"/>
              <w:left w:val="nil"/>
              <w:bottom w:val="single" w:sz="8" w:space="0" w:color="808080"/>
              <w:right w:val="single" w:sz="8" w:space="0" w:color="808080"/>
            </w:tcBorders>
            <w:noWrap/>
            <w:vAlign w:val="center"/>
            <w:hideMark/>
          </w:tcPr>
          <w:p w14:paraId="057F9550"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0.18%</w:t>
            </w:r>
          </w:p>
        </w:tc>
        <w:tc>
          <w:tcPr>
            <w:tcW w:w="2970" w:type="dxa"/>
            <w:tcBorders>
              <w:top w:val="single" w:sz="8" w:space="0" w:color="808080"/>
              <w:left w:val="single" w:sz="8" w:space="0" w:color="FFFFFF"/>
              <w:bottom w:val="single" w:sz="8" w:space="0" w:color="808080"/>
              <w:right w:val="single" w:sz="8" w:space="0" w:color="808080"/>
            </w:tcBorders>
            <w:noWrap/>
            <w:vAlign w:val="center"/>
            <w:hideMark/>
          </w:tcPr>
          <w:p w14:paraId="0A8FCE8B"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xml:space="preserve"> RD$              17,221,820.45 </w:t>
            </w:r>
          </w:p>
        </w:tc>
      </w:tr>
      <w:tr w:rsidR="00BC27E9" w:rsidRPr="00954407" w14:paraId="279298B2" w14:textId="77777777" w:rsidTr="00220FA8">
        <w:trPr>
          <w:trHeight w:val="111"/>
        </w:trPr>
        <w:tc>
          <w:tcPr>
            <w:tcW w:w="2150" w:type="dxa"/>
            <w:tcBorders>
              <w:top w:val="nil"/>
              <w:left w:val="nil"/>
              <w:bottom w:val="nil"/>
              <w:right w:val="nil"/>
            </w:tcBorders>
            <w:noWrap/>
            <w:vAlign w:val="center"/>
            <w:hideMark/>
          </w:tcPr>
          <w:p w14:paraId="1B68689A" w14:textId="77777777" w:rsidR="00BC27E9" w:rsidRPr="00954407" w:rsidRDefault="00BC27E9" w:rsidP="00220FA8">
            <w:pPr>
              <w:pStyle w:val="EstilodePrrafoNormal1RdeC"/>
              <w:rPr>
                <w:color w:val="000000"/>
                <w:spacing w:val="0"/>
                <w:lang w:eastAsia="es-DO"/>
              </w:rPr>
            </w:pPr>
          </w:p>
        </w:tc>
        <w:tc>
          <w:tcPr>
            <w:tcW w:w="1710" w:type="dxa"/>
            <w:tcBorders>
              <w:top w:val="nil"/>
              <w:left w:val="nil"/>
              <w:bottom w:val="nil"/>
              <w:right w:val="nil"/>
            </w:tcBorders>
            <w:shd w:val="clear" w:color="000000" w:fill="FFFFFF"/>
            <w:noWrap/>
            <w:vAlign w:val="center"/>
            <w:hideMark/>
          </w:tcPr>
          <w:p w14:paraId="0F819B30"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w:t>
            </w:r>
          </w:p>
        </w:tc>
        <w:tc>
          <w:tcPr>
            <w:tcW w:w="1088" w:type="dxa"/>
            <w:tcBorders>
              <w:top w:val="nil"/>
              <w:left w:val="nil"/>
              <w:bottom w:val="nil"/>
              <w:right w:val="nil"/>
            </w:tcBorders>
            <w:noWrap/>
            <w:vAlign w:val="center"/>
            <w:hideMark/>
          </w:tcPr>
          <w:p w14:paraId="7A2B3F99" w14:textId="77777777" w:rsidR="00BC27E9" w:rsidRPr="00954407" w:rsidRDefault="00BC27E9" w:rsidP="00220FA8">
            <w:pPr>
              <w:pStyle w:val="EstilodePrrafoNormal1RdeC"/>
              <w:rPr>
                <w:color w:val="000000"/>
                <w:spacing w:val="0"/>
                <w:lang w:eastAsia="es-DO"/>
              </w:rPr>
            </w:pPr>
          </w:p>
        </w:tc>
        <w:tc>
          <w:tcPr>
            <w:tcW w:w="2970" w:type="dxa"/>
            <w:tcBorders>
              <w:top w:val="nil"/>
              <w:left w:val="nil"/>
              <w:bottom w:val="nil"/>
              <w:right w:val="nil"/>
            </w:tcBorders>
            <w:noWrap/>
            <w:vAlign w:val="center"/>
            <w:hideMark/>
          </w:tcPr>
          <w:p w14:paraId="6833D581" w14:textId="77777777" w:rsidR="00BC27E9" w:rsidRPr="00954407" w:rsidRDefault="00BC27E9" w:rsidP="00220FA8">
            <w:pPr>
              <w:pStyle w:val="EstilodePrrafoNormal1RdeC"/>
              <w:rPr>
                <w:color w:val="auto"/>
                <w:spacing w:val="0"/>
                <w:lang w:eastAsia="es-DO"/>
              </w:rPr>
            </w:pPr>
          </w:p>
        </w:tc>
      </w:tr>
      <w:tr w:rsidR="00BC27E9" w:rsidRPr="00954407" w14:paraId="71DA8B6A" w14:textId="77777777" w:rsidTr="00220FA8">
        <w:trPr>
          <w:trHeight w:val="238"/>
        </w:trPr>
        <w:tc>
          <w:tcPr>
            <w:tcW w:w="2150" w:type="dxa"/>
            <w:tcBorders>
              <w:top w:val="single" w:sz="8" w:space="0" w:color="808080"/>
              <w:left w:val="single" w:sz="8" w:space="0" w:color="808080"/>
              <w:bottom w:val="single" w:sz="8" w:space="0" w:color="808080"/>
              <w:right w:val="single" w:sz="8" w:space="0" w:color="808080"/>
            </w:tcBorders>
            <w:noWrap/>
            <w:vAlign w:val="center"/>
            <w:hideMark/>
          </w:tcPr>
          <w:p w14:paraId="3DF8AE8B"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CM</w:t>
            </w:r>
          </w:p>
        </w:tc>
        <w:tc>
          <w:tcPr>
            <w:tcW w:w="1710" w:type="dxa"/>
            <w:tcBorders>
              <w:top w:val="single" w:sz="8" w:space="0" w:color="808080"/>
              <w:left w:val="nil"/>
              <w:bottom w:val="single" w:sz="8" w:space="0" w:color="808080"/>
              <w:right w:val="single" w:sz="8" w:space="0" w:color="808080"/>
            </w:tcBorders>
            <w:shd w:val="clear" w:color="000000" w:fill="FFFFFF"/>
            <w:noWrap/>
            <w:vAlign w:val="center"/>
            <w:hideMark/>
          </w:tcPr>
          <w:p w14:paraId="084CE816"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35</w:t>
            </w:r>
          </w:p>
        </w:tc>
        <w:tc>
          <w:tcPr>
            <w:tcW w:w="1088" w:type="dxa"/>
            <w:tcBorders>
              <w:top w:val="single" w:sz="8" w:space="0" w:color="808080"/>
              <w:left w:val="nil"/>
              <w:bottom w:val="single" w:sz="8" w:space="0" w:color="808080"/>
              <w:right w:val="single" w:sz="8" w:space="0" w:color="808080"/>
            </w:tcBorders>
            <w:noWrap/>
            <w:vAlign w:val="center"/>
            <w:hideMark/>
          </w:tcPr>
          <w:p w14:paraId="09704274"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0.47%</w:t>
            </w:r>
          </w:p>
        </w:tc>
        <w:tc>
          <w:tcPr>
            <w:tcW w:w="2970" w:type="dxa"/>
            <w:tcBorders>
              <w:top w:val="single" w:sz="8" w:space="0" w:color="808080"/>
              <w:left w:val="single" w:sz="8" w:space="0" w:color="FFFFFF"/>
              <w:bottom w:val="single" w:sz="8" w:space="0" w:color="808080"/>
              <w:right w:val="single" w:sz="8" w:space="0" w:color="808080"/>
            </w:tcBorders>
            <w:noWrap/>
            <w:vAlign w:val="center"/>
            <w:hideMark/>
          </w:tcPr>
          <w:p w14:paraId="32B200EE"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xml:space="preserve"> RD$              44,568,620.09 </w:t>
            </w:r>
          </w:p>
        </w:tc>
      </w:tr>
      <w:tr w:rsidR="00BC27E9" w:rsidRPr="00954407" w14:paraId="1866209B" w14:textId="77777777" w:rsidTr="00220FA8">
        <w:trPr>
          <w:trHeight w:val="101"/>
        </w:trPr>
        <w:tc>
          <w:tcPr>
            <w:tcW w:w="2150" w:type="dxa"/>
            <w:tcBorders>
              <w:top w:val="nil"/>
              <w:left w:val="nil"/>
              <w:bottom w:val="single" w:sz="8" w:space="0" w:color="808080"/>
              <w:right w:val="nil"/>
            </w:tcBorders>
            <w:noWrap/>
            <w:vAlign w:val="center"/>
            <w:hideMark/>
          </w:tcPr>
          <w:p w14:paraId="6823635B"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c>
          <w:tcPr>
            <w:tcW w:w="1710" w:type="dxa"/>
            <w:tcBorders>
              <w:top w:val="nil"/>
              <w:left w:val="nil"/>
              <w:bottom w:val="single" w:sz="8" w:space="0" w:color="808080"/>
              <w:right w:val="nil"/>
            </w:tcBorders>
            <w:shd w:val="clear" w:color="000000" w:fill="FFFFFF"/>
            <w:noWrap/>
            <w:vAlign w:val="center"/>
            <w:hideMark/>
          </w:tcPr>
          <w:p w14:paraId="30A79205"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w:t>
            </w:r>
          </w:p>
        </w:tc>
        <w:tc>
          <w:tcPr>
            <w:tcW w:w="1088" w:type="dxa"/>
            <w:tcBorders>
              <w:top w:val="nil"/>
              <w:left w:val="nil"/>
              <w:bottom w:val="single" w:sz="8" w:space="0" w:color="808080"/>
              <w:right w:val="nil"/>
            </w:tcBorders>
            <w:noWrap/>
            <w:vAlign w:val="center"/>
            <w:hideMark/>
          </w:tcPr>
          <w:p w14:paraId="27999C3D"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c>
          <w:tcPr>
            <w:tcW w:w="2970" w:type="dxa"/>
            <w:tcBorders>
              <w:top w:val="nil"/>
              <w:left w:val="nil"/>
              <w:bottom w:val="single" w:sz="8" w:space="0" w:color="808080"/>
              <w:right w:val="nil"/>
            </w:tcBorders>
            <w:noWrap/>
            <w:vAlign w:val="center"/>
            <w:hideMark/>
          </w:tcPr>
          <w:p w14:paraId="4B0BA282"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r>
      <w:tr w:rsidR="00BC27E9" w:rsidRPr="00954407" w14:paraId="37FB92CD" w14:textId="77777777" w:rsidTr="00220FA8">
        <w:trPr>
          <w:trHeight w:val="238"/>
        </w:trPr>
        <w:tc>
          <w:tcPr>
            <w:tcW w:w="2150" w:type="dxa"/>
            <w:tcBorders>
              <w:top w:val="nil"/>
              <w:left w:val="single" w:sz="8" w:space="0" w:color="808080"/>
              <w:bottom w:val="single" w:sz="8" w:space="0" w:color="808080"/>
              <w:right w:val="single" w:sz="8" w:space="0" w:color="808080"/>
            </w:tcBorders>
            <w:noWrap/>
            <w:vAlign w:val="center"/>
            <w:hideMark/>
          </w:tcPr>
          <w:p w14:paraId="20FDA9CF"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SI</w:t>
            </w:r>
          </w:p>
        </w:tc>
        <w:tc>
          <w:tcPr>
            <w:tcW w:w="1710" w:type="dxa"/>
            <w:tcBorders>
              <w:top w:val="nil"/>
              <w:left w:val="nil"/>
              <w:bottom w:val="single" w:sz="8" w:space="0" w:color="808080"/>
              <w:right w:val="single" w:sz="8" w:space="0" w:color="808080"/>
            </w:tcBorders>
            <w:shd w:val="clear" w:color="000000" w:fill="FFFFFF"/>
            <w:noWrap/>
            <w:vAlign w:val="center"/>
            <w:hideMark/>
          </w:tcPr>
          <w:p w14:paraId="3E683953"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5</w:t>
            </w:r>
          </w:p>
        </w:tc>
        <w:tc>
          <w:tcPr>
            <w:tcW w:w="1088" w:type="dxa"/>
            <w:tcBorders>
              <w:top w:val="nil"/>
              <w:left w:val="nil"/>
              <w:bottom w:val="single" w:sz="8" w:space="0" w:color="808080"/>
              <w:right w:val="single" w:sz="8" w:space="0" w:color="808080"/>
            </w:tcBorders>
            <w:noWrap/>
            <w:vAlign w:val="center"/>
            <w:hideMark/>
          </w:tcPr>
          <w:p w14:paraId="3F6BF7CC"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12.56%</w:t>
            </w:r>
          </w:p>
        </w:tc>
        <w:tc>
          <w:tcPr>
            <w:tcW w:w="2970" w:type="dxa"/>
            <w:tcBorders>
              <w:top w:val="nil"/>
              <w:left w:val="single" w:sz="8" w:space="0" w:color="FFFFFF"/>
              <w:bottom w:val="single" w:sz="8" w:space="0" w:color="808080"/>
              <w:right w:val="single" w:sz="8" w:space="0" w:color="808080"/>
            </w:tcBorders>
            <w:noWrap/>
            <w:vAlign w:val="center"/>
            <w:hideMark/>
          </w:tcPr>
          <w:p w14:paraId="2C0E345D"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xml:space="preserve"> RD$          1,192,375,589.63 </w:t>
            </w:r>
          </w:p>
        </w:tc>
      </w:tr>
      <w:tr w:rsidR="00BC27E9" w:rsidRPr="00954407" w14:paraId="689BA19F" w14:textId="77777777" w:rsidTr="00220FA8">
        <w:trPr>
          <w:trHeight w:val="101"/>
        </w:trPr>
        <w:tc>
          <w:tcPr>
            <w:tcW w:w="2150" w:type="dxa"/>
            <w:tcBorders>
              <w:top w:val="nil"/>
              <w:left w:val="nil"/>
              <w:bottom w:val="single" w:sz="8" w:space="0" w:color="808080"/>
              <w:right w:val="nil"/>
            </w:tcBorders>
            <w:noWrap/>
            <w:vAlign w:val="center"/>
            <w:hideMark/>
          </w:tcPr>
          <w:p w14:paraId="493B9318"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c>
          <w:tcPr>
            <w:tcW w:w="1710" w:type="dxa"/>
            <w:tcBorders>
              <w:top w:val="nil"/>
              <w:left w:val="nil"/>
              <w:bottom w:val="single" w:sz="8" w:space="0" w:color="808080"/>
              <w:right w:val="nil"/>
            </w:tcBorders>
            <w:shd w:val="clear" w:color="000000" w:fill="FFFFFF"/>
            <w:noWrap/>
            <w:vAlign w:val="center"/>
            <w:hideMark/>
          </w:tcPr>
          <w:p w14:paraId="0D86EAA5"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w:t>
            </w:r>
          </w:p>
        </w:tc>
        <w:tc>
          <w:tcPr>
            <w:tcW w:w="1088" w:type="dxa"/>
            <w:tcBorders>
              <w:top w:val="nil"/>
              <w:left w:val="nil"/>
              <w:bottom w:val="single" w:sz="8" w:space="0" w:color="808080"/>
              <w:right w:val="nil"/>
            </w:tcBorders>
            <w:noWrap/>
            <w:vAlign w:val="center"/>
            <w:hideMark/>
          </w:tcPr>
          <w:p w14:paraId="0BE47723"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c>
          <w:tcPr>
            <w:tcW w:w="2970" w:type="dxa"/>
            <w:tcBorders>
              <w:top w:val="nil"/>
              <w:left w:val="nil"/>
              <w:bottom w:val="single" w:sz="8" w:space="0" w:color="808080"/>
              <w:right w:val="nil"/>
            </w:tcBorders>
            <w:noWrap/>
            <w:vAlign w:val="center"/>
            <w:hideMark/>
          </w:tcPr>
          <w:p w14:paraId="56BB4039"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 </w:t>
            </w:r>
          </w:p>
        </w:tc>
      </w:tr>
      <w:tr w:rsidR="00BC27E9" w:rsidRPr="00954407" w14:paraId="5DDDE943" w14:textId="77777777" w:rsidTr="00220FA8">
        <w:trPr>
          <w:trHeight w:val="215"/>
        </w:trPr>
        <w:tc>
          <w:tcPr>
            <w:tcW w:w="2150" w:type="dxa"/>
            <w:tcBorders>
              <w:top w:val="nil"/>
              <w:left w:val="single" w:sz="8" w:space="0" w:color="808080"/>
              <w:bottom w:val="single" w:sz="8" w:space="0" w:color="808080"/>
              <w:right w:val="single" w:sz="8" w:space="0" w:color="808080"/>
            </w:tcBorders>
            <w:noWrap/>
            <w:vAlign w:val="center"/>
            <w:hideMark/>
          </w:tcPr>
          <w:p w14:paraId="35944593"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CD</w:t>
            </w:r>
          </w:p>
        </w:tc>
        <w:tc>
          <w:tcPr>
            <w:tcW w:w="1710" w:type="dxa"/>
            <w:tcBorders>
              <w:top w:val="nil"/>
              <w:left w:val="nil"/>
              <w:bottom w:val="single" w:sz="8" w:space="0" w:color="808080"/>
              <w:right w:val="single" w:sz="8" w:space="0" w:color="808080"/>
            </w:tcBorders>
            <w:shd w:val="clear" w:color="000000" w:fill="FFFFFF"/>
            <w:noWrap/>
            <w:vAlign w:val="center"/>
            <w:hideMark/>
          </w:tcPr>
          <w:p w14:paraId="143DF910"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23</w:t>
            </w:r>
          </w:p>
        </w:tc>
        <w:tc>
          <w:tcPr>
            <w:tcW w:w="1088" w:type="dxa"/>
            <w:tcBorders>
              <w:top w:val="nil"/>
              <w:left w:val="nil"/>
              <w:bottom w:val="single" w:sz="8" w:space="0" w:color="808080"/>
              <w:right w:val="single" w:sz="8" w:space="0" w:color="808080"/>
            </w:tcBorders>
            <w:noWrap/>
            <w:vAlign w:val="center"/>
            <w:hideMark/>
          </w:tcPr>
          <w:p w14:paraId="28889A6E" w14:textId="77777777" w:rsidR="00BC27E9" w:rsidRPr="00954407" w:rsidRDefault="00BC27E9" w:rsidP="00220FA8">
            <w:pPr>
              <w:pStyle w:val="EstilodePrrafoNormal1RdeC"/>
              <w:rPr>
                <w:color w:val="auto"/>
                <w:spacing w:val="0"/>
                <w:lang w:eastAsia="es-DO"/>
              </w:rPr>
            </w:pPr>
            <w:r w:rsidRPr="00954407">
              <w:rPr>
                <w:color w:val="auto"/>
                <w:spacing w:val="0"/>
                <w:lang w:eastAsia="es-DO"/>
              </w:rPr>
              <w:t>0.05%</w:t>
            </w:r>
          </w:p>
        </w:tc>
        <w:tc>
          <w:tcPr>
            <w:tcW w:w="2970" w:type="dxa"/>
            <w:tcBorders>
              <w:top w:val="nil"/>
              <w:left w:val="single" w:sz="8" w:space="0" w:color="FFFFFF"/>
              <w:bottom w:val="single" w:sz="8" w:space="0" w:color="808080"/>
              <w:right w:val="single" w:sz="8" w:space="0" w:color="808080"/>
            </w:tcBorders>
            <w:noWrap/>
            <w:vAlign w:val="center"/>
            <w:hideMark/>
          </w:tcPr>
          <w:p w14:paraId="1B99299B" w14:textId="77777777" w:rsidR="00BC27E9" w:rsidRPr="00954407" w:rsidRDefault="00BC27E9" w:rsidP="00220FA8">
            <w:pPr>
              <w:pStyle w:val="EstilodePrrafoNormal1RdeC"/>
              <w:rPr>
                <w:color w:val="000000"/>
                <w:spacing w:val="0"/>
                <w:lang w:eastAsia="es-DO"/>
              </w:rPr>
            </w:pPr>
            <w:r w:rsidRPr="00954407">
              <w:rPr>
                <w:color w:val="000000"/>
                <w:spacing w:val="0"/>
                <w:lang w:eastAsia="es-DO"/>
              </w:rPr>
              <w:t xml:space="preserve"> RD$                5,066,218.91 </w:t>
            </w:r>
          </w:p>
        </w:tc>
      </w:tr>
      <w:tr w:rsidR="00BC27E9" w:rsidRPr="00954407" w14:paraId="4FF81D18" w14:textId="77777777" w:rsidTr="00220FA8">
        <w:trPr>
          <w:trHeight w:val="93"/>
        </w:trPr>
        <w:tc>
          <w:tcPr>
            <w:tcW w:w="2150" w:type="dxa"/>
            <w:tcBorders>
              <w:top w:val="nil"/>
              <w:left w:val="nil"/>
              <w:bottom w:val="nil"/>
              <w:right w:val="nil"/>
            </w:tcBorders>
            <w:noWrap/>
            <w:vAlign w:val="bottom"/>
            <w:hideMark/>
          </w:tcPr>
          <w:p w14:paraId="254A93E5" w14:textId="77777777" w:rsidR="00BC27E9" w:rsidRPr="00954407" w:rsidRDefault="00BC27E9" w:rsidP="00220FA8">
            <w:pPr>
              <w:pStyle w:val="EstilodePrrafoNormal1RdeC"/>
              <w:rPr>
                <w:color w:val="000000"/>
                <w:spacing w:val="0"/>
                <w:lang w:eastAsia="es-DO"/>
              </w:rPr>
            </w:pPr>
          </w:p>
        </w:tc>
        <w:tc>
          <w:tcPr>
            <w:tcW w:w="1710" w:type="dxa"/>
            <w:tcBorders>
              <w:top w:val="nil"/>
              <w:left w:val="nil"/>
              <w:bottom w:val="nil"/>
              <w:right w:val="nil"/>
            </w:tcBorders>
            <w:noWrap/>
            <w:vAlign w:val="bottom"/>
            <w:hideMark/>
          </w:tcPr>
          <w:p w14:paraId="391888E4" w14:textId="77777777" w:rsidR="00BC27E9" w:rsidRPr="00954407" w:rsidRDefault="00BC27E9" w:rsidP="00220FA8">
            <w:pPr>
              <w:pStyle w:val="EstilodePrrafoNormal1RdeC"/>
              <w:rPr>
                <w:color w:val="auto"/>
                <w:spacing w:val="0"/>
                <w:lang w:eastAsia="es-DO"/>
              </w:rPr>
            </w:pPr>
          </w:p>
        </w:tc>
        <w:tc>
          <w:tcPr>
            <w:tcW w:w="1088" w:type="dxa"/>
            <w:tcBorders>
              <w:top w:val="nil"/>
              <w:left w:val="nil"/>
              <w:bottom w:val="nil"/>
              <w:right w:val="nil"/>
            </w:tcBorders>
            <w:noWrap/>
            <w:vAlign w:val="bottom"/>
            <w:hideMark/>
          </w:tcPr>
          <w:p w14:paraId="7D485E5A" w14:textId="77777777" w:rsidR="00BC27E9" w:rsidRPr="00954407" w:rsidRDefault="00BC27E9" w:rsidP="00220FA8">
            <w:pPr>
              <w:pStyle w:val="EstilodePrrafoNormal1RdeC"/>
              <w:rPr>
                <w:color w:val="auto"/>
                <w:spacing w:val="0"/>
                <w:lang w:eastAsia="es-DO"/>
              </w:rPr>
            </w:pPr>
          </w:p>
        </w:tc>
        <w:tc>
          <w:tcPr>
            <w:tcW w:w="2970" w:type="dxa"/>
            <w:tcBorders>
              <w:top w:val="nil"/>
              <w:left w:val="nil"/>
              <w:bottom w:val="nil"/>
              <w:right w:val="nil"/>
            </w:tcBorders>
            <w:noWrap/>
            <w:vAlign w:val="bottom"/>
            <w:hideMark/>
          </w:tcPr>
          <w:p w14:paraId="5C58A67E" w14:textId="77777777" w:rsidR="00BC27E9" w:rsidRPr="00954407" w:rsidRDefault="00BC27E9" w:rsidP="00220FA8">
            <w:pPr>
              <w:pStyle w:val="EstilodePrrafoNormal1RdeC"/>
              <w:rPr>
                <w:color w:val="auto"/>
                <w:spacing w:val="0"/>
                <w:lang w:eastAsia="es-DO"/>
              </w:rPr>
            </w:pPr>
          </w:p>
        </w:tc>
      </w:tr>
      <w:tr w:rsidR="00BC27E9" w:rsidRPr="00954407" w14:paraId="2B2FEEC2" w14:textId="77777777" w:rsidTr="00220FA8">
        <w:trPr>
          <w:trHeight w:val="178"/>
        </w:trPr>
        <w:tc>
          <w:tcPr>
            <w:tcW w:w="3860" w:type="dxa"/>
            <w:gridSpan w:val="2"/>
            <w:tcBorders>
              <w:top w:val="single" w:sz="8" w:space="0" w:color="808080"/>
              <w:left w:val="single" w:sz="8" w:space="0" w:color="808080"/>
              <w:bottom w:val="single" w:sz="8" w:space="0" w:color="808080"/>
              <w:right w:val="single" w:sz="8" w:space="0" w:color="FFFFFF"/>
            </w:tcBorders>
            <w:shd w:val="clear" w:color="auto" w:fill="002060"/>
            <w:vAlign w:val="center"/>
            <w:hideMark/>
          </w:tcPr>
          <w:p w14:paraId="7C80FC14" w14:textId="77777777" w:rsidR="00BC27E9" w:rsidRPr="00954407" w:rsidRDefault="00BC27E9" w:rsidP="00220FA8">
            <w:pPr>
              <w:pStyle w:val="EstilodePrrafoNormal1RdeC"/>
              <w:rPr>
                <w:color w:val="FFFFFF" w:themeColor="background1"/>
                <w:spacing w:val="0"/>
                <w:lang w:eastAsia="es-DO"/>
              </w:rPr>
            </w:pPr>
            <w:r w:rsidRPr="00954407">
              <w:rPr>
                <w:color w:val="FFFFFF" w:themeColor="background1"/>
                <w:spacing w:val="0"/>
                <w:lang w:eastAsia="es-DO"/>
              </w:rPr>
              <w:t>TOTALES</w:t>
            </w:r>
          </w:p>
        </w:tc>
        <w:tc>
          <w:tcPr>
            <w:tcW w:w="1088" w:type="dxa"/>
            <w:tcBorders>
              <w:top w:val="single" w:sz="8" w:space="0" w:color="808080"/>
              <w:left w:val="nil"/>
              <w:bottom w:val="single" w:sz="8" w:space="0" w:color="808080"/>
              <w:right w:val="single" w:sz="8" w:space="0" w:color="FFFFFF"/>
            </w:tcBorders>
            <w:shd w:val="clear" w:color="auto" w:fill="002060"/>
            <w:noWrap/>
            <w:vAlign w:val="center"/>
            <w:hideMark/>
          </w:tcPr>
          <w:p w14:paraId="7B538DB6" w14:textId="77777777" w:rsidR="00BC27E9" w:rsidRPr="00954407" w:rsidRDefault="00BC27E9" w:rsidP="00220FA8">
            <w:pPr>
              <w:pStyle w:val="EstilodePrrafoNormal1RdeC"/>
              <w:rPr>
                <w:color w:val="FFFFFF" w:themeColor="background1"/>
                <w:spacing w:val="0"/>
                <w:lang w:eastAsia="es-DO"/>
              </w:rPr>
            </w:pPr>
            <w:r w:rsidRPr="00954407">
              <w:rPr>
                <w:color w:val="FFFFFF" w:themeColor="background1"/>
                <w:spacing w:val="0"/>
                <w:lang w:eastAsia="es-DO"/>
              </w:rPr>
              <w:t>100%</w:t>
            </w:r>
          </w:p>
        </w:tc>
        <w:tc>
          <w:tcPr>
            <w:tcW w:w="2970" w:type="dxa"/>
            <w:tcBorders>
              <w:top w:val="single" w:sz="8" w:space="0" w:color="808080"/>
              <w:left w:val="nil"/>
              <w:bottom w:val="single" w:sz="8" w:space="0" w:color="808080"/>
              <w:right w:val="single" w:sz="8" w:space="0" w:color="808080"/>
            </w:tcBorders>
            <w:shd w:val="clear" w:color="auto" w:fill="002060"/>
            <w:noWrap/>
            <w:vAlign w:val="center"/>
            <w:hideMark/>
          </w:tcPr>
          <w:p w14:paraId="4F708876" w14:textId="77777777" w:rsidR="00BC27E9" w:rsidRPr="00954407" w:rsidRDefault="00BC27E9" w:rsidP="00220FA8">
            <w:pPr>
              <w:pStyle w:val="EstilodePrrafoNormal1RdeC"/>
              <w:rPr>
                <w:color w:val="FFFFFF" w:themeColor="background1"/>
                <w:spacing w:val="0"/>
                <w:lang w:eastAsia="es-DO"/>
              </w:rPr>
            </w:pPr>
            <w:r w:rsidRPr="00954407">
              <w:rPr>
                <w:color w:val="FFFFFF" w:themeColor="background1"/>
                <w:spacing w:val="0"/>
                <w:lang w:eastAsia="es-DO"/>
              </w:rPr>
              <w:t xml:space="preserve"> RD$       9,423,560,957.85 </w:t>
            </w:r>
          </w:p>
        </w:tc>
      </w:tr>
    </w:tbl>
    <w:p w14:paraId="68E764C9" w14:textId="77777777" w:rsidR="00BC27E9" w:rsidRPr="00954407" w:rsidRDefault="00BC27E9" w:rsidP="00BC27E9">
      <w:pPr>
        <w:pStyle w:val="EstilodePrrafoNormal1RdeC"/>
      </w:pPr>
    </w:p>
    <w:p w14:paraId="10126AD5" w14:textId="77777777" w:rsidR="00BC27E9" w:rsidRPr="00954407" w:rsidRDefault="00BC27E9" w:rsidP="00BC27E9">
      <w:pPr>
        <w:pStyle w:val="EstilodePrrafoNormal1RdeC"/>
      </w:pPr>
      <w:r w:rsidRPr="00954407">
        <w:rPr>
          <w:noProof/>
          <w:lang w:eastAsia="es-DO"/>
        </w:rPr>
        <w:lastRenderedPageBreak/>
        <w:drawing>
          <wp:inline distT="0" distB="0" distL="0" distR="0" wp14:anchorId="45D84C6B" wp14:editId="15F86DC7">
            <wp:extent cx="4959350" cy="2675890"/>
            <wp:effectExtent l="0" t="0" r="12700" b="10160"/>
            <wp:docPr id="1877695310" name="Gráfico 1877695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D9931DD" w14:textId="77777777" w:rsidR="00BC27E9" w:rsidRPr="00954407" w:rsidRDefault="00BC27E9" w:rsidP="00BC27E9">
      <w:pPr>
        <w:pStyle w:val="EstilodePrrafoNormal1RdeC"/>
      </w:pPr>
    </w:p>
    <w:p w14:paraId="691AC5DF" w14:textId="77777777" w:rsidR="00BC27E9" w:rsidRPr="00954407" w:rsidRDefault="00BC27E9" w:rsidP="00BC27E9">
      <w:pPr>
        <w:pStyle w:val="EstilodePrrafoNormal1RdeC"/>
      </w:pPr>
    </w:p>
    <w:p w14:paraId="4325ED01" w14:textId="77777777" w:rsidR="00BC27E9" w:rsidRPr="00954407" w:rsidRDefault="00BC27E9" w:rsidP="00BC27E9">
      <w:pPr>
        <w:pStyle w:val="EstilodePrrafoNormal1RdeC"/>
        <w:rPr>
          <w:rFonts w:eastAsia="Calibri"/>
        </w:rPr>
      </w:pPr>
      <w:r w:rsidRPr="00954407">
        <w:rPr>
          <w:noProof/>
          <w:lang w:eastAsia="es-DO"/>
        </w:rPr>
        <w:drawing>
          <wp:anchor distT="0" distB="0" distL="114300" distR="114300" simplePos="0" relativeHeight="251685888" behindDoc="0" locked="0" layoutInCell="1" allowOverlap="1" wp14:anchorId="76983B03" wp14:editId="491CEC7B">
            <wp:simplePos x="0" y="0"/>
            <wp:positionH relativeFrom="column">
              <wp:posOffset>-162560</wp:posOffset>
            </wp:positionH>
            <wp:positionV relativeFrom="paragraph">
              <wp:posOffset>0</wp:posOffset>
            </wp:positionV>
            <wp:extent cx="5323840" cy="4531360"/>
            <wp:effectExtent l="0" t="0" r="10160" b="2540"/>
            <wp:wrapThrough wrapText="bothSides">
              <wp:wrapPolygon edited="0">
                <wp:start x="0" y="0"/>
                <wp:lineTo x="0" y="21521"/>
                <wp:lineTo x="21564" y="21521"/>
                <wp:lineTo x="21564" y="0"/>
                <wp:lineTo x="0" y="0"/>
              </wp:wrapPolygon>
            </wp:wrapThrough>
            <wp:docPr id="1877695311" name="Gráfico 1877695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14:sizeRelH relativeFrom="margin">
              <wp14:pctWidth>0</wp14:pctWidth>
            </wp14:sizeRelH>
            <wp14:sizeRelV relativeFrom="margin">
              <wp14:pctHeight>0</wp14:pctHeight>
            </wp14:sizeRelV>
          </wp:anchor>
        </w:drawing>
      </w:r>
    </w:p>
    <w:p w14:paraId="680F3740" w14:textId="63673D3D" w:rsidR="00BC27E9" w:rsidRPr="00634A56" w:rsidRDefault="00BC27E9" w:rsidP="00634A56">
      <w:pPr>
        <w:pStyle w:val="Heading2"/>
        <w:rPr>
          <w:rFonts w:ascii="Times New Roman" w:hAnsi="Times New Roman" w:cs="Times New Roman"/>
          <w:b/>
          <w:bCs/>
          <w:color w:val="767171"/>
          <w:sz w:val="24"/>
          <w:szCs w:val="24"/>
        </w:rPr>
      </w:pPr>
      <w:bookmarkStart w:id="187" w:name="_Toc217402165"/>
      <w:r w:rsidRPr="00634A56">
        <w:rPr>
          <w:rFonts w:ascii="Times New Roman" w:hAnsi="Times New Roman" w:cs="Times New Roman"/>
          <w:b/>
          <w:bCs/>
          <w:color w:val="767171"/>
          <w:sz w:val="24"/>
          <w:szCs w:val="24"/>
        </w:rPr>
        <w:lastRenderedPageBreak/>
        <w:t>Resumen de Compras y Contrataciones realizadas por tipo de empresas en el año 2025</w:t>
      </w:r>
      <w:r w:rsidR="00634A56" w:rsidRPr="00634A56">
        <w:rPr>
          <w:rFonts w:ascii="Times New Roman" w:hAnsi="Times New Roman" w:cs="Times New Roman"/>
          <w:b/>
          <w:bCs/>
          <w:color w:val="767171"/>
          <w:sz w:val="24"/>
          <w:szCs w:val="24"/>
        </w:rPr>
        <w:t>`</w:t>
      </w:r>
      <w:bookmarkEnd w:id="187"/>
    </w:p>
    <w:p w14:paraId="3E70A503" w14:textId="6E51FFA4" w:rsidR="00634A56" w:rsidRDefault="00634A56" w:rsidP="00BC27E9">
      <w:pPr>
        <w:pStyle w:val="EstilodePrrafoNormal1RdeC"/>
        <w:rPr>
          <w:spacing w:val="30"/>
          <w:kern w:val="38"/>
          <w:szCs w:val="32"/>
        </w:rPr>
      </w:pPr>
      <w:r w:rsidRPr="00634A56">
        <w:rPr>
          <w:rFonts w:eastAsiaTheme="majorEastAsia"/>
          <w:b/>
          <w:bCs/>
          <w:noProof/>
          <w:color w:val="767171"/>
          <w:lang w:val="es-DO" w:eastAsia="en-US" w:bidi="ar-SA"/>
        </w:rPr>
        <w:drawing>
          <wp:anchor distT="0" distB="0" distL="114300" distR="114300" simplePos="0" relativeHeight="251680768" behindDoc="0" locked="0" layoutInCell="1" allowOverlap="1" wp14:anchorId="75A91767" wp14:editId="3E9D2849">
            <wp:simplePos x="0" y="0"/>
            <wp:positionH relativeFrom="margin">
              <wp:posOffset>282575</wp:posOffset>
            </wp:positionH>
            <wp:positionV relativeFrom="paragraph">
              <wp:posOffset>207010</wp:posOffset>
            </wp:positionV>
            <wp:extent cx="4794250" cy="3705225"/>
            <wp:effectExtent l="0" t="0" r="6350" b="9525"/>
            <wp:wrapSquare wrapText="bothSides"/>
            <wp:docPr id="60" name="Imagen 21" descr="Gráfico,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Gráfico, Gráfico circular&#10;&#10;El contenido generado por IA puede ser incorrecto."/>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94250" cy="3705225"/>
                    </a:xfrm>
                    <a:prstGeom prst="rect">
                      <a:avLst/>
                    </a:prstGeom>
                    <a:noFill/>
                  </pic:spPr>
                </pic:pic>
              </a:graphicData>
            </a:graphic>
            <wp14:sizeRelH relativeFrom="margin">
              <wp14:pctWidth>0</wp14:pctWidth>
            </wp14:sizeRelH>
            <wp14:sizeRelV relativeFrom="margin">
              <wp14:pctHeight>0</wp14:pctHeight>
            </wp14:sizeRelV>
          </wp:anchor>
        </w:drawing>
      </w:r>
    </w:p>
    <w:p w14:paraId="30824E6C" w14:textId="70FE7EC3" w:rsidR="00634A56" w:rsidRPr="00954407" w:rsidRDefault="00634A56" w:rsidP="00BC27E9">
      <w:pPr>
        <w:pStyle w:val="EstilodePrrafoNormal1RdeC"/>
        <w:rPr>
          <w:spacing w:val="30"/>
          <w:kern w:val="38"/>
          <w:szCs w:val="32"/>
        </w:rPr>
      </w:pPr>
    </w:p>
    <w:p w14:paraId="2AC78784" w14:textId="34FCF32B" w:rsidR="00BC27E9" w:rsidRPr="00954407" w:rsidRDefault="00BC27E9" w:rsidP="00BC27E9">
      <w:pPr>
        <w:pStyle w:val="EstilodePrrafoNormal1RdeC"/>
        <w:rPr>
          <w:spacing w:val="30"/>
          <w:kern w:val="38"/>
          <w:szCs w:val="32"/>
        </w:rPr>
      </w:pPr>
      <w:r w:rsidRPr="00954407">
        <w:rPr>
          <w:spacing w:val="30"/>
          <w:kern w:val="38"/>
          <w:szCs w:val="32"/>
        </w:rPr>
        <w:t xml:space="preserve"> </w:t>
      </w:r>
    </w:p>
    <w:p w14:paraId="3C31920E" w14:textId="77777777" w:rsidR="00BC27E9" w:rsidRPr="00954407" w:rsidRDefault="00BC27E9" w:rsidP="00BC27E9">
      <w:pPr>
        <w:pStyle w:val="EstilodePrrafoNormal1RdeC"/>
      </w:pPr>
      <w:r w:rsidRPr="00954407">
        <w:t>El Ministerio de Obras Públicas y Comunicaciones (MOPC), realizó compras y contrataciones en el periodo enero - noviembre del 2025, de acuerdo con la clasificación de los proveedores en las categorías siguientes: a) Grandes Empresas (GE); b) Medianas, Pequeñas y Micros Empresas (MIPYMES); y, c) Empresas No Clasificadas (NC), cuyos montos contratados por tipo de empresas, se presentan en el cuadro siguiente:</w:t>
      </w:r>
    </w:p>
    <w:p w14:paraId="54BCFF06" w14:textId="77777777" w:rsidR="00BC27E9" w:rsidRPr="00954407" w:rsidRDefault="00BC27E9" w:rsidP="00BC27E9">
      <w:pPr>
        <w:pStyle w:val="EstilodePrrafoNormal1RdeC"/>
      </w:pPr>
    </w:p>
    <w:p w14:paraId="71905E25" w14:textId="77777777" w:rsidR="00BC27E9" w:rsidRPr="00954407" w:rsidRDefault="00BC27E9" w:rsidP="00BC27E9">
      <w:pPr>
        <w:pStyle w:val="EstilodePrrafoNormal1RdeC"/>
      </w:pPr>
    </w:p>
    <w:p w14:paraId="4A78B0E5" w14:textId="77777777" w:rsidR="00BC27E9" w:rsidRPr="00954407" w:rsidRDefault="00BC27E9" w:rsidP="00BC27E9">
      <w:pPr>
        <w:pStyle w:val="EstilodePrrafoNormal1RdeC"/>
      </w:pPr>
    </w:p>
    <w:p w14:paraId="132719FC" w14:textId="77777777" w:rsidR="00BC27E9" w:rsidRPr="00954407" w:rsidRDefault="00BC27E9" w:rsidP="00BC27E9">
      <w:pPr>
        <w:pStyle w:val="EstilodePrrafoNormal1RdeC"/>
      </w:pPr>
    </w:p>
    <w:p w14:paraId="5E1C9563" w14:textId="77777777" w:rsidR="00BC27E9" w:rsidRPr="00954407" w:rsidRDefault="00BC27E9" w:rsidP="00BC27E9">
      <w:pPr>
        <w:pStyle w:val="EstilodePrrafoNormal1RdeC"/>
      </w:pPr>
    </w:p>
    <w:p w14:paraId="099BE3B0" w14:textId="7995CE84" w:rsidR="00BC27E9" w:rsidRPr="00F46B3F" w:rsidRDefault="00F46B3F" w:rsidP="00542ADB">
      <w:pPr>
        <w:pStyle w:val="EstilodePrrafoNormal1RdeC"/>
        <w:spacing w:line="240" w:lineRule="auto"/>
        <w:jc w:val="center"/>
        <w:rPr>
          <w:b/>
          <w:bCs/>
        </w:rPr>
      </w:pPr>
      <w:r w:rsidRPr="00F46B3F">
        <w:rPr>
          <w:b/>
          <w:bCs/>
        </w:rPr>
        <w:lastRenderedPageBreak/>
        <w:t xml:space="preserve">Resumen </w:t>
      </w:r>
      <w:r>
        <w:rPr>
          <w:b/>
          <w:bCs/>
        </w:rPr>
        <w:t>d</w:t>
      </w:r>
      <w:r w:rsidRPr="00F46B3F">
        <w:rPr>
          <w:b/>
          <w:bCs/>
        </w:rPr>
        <w:t xml:space="preserve">e Compras </w:t>
      </w:r>
      <w:r>
        <w:rPr>
          <w:b/>
          <w:bCs/>
        </w:rPr>
        <w:t>y</w:t>
      </w:r>
      <w:r w:rsidRPr="00F46B3F">
        <w:rPr>
          <w:b/>
          <w:bCs/>
        </w:rPr>
        <w:t xml:space="preserve"> Contrataciones </w:t>
      </w:r>
      <w:r w:rsidR="00542ADB">
        <w:rPr>
          <w:b/>
          <w:bCs/>
        </w:rPr>
        <w:t>p</w:t>
      </w:r>
      <w:r w:rsidRPr="00F46B3F">
        <w:rPr>
          <w:b/>
          <w:bCs/>
        </w:rPr>
        <w:t>or</w:t>
      </w:r>
    </w:p>
    <w:p w14:paraId="4755D110" w14:textId="15C7B1A0" w:rsidR="00BC27E9" w:rsidRPr="00F46B3F" w:rsidRDefault="00F46B3F" w:rsidP="00542ADB">
      <w:pPr>
        <w:pStyle w:val="EstilodePrrafoNormal1RdeC"/>
        <w:spacing w:line="240" w:lineRule="auto"/>
        <w:jc w:val="center"/>
        <w:rPr>
          <w:b/>
          <w:bCs/>
        </w:rPr>
      </w:pPr>
      <w:r w:rsidRPr="00F46B3F">
        <w:rPr>
          <w:b/>
          <w:bCs/>
        </w:rPr>
        <w:t xml:space="preserve">Tipo </w:t>
      </w:r>
      <w:r w:rsidR="00542ADB">
        <w:rPr>
          <w:b/>
          <w:bCs/>
        </w:rPr>
        <w:t>d</w:t>
      </w:r>
      <w:r w:rsidRPr="00F46B3F">
        <w:rPr>
          <w:b/>
          <w:bCs/>
        </w:rPr>
        <w:t>e Empresas</w:t>
      </w:r>
      <w:r>
        <w:rPr>
          <w:b/>
          <w:bCs/>
        </w:rPr>
        <w:t xml:space="preserve"> e</w:t>
      </w:r>
      <w:r w:rsidRPr="00F46B3F">
        <w:rPr>
          <w:b/>
          <w:bCs/>
        </w:rPr>
        <w:t>nero-</w:t>
      </w:r>
      <w:r>
        <w:rPr>
          <w:b/>
          <w:bCs/>
        </w:rPr>
        <w:t>d</w:t>
      </w:r>
      <w:r w:rsidRPr="00F46B3F">
        <w:rPr>
          <w:b/>
          <w:bCs/>
        </w:rPr>
        <w:t>iciembre2025</w:t>
      </w:r>
    </w:p>
    <w:p w14:paraId="424232B9" w14:textId="77777777" w:rsidR="00BC27E9" w:rsidRPr="00954407" w:rsidRDefault="00BC27E9" w:rsidP="00BC27E9">
      <w:pPr>
        <w:pStyle w:val="EstilodePrrafoNormal1RdeC"/>
      </w:pPr>
    </w:p>
    <w:p w14:paraId="00A0A9DE" w14:textId="77777777" w:rsidR="00BC27E9" w:rsidRPr="00954407" w:rsidRDefault="00BC27E9" w:rsidP="00542ADB">
      <w:pPr>
        <w:pStyle w:val="EstilodePrrafoNormal1RdeC"/>
        <w:jc w:val="center"/>
        <w:rPr>
          <w:rFonts w:eastAsia="Calibri"/>
        </w:rPr>
      </w:pPr>
      <w:r w:rsidRPr="00954407">
        <w:rPr>
          <w:rFonts w:eastAsia="Calibri"/>
          <w:noProof/>
          <w:color w:val="auto"/>
          <w:spacing w:val="0"/>
          <w:sz w:val="22"/>
          <w:lang w:eastAsia="es-DO"/>
        </w:rPr>
        <w:drawing>
          <wp:inline distT="0" distB="0" distL="0" distR="0" wp14:anchorId="0B2A44AF" wp14:editId="2EE4AE34">
            <wp:extent cx="4694163" cy="2794000"/>
            <wp:effectExtent l="0" t="0" r="0" b="6350"/>
            <wp:docPr id="6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rotWithShape="1">
                    <a:blip r:embed="rId61">
                      <a:extLst>
                        <a:ext uri="{28A0092B-C50C-407E-A947-70E740481C1C}">
                          <a14:useLocalDpi xmlns:a14="http://schemas.microsoft.com/office/drawing/2010/main" val="0"/>
                        </a:ext>
                      </a:extLst>
                    </a:blip>
                    <a:srcRect l="11181" t="31004" r="12095"/>
                    <a:stretch>
                      <a:fillRect/>
                    </a:stretch>
                  </pic:blipFill>
                  <pic:spPr bwMode="auto">
                    <a:xfrm>
                      <a:off x="0" y="0"/>
                      <a:ext cx="4712668" cy="2805014"/>
                    </a:xfrm>
                    <a:prstGeom prst="rect">
                      <a:avLst/>
                    </a:prstGeom>
                    <a:noFill/>
                    <a:ln>
                      <a:noFill/>
                    </a:ln>
                    <a:extLst>
                      <a:ext uri="{53640926-AAD7-44D8-BBD7-CCE9431645EC}">
                        <a14:shadowObscured xmlns:a14="http://schemas.microsoft.com/office/drawing/2010/main"/>
                      </a:ext>
                    </a:extLst>
                  </pic:spPr>
                </pic:pic>
              </a:graphicData>
            </a:graphic>
          </wp:inline>
        </w:drawing>
      </w:r>
    </w:p>
    <w:p w14:paraId="2EA16824" w14:textId="77777777" w:rsidR="00BC27E9" w:rsidRPr="00954407" w:rsidRDefault="00BC27E9" w:rsidP="00BC27E9">
      <w:pPr>
        <w:pStyle w:val="EstilodePrrafoNormal1RdeC"/>
        <w:rPr>
          <w:rFonts w:eastAsia="Calibri"/>
        </w:rPr>
      </w:pPr>
    </w:p>
    <w:p w14:paraId="0196246F" w14:textId="77777777" w:rsidR="00BC27E9" w:rsidRPr="00954407" w:rsidRDefault="00BC27E9" w:rsidP="00BC27E9">
      <w:pPr>
        <w:pStyle w:val="EstilodePrrafoNormal1RdeC"/>
        <w:rPr>
          <w:rFonts w:eastAsia="Calibri"/>
        </w:rPr>
      </w:pPr>
    </w:p>
    <w:p w14:paraId="7800572E" w14:textId="77777777" w:rsidR="00BC27E9" w:rsidRPr="00954407" w:rsidRDefault="00BC27E9" w:rsidP="00542ADB">
      <w:pPr>
        <w:pStyle w:val="EstilodePrrafoNormal1RdeC"/>
        <w:jc w:val="center"/>
        <w:rPr>
          <w:rFonts w:eastAsia="Calibri"/>
          <w:color w:val="auto"/>
          <w:spacing w:val="0"/>
          <w:sz w:val="22"/>
        </w:rPr>
      </w:pPr>
      <w:r w:rsidRPr="00954407">
        <w:rPr>
          <w:rFonts w:eastAsia="Calibri"/>
          <w:noProof/>
          <w:color w:val="auto"/>
          <w:spacing w:val="0"/>
          <w:sz w:val="22"/>
          <w:lang w:eastAsia="es-DO"/>
        </w:rPr>
        <w:drawing>
          <wp:inline distT="0" distB="0" distL="0" distR="0" wp14:anchorId="76C69EBB" wp14:editId="3CC473EE">
            <wp:extent cx="4493260" cy="3255645"/>
            <wp:effectExtent l="0" t="0" r="2540" b="190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93260" cy="3255645"/>
                    </a:xfrm>
                    <a:prstGeom prst="rect">
                      <a:avLst/>
                    </a:prstGeom>
                    <a:noFill/>
                  </pic:spPr>
                </pic:pic>
              </a:graphicData>
            </a:graphic>
          </wp:inline>
        </w:drawing>
      </w:r>
    </w:p>
    <w:p w14:paraId="401D6AC8" w14:textId="77777777" w:rsidR="00BC27E9" w:rsidRPr="00954407" w:rsidRDefault="00BC27E9" w:rsidP="00BC27E9">
      <w:pPr>
        <w:pStyle w:val="EstilodePrrafoNormal1RdeC"/>
      </w:pPr>
    </w:p>
    <w:p w14:paraId="4396534C" w14:textId="77777777" w:rsidR="00BC27E9" w:rsidRPr="00954407" w:rsidRDefault="00BC27E9" w:rsidP="00BC27E9">
      <w:pPr>
        <w:pStyle w:val="EstilodePrrafoNormal1RdeC"/>
      </w:pPr>
    </w:p>
    <w:p w14:paraId="79065FE0" w14:textId="07F2D8ED" w:rsidR="00BC27E9" w:rsidRPr="00F51751" w:rsidRDefault="00BC27E9" w:rsidP="00F51751">
      <w:pPr>
        <w:pStyle w:val="Heading1"/>
        <w:numPr>
          <w:ilvl w:val="0"/>
          <w:numId w:val="108"/>
        </w:numPr>
        <w:jc w:val="center"/>
        <w:rPr>
          <w:rFonts w:ascii="Times New Roman" w:hAnsi="Times New Roman" w:cs="Times New Roman"/>
          <w:color w:val="767171"/>
          <w:sz w:val="28"/>
          <w:szCs w:val="28"/>
        </w:rPr>
      </w:pPr>
      <w:bookmarkStart w:id="188" w:name="_Toc217387681"/>
      <w:bookmarkStart w:id="189" w:name="_Toc217402166"/>
      <w:r w:rsidRPr="00F51751">
        <w:rPr>
          <w:rFonts w:ascii="Times New Roman" w:hAnsi="Times New Roman" w:cs="Times New Roman"/>
          <w:color w:val="767171"/>
          <w:sz w:val="28"/>
          <w:szCs w:val="28"/>
        </w:rPr>
        <w:lastRenderedPageBreak/>
        <w:t>OTRAS ACCIONES DESARROLLADAS</w:t>
      </w:r>
      <w:bookmarkEnd w:id="188"/>
      <w:bookmarkEnd w:id="189"/>
    </w:p>
    <w:p w14:paraId="04990958" w14:textId="77777777" w:rsidR="00BC27E9" w:rsidRPr="00954407" w:rsidRDefault="00BC27E9" w:rsidP="00BC27E9">
      <w:pPr>
        <w:pStyle w:val="EstilodePrrafoNormal1RdeC"/>
        <w:rPr>
          <w:rFonts w:eastAsia="Calibri"/>
          <w:sz w:val="18"/>
        </w:rPr>
      </w:pPr>
      <w:r w:rsidRPr="00954407">
        <w:rPr>
          <w:rFonts w:eastAsia="Calibri"/>
          <w:noProof/>
          <w:sz w:val="18"/>
          <w:lang w:eastAsia="es-DO"/>
        </w:rPr>
        <mc:AlternateContent>
          <mc:Choice Requires="wps">
            <w:drawing>
              <wp:anchor distT="0" distB="0" distL="114300" distR="114300" simplePos="0" relativeHeight="251672576" behindDoc="0" locked="0" layoutInCell="1" allowOverlap="1" wp14:anchorId="57A03F03" wp14:editId="4295739E">
                <wp:simplePos x="0" y="0"/>
                <wp:positionH relativeFrom="margin">
                  <wp:posOffset>2254250</wp:posOffset>
                </wp:positionH>
                <wp:positionV relativeFrom="paragraph">
                  <wp:posOffset>30480</wp:posOffset>
                </wp:positionV>
                <wp:extent cx="463550" cy="0"/>
                <wp:effectExtent l="0" t="19050" r="31750" b="19050"/>
                <wp:wrapNone/>
                <wp:docPr id="10737419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E825C" id="Straight Connector 3"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4pt" to="2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" strokecolor="#ee2a24" strokeweight="2.25pt">
                <v:stroke joinstyle="miter"/>
                <w10:wrap anchorx="margin"/>
              </v:line>
            </w:pict>
          </mc:Fallback>
        </mc:AlternateContent>
      </w:r>
    </w:p>
    <w:p w14:paraId="7E0816E8" w14:textId="77777777" w:rsidR="00BC27E9" w:rsidRPr="00954407" w:rsidRDefault="00BC27E9" w:rsidP="00F51751">
      <w:pPr>
        <w:pStyle w:val="EstilodePrrafoNormal1RdeC"/>
        <w:jc w:val="center"/>
      </w:pPr>
      <w:r w:rsidRPr="00954407">
        <w:t>Memoria institucional 2025</w:t>
      </w:r>
    </w:p>
    <w:p w14:paraId="1763CD5A" w14:textId="77777777" w:rsidR="00BC27E9" w:rsidRPr="00954407" w:rsidRDefault="00BC27E9" w:rsidP="00BC27E9">
      <w:pPr>
        <w:pStyle w:val="EstilodePrrafoNormal1RdeC"/>
        <w:rPr>
          <w:rFonts w:eastAsiaTheme="majorEastAsia"/>
          <w:color w:val="767171"/>
        </w:rPr>
      </w:pPr>
      <w:bookmarkStart w:id="190" w:name="_Toc90929133"/>
      <w:bookmarkStart w:id="191" w:name="_Toc90929494"/>
      <w:bookmarkStart w:id="192" w:name="_Toc1381813"/>
      <w:bookmarkStart w:id="193" w:name="_Toc1418576"/>
      <w:bookmarkStart w:id="194" w:name="_Toc59361438"/>
      <w:bookmarkEnd w:id="190"/>
      <w:bookmarkEnd w:id="191"/>
    </w:p>
    <w:p w14:paraId="7A83B004" w14:textId="77777777" w:rsidR="00713E3F" w:rsidRPr="00713E3F" w:rsidRDefault="00713E3F" w:rsidP="00713E3F">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195" w:name="_Toc91264862"/>
      <w:bookmarkStart w:id="196" w:name="_Toc217394579"/>
      <w:bookmarkStart w:id="197" w:name="_Toc217394833"/>
      <w:bookmarkStart w:id="198" w:name="_Toc217394938"/>
      <w:bookmarkStart w:id="199" w:name="_Toc217402098"/>
      <w:bookmarkStart w:id="200" w:name="_Toc217402167"/>
      <w:bookmarkStart w:id="201" w:name="_Toc186924383"/>
      <w:bookmarkEnd w:id="195"/>
      <w:bookmarkEnd w:id="196"/>
      <w:bookmarkEnd w:id="197"/>
      <w:bookmarkEnd w:id="198"/>
      <w:bookmarkEnd w:id="199"/>
      <w:bookmarkEnd w:id="200"/>
    </w:p>
    <w:p w14:paraId="6AC9ADF7" w14:textId="5CC7DD5A" w:rsidR="00BC27E9" w:rsidRPr="00713E3F" w:rsidRDefault="00BC27E9" w:rsidP="00713E3F">
      <w:pPr>
        <w:pStyle w:val="Heading2"/>
        <w:rPr>
          <w:rFonts w:ascii="Times New Roman" w:hAnsi="Times New Roman" w:cs="Times New Roman"/>
          <w:b/>
          <w:bCs/>
          <w:color w:val="767171"/>
          <w:sz w:val="24"/>
          <w:szCs w:val="24"/>
        </w:rPr>
      </w:pPr>
      <w:bookmarkStart w:id="202" w:name="_Toc217402168"/>
      <w:r w:rsidRPr="00713E3F">
        <w:rPr>
          <w:rFonts w:ascii="Times New Roman" w:hAnsi="Times New Roman" w:cs="Times New Roman"/>
          <w:b/>
          <w:bCs/>
          <w:color w:val="767171"/>
          <w:sz w:val="24"/>
          <w:szCs w:val="24"/>
        </w:rPr>
        <w:t>Contribución a los Objetivos de Desarrollo Sostenible (ODS), Agenda 2030</w:t>
      </w:r>
      <w:bookmarkEnd w:id="192"/>
      <w:bookmarkEnd w:id="193"/>
      <w:bookmarkEnd w:id="194"/>
      <w:bookmarkEnd w:id="201"/>
      <w:bookmarkEnd w:id="202"/>
    </w:p>
    <w:p w14:paraId="5623C661" w14:textId="77777777" w:rsidR="00BC27E9" w:rsidRPr="00954407" w:rsidRDefault="00BC27E9" w:rsidP="00BC27E9">
      <w:pPr>
        <w:pStyle w:val="EstilodePrrafoNormal1RdeC"/>
      </w:pPr>
    </w:p>
    <w:p w14:paraId="357E5593" w14:textId="77777777" w:rsidR="00BC27E9" w:rsidRPr="00954407" w:rsidRDefault="00BC27E9" w:rsidP="00BC27E9">
      <w:pPr>
        <w:pStyle w:val="EstilodePrrafoNormal1RdeC"/>
      </w:pPr>
    </w:p>
    <w:p w14:paraId="4AA5B62D" w14:textId="77777777" w:rsidR="00BC27E9" w:rsidRPr="00954407" w:rsidRDefault="00BC27E9" w:rsidP="00BC27E9">
      <w:pPr>
        <w:pStyle w:val="EstilodePrrafoNormal1RdeC"/>
        <w:rPr>
          <w:color w:val="767171"/>
        </w:rPr>
      </w:pPr>
      <w:r w:rsidRPr="00954407">
        <w:rPr>
          <w:color w:val="767171"/>
        </w:rPr>
        <w:t>El Ministerio de Obras Públicas y Comunicaciones (MOPC) desarrolló sus ejecutorias durante el periodo enero-diciembre del año 2025, tomando en consideración los Objetivos de Desarrollo Sostenible (ODS), impulsando al  país a un marco integral para el desarrollo sostenible para todos, unificando esfuerzos conjuntamente con El Estado Dominicano, el sector privado y la sociedad civil para la planificación y el seguimiento de políticas públicas adecuadas, destacándose los proyectos de mejoramiento de la red vial urbana y rural, la asistencia vial en corredores urbanos e interurbanos, la reparación de viviendas en condiciones deplorables y  la ejecución de obras varias con la finalidad de reducir la vulnerabilidad de las infraestructuras ante la ocurrencia de fenómenos atmosféricos, entre otras; favoreciendo una población objetivo aproximada de 11.5 millones de personas, lo que ha impactado en un mejor desplazamiento e incremento de la seguridad vial de los usuarios, mayor saneamiento ambiental y en la reducción de enfermedades en las áreas de influencia de las obras realizadas.</w:t>
      </w:r>
    </w:p>
    <w:p w14:paraId="524ACB04" w14:textId="77777777" w:rsidR="00BC27E9" w:rsidRPr="00954407" w:rsidRDefault="00BC27E9" w:rsidP="00BC27E9">
      <w:pPr>
        <w:pStyle w:val="EstilodePrrafoNormal1RdeC"/>
        <w:rPr>
          <w:color w:val="767171"/>
        </w:rPr>
      </w:pPr>
    </w:p>
    <w:p w14:paraId="1A5B3D29" w14:textId="77777777" w:rsidR="00BC27E9" w:rsidRPr="00954407" w:rsidRDefault="00BC27E9" w:rsidP="00BC27E9">
      <w:pPr>
        <w:pStyle w:val="EstilodePrrafoNormal1RdeC"/>
        <w:rPr>
          <w:color w:val="767171"/>
        </w:rPr>
      </w:pPr>
      <w:r w:rsidRPr="00954407">
        <w:rPr>
          <w:color w:val="767171"/>
        </w:rPr>
        <w:t>También, la ejecución de las acciones implementadas por el MOPC, durante el periodo enero-diciembre del 2025, generaron aproximadamente unos 685,942 empleos, distribuidos 304,863 empleos directos y 381,079 empleos indirectos, reactivando la economía en las áreas de influencia de las obras, contribuyendo a reducir la pobreza extrema y por ende a mejorar la calidad de vida de la población económicamente más deprimida del país.</w:t>
      </w:r>
    </w:p>
    <w:p w14:paraId="3946062B" w14:textId="77777777" w:rsidR="00BC27E9" w:rsidRPr="00954407" w:rsidRDefault="00BC27E9" w:rsidP="00BC27E9">
      <w:pPr>
        <w:pStyle w:val="EstilodePrrafoNormal1RdeC"/>
        <w:rPr>
          <w:color w:val="767171"/>
        </w:rPr>
      </w:pPr>
    </w:p>
    <w:p w14:paraId="4E6762E8" w14:textId="77777777" w:rsidR="00BC27E9" w:rsidRPr="00713E3F" w:rsidRDefault="00BC27E9" w:rsidP="00713E3F">
      <w:pPr>
        <w:pStyle w:val="Heading2"/>
        <w:rPr>
          <w:rFonts w:ascii="Times New Roman" w:hAnsi="Times New Roman" w:cs="Times New Roman"/>
          <w:b/>
          <w:bCs/>
          <w:color w:val="767171"/>
          <w:sz w:val="24"/>
          <w:szCs w:val="24"/>
        </w:rPr>
      </w:pPr>
      <w:bookmarkStart w:id="203" w:name="_Toc217402169"/>
      <w:bookmarkStart w:id="204" w:name="_Toc472434785"/>
      <w:bookmarkStart w:id="205" w:name="_Toc471986274"/>
      <w:bookmarkStart w:id="206" w:name="_Toc1418577"/>
      <w:bookmarkStart w:id="207" w:name="_Toc59361439"/>
      <w:bookmarkStart w:id="208" w:name="_Toc186924384"/>
      <w:r w:rsidRPr="00713E3F">
        <w:rPr>
          <w:rFonts w:ascii="Times New Roman" w:hAnsi="Times New Roman" w:cs="Times New Roman"/>
          <w:b/>
          <w:bCs/>
          <w:color w:val="767171"/>
          <w:sz w:val="24"/>
          <w:szCs w:val="24"/>
        </w:rPr>
        <w:t>Impacto de las Ejecutorias en Políticas Transversales de la Estrategia Nacional de Desarrollo (END)</w:t>
      </w:r>
      <w:bookmarkEnd w:id="203"/>
    </w:p>
    <w:p w14:paraId="6F4A3C77" w14:textId="77777777" w:rsidR="00BC27E9" w:rsidRPr="00954407" w:rsidRDefault="00BC27E9" w:rsidP="00BC27E9">
      <w:pPr>
        <w:pStyle w:val="EstilodePrrafoNormal1RdeC"/>
      </w:pPr>
      <w:r w:rsidRPr="00954407">
        <w:t xml:space="preserve">                                                                                                                                                                                                                                                                                                                                                                                                                                                                                                                    </w:t>
      </w:r>
      <w:bookmarkEnd w:id="204"/>
      <w:bookmarkEnd w:id="205"/>
      <w:bookmarkEnd w:id="206"/>
      <w:bookmarkEnd w:id="207"/>
      <w:bookmarkEnd w:id="208"/>
    </w:p>
    <w:p w14:paraId="0DFE8770" w14:textId="77777777" w:rsidR="00BC27E9" w:rsidRPr="00EC1848" w:rsidRDefault="00BC27E9" w:rsidP="00EC1848">
      <w:pPr>
        <w:pStyle w:val="EstilodePrrafoNormal1RdeC"/>
        <w:numPr>
          <w:ilvl w:val="0"/>
          <w:numId w:val="230"/>
        </w:numPr>
        <w:rPr>
          <w:b/>
          <w:bCs/>
        </w:rPr>
      </w:pPr>
      <w:bookmarkStart w:id="209" w:name="_Toc472434786"/>
      <w:bookmarkStart w:id="210" w:name="_Toc471986275"/>
      <w:bookmarkStart w:id="211" w:name="_Toc1418578"/>
      <w:bookmarkStart w:id="212" w:name="_Toc59361440"/>
      <w:bookmarkStart w:id="213" w:name="_Toc156240585"/>
      <w:bookmarkStart w:id="214" w:name="_Toc186924385"/>
      <w:r w:rsidRPr="00EC1848">
        <w:rPr>
          <w:b/>
          <w:bCs/>
        </w:rPr>
        <w:t>Género</w:t>
      </w:r>
      <w:bookmarkEnd w:id="209"/>
      <w:bookmarkEnd w:id="210"/>
      <w:bookmarkEnd w:id="211"/>
      <w:bookmarkEnd w:id="212"/>
      <w:bookmarkEnd w:id="213"/>
      <w:bookmarkEnd w:id="214"/>
    </w:p>
    <w:p w14:paraId="789E7DDE" w14:textId="77777777" w:rsidR="00BC27E9" w:rsidRPr="00954407" w:rsidRDefault="00BC27E9" w:rsidP="00BC27E9">
      <w:pPr>
        <w:pStyle w:val="EstilodePrrafoNormal1RdeC"/>
      </w:pPr>
    </w:p>
    <w:p w14:paraId="734FB7F7" w14:textId="77777777" w:rsidR="00BC27E9" w:rsidRPr="00954407" w:rsidRDefault="00BC27E9" w:rsidP="00BC27E9">
      <w:pPr>
        <w:pStyle w:val="EstilodePrrafoNormal1RdeC"/>
      </w:pPr>
      <w:r w:rsidRPr="00954407">
        <w:t>Los lineamientos del Ministerio de Obras Públicas y Comunicaciones (MOPC) para el indicador de género de los Objetivos de Desarrollo Sostenible (ODS), es la inclusión con igualdad de oportunidades y derechos, reconociendo que la igualdad de género es un derecho humano fundamental. Por tal razón, en la institución no se identifican desigualdades por razones de género en la captación de personal para optar por empleos; de igual manera, tampoco en la participación igualitaria en procesos de licitaciones para la adquisición de bienes y servicios y para la ejecución de obras públicas a nivel nacional, es decir no existe ningún tipo de discriminación, en la institución no se excluyen personas por su                                                                                                           género.</w:t>
      </w:r>
    </w:p>
    <w:p w14:paraId="5451648F" w14:textId="77777777" w:rsidR="00BC27E9" w:rsidRPr="00954407" w:rsidRDefault="00BC27E9" w:rsidP="00BC27E9">
      <w:pPr>
        <w:pStyle w:val="EstilodePrrafoNormal1RdeC"/>
        <w:rPr>
          <w:spacing w:val="0"/>
          <w:lang w:val="es-US"/>
        </w:rPr>
      </w:pPr>
    </w:p>
    <w:p w14:paraId="518B9618" w14:textId="77777777" w:rsidR="00BC27E9" w:rsidRPr="00954407" w:rsidRDefault="00BC27E9" w:rsidP="00BC27E9">
      <w:pPr>
        <w:pStyle w:val="EstilodePrrafoNormal1RdeC"/>
        <w:rPr>
          <w:spacing w:val="0"/>
          <w:lang w:val="es-US"/>
        </w:rPr>
      </w:pPr>
    </w:p>
    <w:p w14:paraId="7309EFE1" w14:textId="77777777" w:rsidR="00BC27E9" w:rsidRPr="00954407" w:rsidRDefault="00BC27E9" w:rsidP="00BC27E9">
      <w:pPr>
        <w:pStyle w:val="EstilodePrrafoNormal1RdeC"/>
      </w:pPr>
      <w:r w:rsidRPr="00954407">
        <w:t>Actualmente, la institución registra un total de 6,912 empleados, los cuales, agrupados por cantidad de género, el género femenino alcanza un total de 2,851 empleadas hasta noviembre del año 2025, lo que representa un 43.0 % del total de empleados (incluyendo los militares) en el mercado laboral del MOPC.</w:t>
      </w:r>
    </w:p>
    <w:p w14:paraId="5F4490C9" w14:textId="77777777" w:rsidR="00BC27E9" w:rsidRPr="00954407" w:rsidRDefault="00BC27E9" w:rsidP="00BC27E9">
      <w:pPr>
        <w:pStyle w:val="EstilodePrrafoNormal1RdeC"/>
      </w:pPr>
    </w:p>
    <w:p w14:paraId="64734735" w14:textId="77777777" w:rsidR="00BC27E9" w:rsidRPr="00EC1848" w:rsidRDefault="00BC27E9" w:rsidP="00EC1848">
      <w:pPr>
        <w:pStyle w:val="EstilodePrrafoNormal1RdeC"/>
        <w:numPr>
          <w:ilvl w:val="0"/>
          <w:numId w:val="230"/>
        </w:numPr>
        <w:rPr>
          <w:b/>
          <w:bCs/>
        </w:rPr>
      </w:pPr>
      <w:bookmarkStart w:id="215" w:name="_Toc472434787"/>
      <w:bookmarkStart w:id="216" w:name="_Toc471986276"/>
      <w:bookmarkStart w:id="217" w:name="_Toc1418579"/>
      <w:bookmarkStart w:id="218" w:name="_Toc59361441"/>
      <w:bookmarkStart w:id="219" w:name="_Toc156240586"/>
      <w:bookmarkStart w:id="220" w:name="_Toc186924386"/>
      <w:r w:rsidRPr="00EC1848">
        <w:rPr>
          <w:b/>
          <w:bCs/>
        </w:rPr>
        <w:t>Sostenibilidad Ambiental</w:t>
      </w:r>
      <w:bookmarkEnd w:id="215"/>
      <w:bookmarkEnd w:id="216"/>
      <w:bookmarkEnd w:id="217"/>
      <w:bookmarkEnd w:id="218"/>
      <w:bookmarkEnd w:id="219"/>
      <w:bookmarkEnd w:id="220"/>
      <w:r w:rsidRPr="00EC1848">
        <w:rPr>
          <w:b/>
          <w:bCs/>
        </w:rPr>
        <w:t xml:space="preserve"> </w:t>
      </w:r>
    </w:p>
    <w:p w14:paraId="357FB471" w14:textId="77777777" w:rsidR="00BC27E9" w:rsidRPr="00954407" w:rsidRDefault="00BC27E9" w:rsidP="00BC27E9">
      <w:pPr>
        <w:pStyle w:val="EstilodePrrafoNormal1RdeC"/>
        <w:rPr>
          <w:color w:val="767171"/>
        </w:rPr>
      </w:pPr>
    </w:p>
    <w:p w14:paraId="7F3A1403" w14:textId="77777777" w:rsidR="00BC27E9" w:rsidRPr="00954407" w:rsidRDefault="00BC27E9" w:rsidP="00BC27E9">
      <w:pPr>
        <w:pStyle w:val="EstilodePrrafoNormal1RdeC"/>
        <w:rPr>
          <w:color w:val="767171"/>
        </w:rPr>
      </w:pPr>
      <w:r w:rsidRPr="00954407">
        <w:rPr>
          <w:color w:val="767171"/>
        </w:rPr>
        <w:t xml:space="preserve">La sostenibilidad ambiental es transcendental en la protección de recursos vitales, la mitigación del cambio climático y la preservación de la biodiversidad, enuncia éste indicador de los Objetivos de Desarrollo </w:t>
      </w:r>
      <w:r w:rsidRPr="00954407">
        <w:rPr>
          <w:color w:val="767171"/>
        </w:rPr>
        <w:lastRenderedPageBreak/>
        <w:t xml:space="preserve">Sostenible (ODS), por lo cual el Ministerio de Obras Públicas y Comunicaciones (MOPC) continúa acatando las directrices de las normas que establece la Ley No. 64-00, referentes a la Conservación, Mejoramiento y Restauración del Medio Ambiente y Recursos Naturales y en coordinación con el Ministerio de Medio Ambiente y Recursos Naturales (MIMARENA) como órgano rector del cumplimiento de las normas requeridas para una correcta ejecución de los proyectos, contempla todas las medidas de prevención, control y mitigación previstas en la gestión ambiental de los proyectos que realiza el MOPC. </w:t>
      </w:r>
    </w:p>
    <w:p w14:paraId="721EA36F" w14:textId="77777777" w:rsidR="00BC27E9" w:rsidRPr="00954407" w:rsidRDefault="00BC27E9" w:rsidP="00BC27E9">
      <w:pPr>
        <w:pStyle w:val="EstilodePrrafoNormal1RdeC"/>
        <w:rPr>
          <w:color w:val="767171"/>
        </w:rPr>
      </w:pPr>
    </w:p>
    <w:p w14:paraId="1C70CC57" w14:textId="77777777" w:rsidR="00BC27E9" w:rsidRPr="00954407" w:rsidRDefault="00BC27E9" w:rsidP="00BC27E9">
      <w:pPr>
        <w:pStyle w:val="EstilodePrrafoNormal1RdeC"/>
        <w:rPr>
          <w:color w:val="767171"/>
        </w:rPr>
      </w:pPr>
      <w:r w:rsidRPr="00954407">
        <w:rPr>
          <w:color w:val="767171"/>
        </w:rPr>
        <w:t>De esta forma, en cumplimiento de las normas establecidas por el Ministerio de Medio Ambiente y Recursos Naturales (MIMARENA), previo al inicio de la ejecución de los proyectos de inversión del MOPC, se gestionan los trámites de Permisos Ambientales, Licencias Ambientales, Constancias Ambientales y Certificaciones de Impacto Mínimo (CRIM) correspondientes, para su aprobación estableciendo los impactos negativos a mitigar durante el proceso constructivo y operativo de las obras.</w:t>
      </w:r>
    </w:p>
    <w:p w14:paraId="2E5BF88D" w14:textId="77777777" w:rsidR="00BC27E9" w:rsidRPr="00954407" w:rsidRDefault="00BC27E9" w:rsidP="00BC27E9">
      <w:pPr>
        <w:pStyle w:val="EstilodePrrafoNormal1RdeC"/>
        <w:rPr>
          <w:color w:val="767171"/>
        </w:rPr>
      </w:pPr>
    </w:p>
    <w:p w14:paraId="195B15FD" w14:textId="77777777" w:rsidR="00BC27E9" w:rsidRPr="00954407" w:rsidRDefault="00BC27E9" w:rsidP="00BC27E9">
      <w:pPr>
        <w:pStyle w:val="EstilodePrrafoNormal1RdeC"/>
        <w:rPr>
          <w:color w:val="767171"/>
        </w:rPr>
      </w:pPr>
      <w:bookmarkStart w:id="221" w:name="_Toc472434788"/>
      <w:bookmarkStart w:id="222" w:name="_Toc471986277"/>
      <w:bookmarkStart w:id="223" w:name="_Toc1418580"/>
      <w:bookmarkStart w:id="224" w:name="_Toc59361442"/>
      <w:bookmarkStart w:id="225" w:name="_Toc156240587"/>
      <w:bookmarkStart w:id="226" w:name="_Toc186924387"/>
    </w:p>
    <w:p w14:paraId="56673971" w14:textId="77777777" w:rsidR="00BC27E9" w:rsidRPr="00EC1848" w:rsidRDefault="00BC27E9" w:rsidP="00EC1848">
      <w:pPr>
        <w:pStyle w:val="EstilodePrrafoNormal1RdeC"/>
        <w:numPr>
          <w:ilvl w:val="0"/>
          <w:numId w:val="230"/>
        </w:numPr>
        <w:rPr>
          <w:b/>
          <w:bCs/>
        </w:rPr>
      </w:pPr>
      <w:r w:rsidRPr="00EC1848">
        <w:rPr>
          <w:b/>
          <w:bCs/>
        </w:rPr>
        <w:t>Cohesión Territorial</w:t>
      </w:r>
      <w:bookmarkEnd w:id="221"/>
      <w:bookmarkEnd w:id="222"/>
      <w:bookmarkEnd w:id="223"/>
      <w:bookmarkEnd w:id="224"/>
      <w:bookmarkEnd w:id="225"/>
      <w:bookmarkEnd w:id="226"/>
      <w:r w:rsidRPr="00EC1848">
        <w:rPr>
          <w:b/>
          <w:bCs/>
        </w:rPr>
        <w:t xml:space="preserve"> </w:t>
      </w:r>
    </w:p>
    <w:p w14:paraId="5113762C" w14:textId="77777777" w:rsidR="00BC27E9" w:rsidRPr="00954407" w:rsidRDefault="00BC27E9" w:rsidP="00BC27E9">
      <w:pPr>
        <w:pStyle w:val="EstilodePrrafoNormal1RdeC"/>
        <w:rPr>
          <w:lang w:eastAsia="es-DO"/>
        </w:rPr>
      </w:pPr>
    </w:p>
    <w:p w14:paraId="72A952D1" w14:textId="77777777" w:rsidR="00BC27E9" w:rsidRPr="00954407" w:rsidRDefault="00BC27E9" w:rsidP="00BC27E9">
      <w:pPr>
        <w:pStyle w:val="EstilodePrrafoNormal1RdeC"/>
        <w:rPr>
          <w:color w:val="767171"/>
        </w:rPr>
      </w:pPr>
      <w:r w:rsidRPr="00954407">
        <w:rPr>
          <w:color w:val="767171"/>
        </w:rPr>
        <w:t>El Ministerio de Obras Públicas y Comunicaciones (MOPC), con la ejecución de proyectos de construcción de nuevos ejes viales durante el año 2025, proporcionó cohesión territorial al aumentar la movilidad y reducir el tiempo de recorrido entre las regiones enlazadas, favoreciendo un patrón de desarrollo que permitirá mejorar la conexión entre los territorios enlazados, generando las condiciones favorables para el intercambio comercial de forma segura, rápida y confortable, reduciendo los costos de operación vehicular, el tiempo de viaje, el número de accidentes y los impactos ambientales negativos.</w:t>
      </w:r>
    </w:p>
    <w:p w14:paraId="64DB1E26" w14:textId="77777777" w:rsidR="00BC27E9" w:rsidRPr="00954407" w:rsidRDefault="00BC27E9" w:rsidP="00BC27E9">
      <w:pPr>
        <w:pStyle w:val="EstilodePrrafoNormal1RdeC"/>
        <w:rPr>
          <w:color w:val="767171"/>
        </w:rPr>
      </w:pPr>
    </w:p>
    <w:p w14:paraId="45208C51" w14:textId="77777777" w:rsidR="00BC27E9" w:rsidRPr="00954407" w:rsidRDefault="00BC27E9" w:rsidP="00BC27E9">
      <w:pPr>
        <w:pStyle w:val="EstilodePrrafoNormal1RdeC"/>
        <w:rPr>
          <w:color w:val="767171"/>
        </w:rPr>
      </w:pPr>
    </w:p>
    <w:p w14:paraId="0CB3EA94" w14:textId="2F76B0AA" w:rsidR="00BC27E9" w:rsidRPr="00954407" w:rsidRDefault="00BC27E9" w:rsidP="00BC27E9">
      <w:pPr>
        <w:pStyle w:val="EstilodePrrafoNormal1RdeC"/>
        <w:rPr>
          <w:color w:val="767171"/>
        </w:rPr>
      </w:pPr>
      <w:r w:rsidRPr="00954407">
        <w:rPr>
          <w:color w:val="767171"/>
        </w:rPr>
        <w:t>Entre las obras terminadas y en ejecución por el MOPC durante el año 2025, que contribuyen a incrementar la integración o cohesión territorial del país con la intervención de la infraestructura vial del país, se destacan: a) Construcción Avenida de Circunvalación Baní (</w:t>
      </w:r>
      <w:r w:rsidR="00B84A23" w:rsidRPr="00954407">
        <w:rPr>
          <w:color w:val="767171"/>
        </w:rPr>
        <w:t>Concluida</w:t>
      </w:r>
      <w:r w:rsidRPr="00954407">
        <w:rPr>
          <w:color w:val="767171"/>
        </w:rPr>
        <w:t>); b) Construcción Avenida de Circunvalación Nuevo Camino, en Los Alcarrizos; c) Construcción Avenida de Circunvalación de San Francisco de Macorís; d) Construcción Avenida de Circunvalación de Navarrete;  e) Construcción Avenida de Circunvalación Cruce de Chero-Cruce de Estancia Nueva, Municipio Moca; f) Construcción Solución Vial Prolongación Av. 27 de Febrero - Av. Isabel Aguiar (Paso Inferior, tipo trinchera), conectando con la 6 de Noviembre, en el Distrito Nacional (</w:t>
      </w:r>
      <w:r w:rsidR="00542ADB" w:rsidRPr="00954407">
        <w:rPr>
          <w:color w:val="767171"/>
        </w:rPr>
        <w:t>Concluida</w:t>
      </w:r>
      <w:r w:rsidRPr="00954407">
        <w:rPr>
          <w:color w:val="767171"/>
        </w:rPr>
        <w:t>);  g) Construcción Paso a Desnivel soterrado en la intersección de las Avenidas Gregorio Luperón con 27 de Febrero (debajo de la Plaza de la Bandera); h) Reconstrucción de la capa de rodadura de la Autopista Juan Pablo Duarte (Marginales, Elevados, Control de accesos, etc.), Multiprovincial; i) Ampliación Vial Km 9 de la Autopista Duarte con Avenida Gregorio Luperón, Municipio Santo Domingo Norte; entre otras.</w:t>
      </w:r>
    </w:p>
    <w:p w14:paraId="6D3AD980" w14:textId="77777777" w:rsidR="00BC27E9" w:rsidRPr="00954407" w:rsidRDefault="00BC27E9" w:rsidP="00BC27E9">
      <w:pPr>
        <w:pStyle w:val="EstilodePrrafoNormal1RdeC"/>
        <w:rPr>
          <w:color w:val="767171"/>
        </w:rPr>
      </w:pPr>
    </w:p>
    <w:p w14:paraId="05B6E403" w14:textId="77777777" w:rsidR="00BC27E9" w:rsidRPr="00954407" w:rsidRDefault="00BC27E9" w:rsidP="00BC27E9">
      <w:pPr>
        <w:pStyle w:val="EstilodePrrafoNormal1RdeC"/>
      </w:pPr>
    </w:p>
    <w:p w14:paraId="5455F8C4" w14:textId="77777777" w:rsidR="00BC27E9" w:rsidRPr="00EC1848" w:rsidRDefault="00BC27E9" w:rsidP="00EC1848">
      <w:pPr>
        <w:pStyle w:val="EstilodePrrafoNormal1RdeC"/>
        <w:numPr>
          <w:ilvl w:val="0"/>
          <w:numId w:val="230"/>
        </w:numPr>
        <w:rPr>
          <w:b/>
          <w:bCs/>
        </w:rPr>
      </w:pPr>
      <w:bookmarkStart w:id="227" w:name="_Toc472434789"/>
      <w:bookmarkStart w:id="228" w:name="_Toc471986278"/>
      <w:bookmarkStart w:id="229" w:name="_Toc1418581"/>
      <w:bookmarkStart w:id="230" w:name="_Toc59361443"/>
      <w:bookmarkStart w:id="231" w:name="_Toc156240588"/>
      <w:bookmarkStart w:id="232" w:name="_Toc186924388"/>
      <w:r w:rsidRPr="00EC1848">
        <w:rPr>
          <w:b/>
          <w:bCs/>
        </w:rPr>
        <w:t>Participación en Políticas Públicas</w:t>
      </w:r>
      <w:bookmarkEnd w:id="227"/>
      <w:bookmarkEnd w:id="228"/>
      <w:bookmarkEnd w:id="229"/>
      <w:bookmarkEnd w:id="230"/>
      <w:bookmarkEnd w:id="231"/>
      <w:bookmarkEnd w:id="232"/>
    </w:p>
    <w:p w14:paraId="01356175" w14:textId="77777777" w:rsidR="00BC27E9" w:rsidRPr="00954407" w:rsidRDefault="00BC27E9" w:rsidP="00BC27E9">
      <w:pPr>
        <w:pStyle w:val="EstilodePrrafoNormal1RdeC"/>
      </w:pPr>
    </w:p>
    <w:p w14:paraId="77E86858" w14:textId="5641B88D" w:rsidR="00BC27E9" w:rsidRPr="00954407" w:rsidRDefault="00BC27E9" w:rsidP="00BC27E9">
      <w:pPr>
        <w:pStyle w:val="EstilodePrrafoNormal1RdeC"/>
        <w:rPr>
          <w:color w:val="767171"/>
        </w:rPr>
      </w:pPr>
      <w:r w:rsidRPr="00954407">
        <w:rPr>
          <w:color w:val="767171"/>
        </w:rPr>
        <w:t xml:space="preserve">La participación del Ministerio de Obras Públicas y Comunicaciones (MOPC), continuó aplicando en sus ejecutorios del año 2025, las políticas públicas definidas por El Gobierno Dominicano para el </w:t>
      </w:r>
      <w:r w:rsidR="00542ADB" w:rsidRPr="00954407">
        <w:rPr>
          <w:color w:val="767171"/>
        </w:rPr>
        <w:t>cuatrienio</w:t>
      </w:r>
      <w:r w:rsidRPr="00954407">
        <w:rPr>
          <w:color w:val="767171"/>
        </w:rPr>
        <w:t xml:space="preserve"> 2025-2028, entre las cuales destacamos:</w:t>
      </w:r>
    </w:p>
    <w:p w14:paraId="29F7E392" w14:textId="77777777" w:rsidR="00BC27E9" w:rsidRPr="00954407" w:rsidRDefault="00BC27E9" w:rsidP="00BC27E9">
      <w:pPr>
        <w:pStyle w:val="EstilodePrrafoNormal1RdeC"/>
        <w:rPr>
          <w:color w:val="767171"/>
        </w:rPr>
      </w:pPr>
    </w:p>
    <w:p w14:paraId="6CA9CF92" w14:textId="77777777" w:rsidR="00BC27E9" w:rsidRPr="00954407" w:rsidRDefault="00BC27E9" w:rsidP="00EC1848">
      <w:pPr>
        <w:pStyle w:val="EstilodePrrafoNormal1RdeC"/>
        <w:numPr>
          <w:ilvl w:val="0"/>
          <w:numId w:val="231"/>
        </w:numPr>
      </w:pPr>
      <w:r w:rsidRPr="00954407">
        <w:t xml:space="preserve">Plan de Asistencia y Protección Vial en los principales corredores urbanos y rurales del país, se lleva a efecto por la Comisión Militar y Policial (COMIPOL) del Ministerio de Obras Públicas y </w:t>
      </w:r>
      <w:r w:rsidRPr="00954407">
        <w:lastRenderedPageBreak/>
        <w:t>Comunicaciones (MOPC) y se ejecuta en las zonas urbanas con la colaboración de la Dirección General de Seguridad de Tránsito y Transporte Terrestre (DIGESETT);</w:t>
      </w:r>
    </w:p>
    <w:p w14:paraId="498CFFDC" w14:textId="77777777" w:rsidR="00BC27E9" w:rsidRPr="00954407" w:rsidRDefault="00BC27E9" w:rsidP="00BC27E9">
      <w:pPr>
        <w:pStyle w:val="EstilodePrrafoNormal1RdeC"/>
      </w:pPr>
    </w:p>
    <w:p w14:paraId="41408372" w14:textId="77777777" w:rsidR="00BC27E9" w:rsidRPr="00954407" w:rsidRDefault="00BC27E9" w:rsidP="00EC1848">
      <w:pPr>
        <w:pStyle w:val="EstilodePrrafoNormal1RdeC"/>
        <w:numPr>
          <w:ilvl w:val="0"/>
          <w:numId w:val="231"/>
        </w:numPr>
      </w:pPr>
      <w:r w:rsidRPr="00954407">
        <w:t>Plan de Seguridad Ciudadana, se lleva a efecto con la participación de la Comisión Policial y Militar del MOPC (COMIPOL), en coordinación con el Ministerio de Defensa (MIDEF);</w:t>
      </w:r>
    </w:p>
    <w:p w14:paraId="62FF9529" w14:textId="77777777" w:rsidR="00BC27E9" w:rsidRPr="00954407" w:rsidRDefault="00BC27E9" w:rsidP="00BC27E9">
      <w:pPr>
        <w:pStyle w:val="EstilodePrrafoNormal1RdeC"/>
      </w:pPr>
    </w:p>
    <w:p w14:paraId="020A438E" w14:textId="77777777" w:rsidR="00BC27E9" w:rsidRPr="00954407" w:rsidRDefault="00BC27E9" w:rsidP="00EC1848">
      <w:pPr>
        <w:pStyle w:val="EstilodePrrafoNormal1RdeC"/>
        <w:numPr>
          <w:ilvl w:val="0"/>
          <w:numId w:val="231"/>
        </w:numPr>
      </w:pPr>
      <w:r w:rsidRPr="00954407">
        <w:t xml:space="preserve">Sistema Nacional de Atención a las Emergencias y Seguridad 911, se realiza en coordinación con las instituciones relacionadas: Ministerio de la Presidencia, Ministerio de Interior y Policía, Procuraduría General de la República, Ministerio de Salud Pública y Asistencia Social, Policía Nacional, ONAMET, INDOTEL, OPTIC, Liga Municipal, Defensa Civil, Dominicana GOB, entre otras; </w:t>
      </w:r>
    </w:p>
    <w:p w14:paraId="5ECE4326" w14:textId="77777777" w:rsidR="00BC27E9" w:rsidRPr="00954407" w:rsidRDefault="00BC27E9" w:rsidP="00BC27E9">
      <w:pPr>
        <w:pStyle w:val="EstilodePrrafoNormal1RdeC"/>
      </w:pPr>
    </w:p>
    <w:p w14:paraId="29F2FB39" w14:textId="543D9AE0" w:rsidR="00BC27E9" w:rsidRPr="00954407" w:rsidRDefault="00B84A23" w:rsidP="00EC1848">
      <w:pPr>
        <w:pStyle w:val="EstilodePrrafoNormal1RdeC"/>
        <w:numPr>
          <w:ilvl w:val="0"/>
          <w:numId w:val="231"/>
        </w:numPr>
      </w:pPr>
      <w:r w:rsidRPr="00954407">
        <w:t>Programa</w:t>
      </w:r>
      <w:r w:rsidR="00BC27E9" w:rsidRPr="00954407">
        <w:t xml:space="preserve"> “Carreteras Limpias”, fue implementado a partir del mes de julio del año 2025, en las principales Carreteras del país con la participación de Fiducia-RD Vial en coordinación con el MOPC, cuyo propósito es elevar los estándares de seguridad, funcionalidad y estética en las principales vías del país; el programa tiene como eje central no solo mantener las carreteras libres de residuos sólidos, sino también recuperar el entorno vial, optimizar la seguridad y contribuir activamente con la preservación del medio ambiente. Estas acciones se desarrollarán de forma progresiva en corredores estratégicos como la Autopista Duarte, Las Américas, 6 de Noviembre, Circunvalación de Santo Domingo, Circunvalación de Santiago y la recién inaugurada Circunvalación de Baní, entre otras.</w:t>
      </w:r>
    </w:p>
    <w:p w14:paraId="699C9232" w14:textId="77777777" w:rsidR="00BC27E9" w:rsidRPr="00954407" w:rsidRDefault="00BC27E9" w:rsidP="00BC27E9">
      <w:pPr>
        <w:pStyle w:val="EstilodePrrafoNormal1RdeC"/>
        <w:rPr>
          <w:spacing w:val="0"/>
          <w:sz w:val="27"/>
          <w:szCs w:val="27"/>
          <w:lang w:val="es-US"/>
        </w:rPr>
      </w:pPr>
    </w:p>
    <w:p w14:paraId="36A175DC" w14:textId="77777777" w:rsidR="00BC27E9" w:rsidRPr="00954407" w:rsidRDefault="00BC27E9" w:rsidP="00EC1848">
      <w:pPr>
        <w:pStyle w:val="EstilodePrrafoNormal1RdeC"/>
        <w:numPr>
          <w:ilvl w:val="0"/>
          <w:numId w:val="231"/>
        </w:numPr>
      </w:pPr>
      <w:r w:rsidRPr="00954407">
        <w:t xml:space="preserve">Acuerdo entre el Ministerio de Obras Públicas y Comunicaciones (MOPC) y la Oficina Nacional de Evaluación Sísmica y </w:t>
      </w:r>
      <w:r w:rsidRPr="00954407">
        <w:lastRenderedPageBreak/>
        <w:t xml:space="preserve">Vulnerabilidad de Infraestructura y Edificaciones (ONESVIE), para el mantenimiento oportuno de los puentes del país y la evaluación de la vulnerabilidad de los mismos, que permitirán desarrollar estrategias conjuntas para mejorar cada una de las estructuras. </w:t>
      </w:r>
    </w:p>
    <w:p w14:paraId="6B334FC3" w14:textId="77777777" w:rsidR="00BC27E9" w:rsidRPr="00954407" w:rsidRDefault="00BC27E9" w:rsidP="00BC27E9">
      <w:pPr>
        <w:pStyle w:val="EstilodePrrafoNormal1RdeC"/>
      </w:pPr>
    </w:p>
    <w:p w14:paraId="2A87D9B0" w14:textId="77777777" w:rsidR="00BC27E9" w:rsidRPr="00954407" w:rsidRDefault="00BC27E9" w:rsidP="00EC1848">
      <w:pPr>
        <w:pStyle w:val="EstilodePrrafoNormal1RdeC"/>
        <w:numPr>
          <w:ilvl w:val="0"/>
          <w:numId w:val="231"/>
        </w:numPr>
      </w:pPr>
      <w:r w:rsidRPr="00954407">
        <w:t xml:space="preserve">Sistema Tecnologías de la Información y Comunicación (TIC) y el Sistema de Gobierno Electrónico implementado en el MOPC, en coordinación con las instituciones relacionadas: Ministerio de la Presidencia, OPTIC, y todas las instituciones gubernamentales; </w:t>
      </w:r>
    </w:p>
    <w:p w14:paraId="38B6F381" w14:textId="77777777" w:rsidR="00BC27E9" w:rsidRPr="00954407" w:rsidRDefault="00BC27E9" w:rsidP="00BC27E9">
      <w:pPr>
        <w:pStyle w:val="EstilodePrrafoNormal1RdeC"/>
      </w:pPr>
    </w:p>
    <w:p w14:paraId="5DA8690A" w14:textId="77777777" w:rsidR="00BC27E9" w:rsidRPr="00954407" w:rsidRDefault="00BC27E9" w:rsidP="00EC1848">
      <w:pPr>
        <w:pStyle w:val="EstilodePrrafoNormal1RdeC"/>
        <w:numPr>
          <w:ilvl w:val="0"/>
          <w:numId w:val="231"/>
        </w:numPr>
      </w:pPr>
      <w:r w:rsidRPr="00954407">
        <w:t>Sistema de Monitoreo y Medición de la Gestión Pública (SMMGP), instrumento para controlar y evaluar las acciones desarrolladas por las instituciones gubernamentales durante un periodo de tiempo establecido.</w:t>
      </w:r>
    </w:p>
    <w:p w14:paraId="20D281EC" w14:textId="77777777" w:rsidR="00BC27E9" w:rsidRPr="00954407" w:rsidRDefault="00BC27E9" w:rsidP="00BC27E9">
      <w:pPr>
        <w:pStyle w:val="EstilodePrrafoNormal1RdeC"/>
      </w:pPr>
    </w:p>
    <w:p w14:paraId="46CEF3AE" w14:textId="77777777" w:rsidR="00BC27E9" w:rsidRPr="00954407" w:rsidRDefault="00BC27E9" w:rsidP="00EC1848">
      <w:pPr>
        <w:pStyle w:val="EstilodePrrafoNormal1RdeC"/>
        <w:numPr>
          <w:ilvl w:val="0"/>
          <w:numId w:val="231"/>
        </w:numPr>
      </w:pPr>
      <w:r w:rsidRPr="00954407">
        <w:t>Sistema de Monitoreo de la Administración Pública (SISMAP), proceso de evaluación del desempeño por competencias, establecido por el Ministerio de Administración Pública (MAP) para las instituciones gubernamentales.</w:t>
      </w:r>
    </w:p>
    <w:p w14:paraId="0C6735DA" w14:textId="77777777" w:rsidR="00BC27E9" w:rsidRPr="00954407" w:rsidRDefault="00BC27E9" w:rsidP="00BC27E9">
      <w:pPr>
        <w:pStyle w:val="EstilodePrrafoNormal1RdeC"/>
      </w:pPr>
    </w:p>
    <w:p w14:paraId="6E89A54A" w14:textId="77777777" w:rsidR="00BC27E9" w:rsidRPr="00954407" w:rsidRDefault="00BC27E9" w:rsidP="00EC1848">
      <w:pPr>
        <w:pStyle w:val="EstilodePrrafoNormal1RdeC"/>
        <w:numPr>
          <w:ilvl w:val="0"/>
          <w:numId w:val="231"/>
        </w:numPr>
      </w:pPr>
      <w:r w:rsidRPr="00954407">
        <w:t>Medidas de Control Medio-Ambientales para los proyectos en ejecución del MOPC, en coordinación con el Ministerio de Medio Ambiente y Recursos Naturales (MIMARENA);</w:t>
      </w:r>
    </w:p>
    <w:p w14:paraId="3196F175" w14:textId="77777777" w:rsidR="00BC27E9" w:rsidRPr="00954407" w:rsidRDefault="00BC27E9" w:rsidP="00BC27E9">
      <w:pPr>
        <w:pStyle w:val="EstilodePrrafoNormal1RdeC"/>
      </w:pPr>
    </w:p>
    <w:p w14:paraId="08D360B0" w14:textId="06AD2B53" w:rsidR="00BC27E9" w:rsidRPr="00954407" w:rsidRDefault="00BC27E9" w:rsidP="00E81F11">
      <w:pPr>
        <w:pStyle w:val="EstilodePrrafoNormal1RdeC"/>
        <w:numPr>
          <w:ilvl w:val="0"/>
          <w:numId w:val="231"/>
        </w:numPr>
      </w:pPr>
      <w:r w:rsidRPr="00954407">
        <w:t xml:space="preserve">Plan de Mejora de la infraestructura vial en zonas turísticas del país, en coordinación con el Ministerio de Turismo (MITUR) y con los Ayuntamientos Provinciales; </w:t>
      </w:r>
    </w:p>
    <w:p w14:paraId="3031016D" w14:textId="77777777" w:rsidR="00BC27E9" w:rsidRPr="00954407" w:rsidRDefault="00BC27E9" w:rsidP="00BC27E9">
      <w:pPr>
        <w:pStyle w:val="EstilodePrrafoNormal1RdeC"/>
      </w:pPr>
    </w:p>
    <w:p w14:paraId="631082FE" w14:textId="77777777" w:rsidR="00BC27E9" w:rsidRPr="00954407" w:rsidRDefault="00BC27E9" w:rsidP="00EC1848">
      <w:pPr>
        <w:pStyle w:val="EstilodePrrafoNormal1RdeC"/>
        <w:numPr>
          <w:ilvl w:val="0"/>
          <w:numId w:val="231"/>
        </w:numPr>
      </w:pPr>
      <w:r w:rsidRPr="00954407">
        <w:t xml:space="preserve">Participación en el cumplimiento de la política nacional de movilidad, transporte terrestre nacional e internacional, tránsito y </w:t>
      </w:r>
      <w:r w:rsidRPr="00954407">
        <w:lastRenderedPageBreak/>
        <w:t xml:space="preserve">seguridad vial con el Instituto Nacional de Tránsito y Transporte Terrestre (INTRANT), entre otras. </w:t>
      </w:r>
    </w:p>
    <w:p w14:paraId="0B7E46A8" w14:textId="77777777" w:rsidR="00BC27E9" w:rsidRPr="00954407" w:rsidRDefault="00BC27E9" w:rsidP="00BC27E9">
      <w:pPr>
        <w:pStyle w:val="EstilodePrrafoNormal1RdeC"/>
      </w:pPr>
    </w:p>
    <w:p w14:paraId="06696297" w14:textId="77777777" w:rsidR="00BC27E9" w:rsidRPr="00954407" w:rsidRDefault="00BC27E9" w:rsidP="00BC27E9">
      <w:pPr>
        <w:pStyle w:val="EstilodePrrafoNormal1RdeC"/>
      </w:pPr>
    </w:p>
    <w:p w14:paraId="13F8003E" w14:textId="77777777" w:rsidR="00BC27E9" w:rsidRPr="00EC1848" w:rsidRDefault="00BC27E9" w:rsidP="00EC1848">
      <w:pPr>
        <w:pStyle w:val="EstilodePrrafoNormal1RdeC"/>
        <w:numPr>
          <w:ilvl w:val="0"/>
          <w:numId w:val="230"/>
        </w:numPr>
        <w:rPr>
          <w:b/>
          <w:bCs/>
        </w:rPr>
      </w:pPr>
      <w:r w:rsidRPr="00EC1848">
        <w:rPr>
          <w:b/>
          <w:bCs/>
        </w:rPr>
        <w:t xml:space="preserve"> </w:t>
      </w:r>
      <w:bookmarkStart w:id="233" w:name="_Toc1418582"/>
      <w:bookmarkStart w:id="234" w:name="_Toc59361444"/>
      <w:bookmarkStart w:id="235" w:name="_Toc156240589"/>
      <w:bookmarkStart w:id="236" w:name="_Toc186924389"/>
      <w:r w:rsidRPr="00EC1848">
        <w:rPr>
          <w:b/>
          <w:bCs/>
        </w:rPr>
        <w:t>Medidas de Políticas Sectoriales Enero-diciembre</w:t>
      </w:r>
      <w:bookmarkEnd w:id="233"/>
      <w:bookmarkEnd w:id="234"/>
      <w:r w:rsidRPr="00EC1848">
        <w:rPr>
          <w:b/>
          <w:bCs/>
        </w:rPr>
        <w:t>2025</w:t>
      </w:r>
      <w:bookmarkEnd w:id="235"/>
      <w:bookmarkEnd w:id="236"/>
    </w:p>
    <w:p w14:paraId="2C2E05A5" w14:textId="77777777" w:rsidR="00BC27E9" w:rsidRPr="00954407" w:rsidRDefault="00BC27E9" w:rsidP="00BC27E9">
      <w:pPr>
        <w:pStyle w:val="EstilodePrrafoNormal1RdeC"/>
      </w:pPr>
    </w:p>
    <w:p w14:paraId="7C9B4A7A" w14:textId="77777777" w:rsidR="00BC27E9" w:rsidRPr="00954407" w:rsidRDefault="00BC27E9" w:rsidP="00BC27E9">
      <w:pPr>
        <w:pStyle w:val="EstilodePrrafoNormal1RdeC"/>
        <w:rPr>
          <w:color w:val="767171"/>
        </w:rPr>
      </w:pPr>
      <w:r w:rsidRPr="00954407">
        <w:rPr>
          <w:color w:val="767171"/>
        </w:rPr>
        <w:t>La planificación, ejecución y control de la infraestructura de transporte, son funciones del Ministerio de Obras Públicas y Comunicaciones y por ende la aplicación de las políticas públicas del subsector transporte terrestre, continuaron durante el periodo enero-diciembre del año 2025, siendo las ejecutorias principales de la institución las que han impactado de manera satisfactoria en los usuarios del subsector. Entre las medidas implementadas en el año vigente por la institución, destacamos:</w:t>
      </w:r>
    </w:p>
    <w:p w14:paraId="6C852BB8" w14:textId="77777777" w:rsidR="00BC27E9" w:rsidRPr="00954407" w:rsidRDefault="00BC27E9" w:rsidP="00BC27E9">
      <w:pPr>
        <w:pStyle w:val="EstilodePrrafoNormal1RdeC"/>
        <w:rPr>
          <w:color w:val="767171"/>
        </w:rPr>
      </w:pPr>
    </w:p>
    <w:p w14:paraId="4BEB265B" w14:textId="77777777" w:rsidR="00BC27E9" w:rsidRPr="00954407" w:rsidRDefault="00BC27E9" w:rsidP="00BC27E9">
      <w:pPr>
        <w:pStyle w:val="EstilodePrrafoNormal1RdeC"/>
        <w:rPr>
          <w:color w:val="767171"/>
        </w:rPr>
      </w:pPr>
    </w:p>
    <w:p w14:paraId="172B5C49" w14:textId="77777777" w:rsidR="00BC27E9" w:rsidRPr="00954407" w:rsidRDefault="00BC27E9" w:rsidP="00EC1848">
      <w:pPr>
        <w:pStyle w:val="EstilodePrrafoNormal1RdeC"/>
        <w:ind w:left="360" w:hanging="360"/>
      </w:pPr>
      <w:r w:rsidRPr="00954407">
        <w:t>e.1 Continuación de la mejora progresiva de la red vial pavimentada urbana e interurbana, integrada en los Programas PROPACC IV y V que se ejecutan a nivel nacional; además, el apoyo al mantenimiento de la red terciaria, específicamente las carreteras locales y caminos vecinales intervenidos, ascendentes a un total de 427.78 km mantenidos, con el propósito de garantizar la conectividad, seguridad y desarrollo del país.</w:t>
      </w:r>
    </w:p>
    <w:p w14:paraId="75800D38" w14:textId="77777777" w:rsidR="00BC27E9" w:rsidRPr="00954407" w:rsidRDefault="00BC27E9" w:rsidP="00BC27E9">
      <w:pPr>
        <w:pStyle w:val="EstilodePrrafoNormal1RdeC"/>
      </w:pPr>
    </w:p>
    <w:p w14:paraId="4C882018" w14:textId="77777777" w:rsidR="00BC27E9" w:rsidRPr="00954407" w:rsidRDefault="00BC27E9" w:rsidP="00BC27E9">
      <w:pPr>
        <w:pStyle w:val="EstilodePrrafoNormal1RdeC"/>
      </w:pPr>
      <w:r w:rsidRPr="00954407">
        <w:t>En la mejora progresiva de la red vial durante el año 2025, se intervinieron aproximadamente 6,174 kilómetros de Carreteras, Calles, Avenidas y Caminos Vecinales a nivel nacional, destacándose las siguientes intervenciones:</w:t>
      </w:r>
    </w:p>
    <w:p w14:paraId="1D441136" w14:textId="77777777" w:rsidR="00BC27E9" w:rsidRPr="00954407" w:rsidRDefault="00BC27E9" w:rsidP="00BC27E9">
      <w:pPr>
        <w:pStyle w:val="EstilodePrrafoNormal1RdeC"/>
      </w:pPr>
    </w:p>
    <w:p w14:paraId="57550BF3" w14:textId="77777777" w:rsidR="00BC27E9" w:rsidRPr="00954407" w:rsidRDefault="00BC27E9" w:rsidP="00EC1848">
      <w:pPr>
        <w:pStyle w:val="EstilodePrrafoNormal1RdeC"/>
        <w:numPr>
          <w:ilvl w:val="0"/>
          <w:numId w:val="232"/>
        </w:numPr>
      </w:pPr>
      <w:r w:rsidRPr="00954407">
        <w:t>Fortalecer la accesibilidad territorial, básicamente en los centros rurales y urbanos estratégicos para el desarrollo y seguridad de los usuarios.</w:t>
      </w:r>
    </w:p>
    <w:p w14:paraId="74B8401E" w14:textId="77777777" w:rsidR="00BC27E9" w:rsidRPr="00954407" w:rsidRDefault="00BC27E9" w:rsidP="00BC27E9">
      <w:pPr>
        <w:pStyle w:val="EstilodePrrafoNormal1RdeC"/>
      </w:pPr>
    </w:p>
    <w:p w14:paraId="5B80ACBE" w14:textId="77777777" w:rsidR="00BC27E9" w:rsidRPr="00954407" w:rsidRDefault="00BC27E9" w:rsidP="00EC1848">
      <w:pPr>
        <w:pStyle w:val="EstilodePrrafoNormal1RdeC"/>
        <w:numPr>
          <w:ilvl w:val="0"/>
          <w:numId w:val="232"/>
        </w:numPr>
      </w:pPr>
      <w:r w:rsidRPr="00954407">
        <w:t>Mejorar la movilidad urbana en las principales ciudades del país.</w:t>
      </w:r>
    </w:p>
    <w:p w14:paraId="726FD9F3" w14:textId="77777777" w:rsidR="00BC27E9" w:rsidRPr="00954407" w:rsidRDefault="00BC27E9" w:rsidP="00BC27E9">
      <w:pPr>
        <w:pStyle w:val="EstilodePrrafoNormal1RdeC"/>
      </w:pPr>
    </w:p>
    <w:p w14:paraId="480932D1" w14:textId="77777777" w:rsidR="00BC27E9" w:rsidRPr="00954407" w:rsidRDefault="00BC27E9" w:rsidP="00EC1848">
      <w:pPr>
        <w:pStyle w:val="EstilodePrrafoNormal1RdeC"/>
        <w:numPr>
          <w:ilvl w:val="0"/>
          <w:numId w:val="232"/>
        </w:numPr>
      </w:pPr>
      <w:r w:rsidRPr="00954407">
        <w:t>Ponderar el análisis técnico con los procedimientos internacionalmente vigentes sobre la vulnerabilidad y riesgos para reducir los impactos en la infraestructura de transporte terrestre, ante la ocurrencia de fenómenos naturales.</w:t>
      </w:r>
    </w:p>
    <w:p w14:paraId="23EF595D" w14:textId="77777777" w:rsidR="00BC27E9" w:rsidRPr="00954407" w:rsidRDefault="00BC27E9" w:rsidP="00BC27E9">
      <w:pPr>
        <w:pStyle w:val="EstilodePrrafoNormal1RdeC"/>
      </w:pPr>
    </w:p>
    <w:p w14:paraId="30440BAB" w14:textId="77777777" w:rsidR="00BC27E9" w:rsidRPr="00954407" w:rsidRDefault="00BC27E9" w:rsidP="00EC1848">
      <w:pPr>
        <w:pStyle w:val="EstilodePrrafoNormal1RdeC"/>
        <w:numPr>
          <w:ilvl w:val="0"/>
          <w:numId w:val="232"/>
        </w:numPr>
      </w:pPr>
      <w:r w:rsidRPr="00954407">
        <w:t>Fortalecer la seguridad de los usuarios con la construcción de edificios de parqueos modernos, seguros y vigilados en las principales ciudades del país; actualmente, durante el                                       año 2025, inició la ejecución del Programa PARQUEAT – RD, con la construcción de tres (3) modernos edificios, dos (2) ubicados en el Centro de Los Héroes en el Distrito Nacional y uno (1) en la zona metropolitana de la ciudad de San Cristóbal.</w:t>
      </w:r>
    </w:p>
    <w:p w14:paraId="3D807284" w14:textId="77777777" w:rsidR="00BC27E9" w:rsidRPr="00954407" w:rsidRDefault="00BC27E9" w:rsidP="00BC27E9">
      <w:pPr>
        <w:pStyle w:val="EstilodePrrafoNormal1RdeC"/>
      </w:pPr>
    </w:p>
    <w:p w14:paraId="03B6122A" w14:textId="77777777" w:rsidR="00BC27E9" w:rsidRPr="00954407" w:rsidRDefault="00BC27E9" w:rsidP="00BC27E9">
      <w:pPr>
        <w:pStyle w:val="EstilodePrrafoNormal1RdeC"/>
      </w:pPr>
    </w:p>
    <w:p w14:paraId="7AE3916C" w14:textId="77777777" w:rsidR="00BC27E9" w:rsidRPr="00954407" w:rsidRDefault="00BC27E9" w:rsidP="00EC1848">
      <w:pPr>
        <w:pStyle w:val="EstilodePrrafoNormal1RdeC"/>
        <w:ind w:left="360" w:hanging="720"/>
      </w:pPr>
      <w:r w:rsidRPr="00954407">
        <w:t>e.2</w:t>
      </w:r>
      <w:r w:rsidRPr="00954407">
        <w:tab/>
        <w:t>El MOPC continúa la ejecución de importantes proyectos de infraestructura vial localizados en las principales ciudades del país, con el objetivo de incrementar la movilidad urbana, contribuyendo a optimizar la accesibilidad y conectividad de los usuarios, entre los cuales se destacan:</w:t>
      </w:r>
    </w:p>
    <w:p w14:paraId="074ED6F9" w14:textId="77777777" w:rsidR="00BC27E9" w:rsidRPr="00954407" w:rsidRDefault="00BC27E9" w:rsidP="00BC27E9">
      <w:pPr>
        <w:pStyle w:val="EstilodePrrafoNormal1RdeC"/>
      </w:pPr>
    </w:p>
    <w:p w14:paraId="00FFDE8A" w14:textId="77777777" w:rsidR="00BC27E9" w:rsidRPr="00954407" w:rsidRDefault="00BC27E9" w:rsidP="00EC1848">
      <w:pPr>
        <w:pStyle w:val="EstilodePrrafoNormal1RdeC"/>
        <w:numPr>
          <w:ilvl w:val="0"/>
          <w:numId w:val="233"/>
        </w:numPr>
      </w:pPr>
      <w:r w:rsidRPr="00954407">
        <w:t xml:space="preserve">Construcción Solución Vial Paso Inferior, tipo trinchera en la Prolongación Av. 27 de Febrero - Av. Isabel Aguiar (Pintura), Municipio Santo Domingo Oeste; Condición actual: Terminado; </w:t>
      </w:r>
    </w:p>
    <w:p w14:paraId="7308FEEA" w14:textId="77777777" w:rsidR="00BC27E9" w:rsidRPr="00954407" w:rsidRDefault="00BC27E9" w:rsidP="00BC27E9">
      <w:pPr>
        <w:pStyle w:val="EstilodePrrafoNormal1RdeC"/>
      </w:pPr>
    </w:p>
    <w:p w14:paraId="3B284C59" w14:textId="77777777" w:rsidR="00BC27E9" w:rsidRPr="00954407" w:rsidRDefault="00BC27E9" w:rsidP="00EC1848">
      <w:pPr>
        <w:pStyle w:val="EstilodePrrafoNormal1RdeC"/>
        <w:numPr>
          <w:ilvl w:val="0"/>
          <w:numId w:val="233"/>
        </w:numPr>
      </w:pPr>
      <w:r w:rsidRPr="00954407">
        <w:t>Terminación Construcción Avenida de Circunvalación de Baní, Provincia Peravia; Condición actual: Terminado;</w:t>
      </w:r>
    </w:p>
    <w:p w14:paraId="1405C295" w14:textId="77777777" w:rsidR="00BC27E9" w:rsidRPr="00954407" w:rsidRDefault="00BC27E9" w:rsidP="00BC27E9">
      <w:pPr>
        <w:pStyle w:val="EstilodePrrafoNormal1RdeC"/>
      </w:pPr>
    </w:p>
    <w:p w14:paraId="3C069636" w14:textId="77777777" w:rsidR="00BC27E9" w:rsidRPr="00954407" w:rsidRDefault="00BC27E9" w:rsidP="00EC1848">
      <w:pPr>
        <w:pStyle w:val="EstilodePrrafoNormal1RdeC"/>
        <w:numPr>
          <w:ilvl w:val="0"/>
          <w:numId w:val="233"/>
        </w:numPr>
      </w:pPr>
      <w:r w:rsidRPr="00954407">
        <w:lastRenderedPageBreak/>
        <w:t xml:space="preserve">Construcción Avenida Ecológica, Tramo II (Estación 17 + 500 hasta E-20 + 822 Las Américas); Condición actual: Terminado; </w:t>
      </w:r>
    </w:p>
    <w:p w14:paraId="63BD656A" w14:textId="77777777" w:rsidR="00BC27E9" w:rsidRPr="00954407" w:rsidRDefault="00BC27E9" w:rsidP="00BC27E9">
      <w:pPr>
        <w:pStyle w:val="EstilodePrrafoNormal1RdeC"/>
      </w:pPr>
    </w:p>
    <w:p w14:paraId="73E87E81" w14:textId="77777777" w:rsidR="00BC27E9" w:rsidRPr="00954407" w:rsidRDefault="00BC27E9" w:rsidP="00EC1848">
      <w:pPr>
        <w:pStyle w:val="EstilodePrrafoNormal1RdeC"/>
        <w:numPr>
          <w:ilvl w:val="0"/>
          <w:numId w:val="233"/>
        </w:numPr>
      </w:pPr>
      <w:r w:rsidRPr="00954407">
        <w:t>Reconstrucción, Ampliación y Modernización de la Autopista Duarte, abarca más de 270 kilómetros de la autopista, de ida y vuelta, incluye la ampliación a más carriles, la reconstrucción de puentes, la supresión de cruces ilegales, mejora de drenajes, y la instalación de una señalización moderna, conectando así la capital con el Cibao y otras regiones productivas del país para impulsar el desarrollo económico y turístico.</w:t>
      </w:r>
      <w:r w:rsidRPr="00954407">
        <w:rPr>
          <w:color w:val="0A0A0A"/>
          <w:spacing w:val="0"/>
          <w:lang w:val="es-US"/>
        </w:rPr>
        <w:t> </w:t>
      </w:r>
      <w:r w:rsidRPr="00954407">
        <w:t>Condición actual: Ejecución.</w:t>
      </w:r>
    </w:p>
    <w:p w14:paraId="394A0364" w14:textId="77777777" w:rsidR="00BC27E9" w:rsidRPr="00954407" w:rsidRDefault="00BC27E9" w:rsidP="00BC27E9">
      <w:pPr>
        <w:pStyle w:val="EstilodePrrafoNormal1RdeC"/>
      </w:pPr>
    </w:p>
    <w:p w14:paraId="6770D5CA" w14:textId="77777777" w:rsidR="00BC27E9" w:rsidRPr="00954407" w:rsidRDefault="00BC27E9" w:rsidP="00EC1848">
      <w:pPr>
        <w:pStyle w:val="EstilodePrrafoNormal1RdeC"/>
        <w:numPr>
          <w:ilvl w:val="0"/>
          <w:numId w:val="233"/>
        </w:numPr>
      </w:pPr>
      <w:r w:rsidRPr="00954407">
        <w:t xml:space="preserve">Construcción de la Circunvalación Cruce de Chero-Cruce de Estancia Nueva en el Municipio de Moca, Provincia Espaillat, Condición actual: Ejecución.   </w:t>
      </w:r>
    </w:p>
    <w:p w14:paraId="6EC684A4" w14:textId="77777777" w:rsidR="00BC27E9" w:rsidRPr="00954407" w:rsidRDefault="00BC27E9" w:rsidP="00BC27E9">
      <w:pPr>
        <w:pStyle w:val="EstilodePrrafoNormal1RdeC"/>
      </w:pPr>
    </w:p>
    <w:p w14:paraId="50DB74BF" w14:textId="77777777" w:rsidR="00BC27E9" w:rsidRPr="00954407" w:rsidRDefault="00BC27E9" w:rsidP="00EC1848">
      <w:pPr>
        <w:pStyle w:val="EstilodePrrafoNormal1RdeC"/>
        <w:numPr>
          <w:ilvl w:val="0"/>
          <w:numId w:val="233"/>
        </w:numPr>
      </w:pPr>
      <w:r w:rsidRPr="00954407">
        <w:t xml:space="preserve">Construcción Avenida Circunvalación Navarrete, Municipio Villa Bisonó, Provincia Santiago, con una extensión de 14.0 km, cuatro (4) carriles (dos en cada sentido), un elevado en la rotonda de Navarrete, y contará con varios distribuidores para facilitar el flujo vehicular,  la ampliación y renovación de un tramo de 4.28 kilómetros de la carretera Navarrete-Puerto Plata, un elevado en la rotonda de Villa Bisonó (Navarrete), un distribuidor en el cruce con la carretera de Puerto Plata, entre otras obras viales.  Condición actual: Ejecución.   </w:t>
      </w:r>
    </w:p>
    <w:p w14:paraId="0E1AB641" w14:textId="77777777" w:rsidR="00BC27E9" w:rsidRPr="00954407" w:rsidRDefault="00BC27E9" w:rsidP="00BC27E9">
      <w:pPr>
        <w:pStyle w:val="EstilodePrrafoNormal1RdeC"/>
      </w:pPr>
    </w:p>
    <w:p w14:paraId="31CEA08C" w14:textId="77777777" w:rsidR="00BC27E9" w:rsidRPr="00954407" w:rsidRDefault="00BC27E9" w:rsidP="00EC1848">
      <w:pPr>
        <w:pStyle w:val="EstilodePrrafoNormal1RdeC"/>
        <w:numPr>
          <w:ilvl w:val="0"/>
          <w:numId w:val="233"/>
        </w:numPr>
      </w:pPr>
      <w:r w:rsidRPr="00954407">
        <w:t xml:space="preserve">Construcción Avenida de Circunvalación Nuevo Camino, Los Alcarrizos, Provincia Santo Domingo; con una longitud de 6.30 km, seis (6) carriles en toda su extensión, conectará la Circunvalación de Santo Domingo con la Autopista Duarte, próximo al km 14.  Condición actual: Ejecución. </w:t>
      </w:r>
    </w:p>
    <w:p w14:paraId="03E64176" w14:textId="77777777" w:rsidR="00BC27E9" w:rsidRPr="00954407" w:rsidRDefault="00BC27E9" w:rsidP="00EC1848">
      <w:pPr>
        <w:pStyle w:val="EstilodePrrafoNormal1RdeC"/>
        <w:numPr>
          <w:ilvl w:val="0"/>
          <w:numId w:val="233"/>
        </w:numPr>
      </w:pPr>
      <w:r w:rsidRPr="00954407">
        <w:lastRenderedPageBreak/>
        <w:t>Construcción Avenida de Circunvalación de San Francisco de Macorís, Provincia Duarte; con una longitud de 15.0 km, dos (2) calzadas separadas por una mediana y dos (2) carriles por sentido de circulación. Condición actual: Ejecución.</w:t>
      </w:r>
    </w:p>
    <w:p w14:paraId="3369FE4C" w14:textId="77777777" w:rsidR="00BC27E9" w:rsidRPr="00954407" w:rsidRDefault="00BC27E9" w:rsidP="00BC27E9">
      <w:pPr>
        <w:pStyle w:val="EstilodePrrafoNormal1RdeC"/>
      </w:pPr>
    </w:p>
    <w:p w14:paraId="044D6675" w14:textId="77777777" w:rsidR="00BC27E9" w:rsidRPr="00954407" w:rsidRDefault="00BC27E9" w:rsidP="00EC1848">
      <w:pPr>
        <w:pStyle w:val="EstilodePrrafoNormal1RdeC"/>
        <w:numPr>
          <w:ilvl w:val="0"/>
          <w:numId w:val="233"/>
        </w:numPr>
      </w:pPr>
      <w:r w:rsidRPr="00954407">
        <w:t>Construcción Paso a Desnivel soterrado en la intersección de las Avenidas Gregorio Luperón con 27 de Febrero (debajo de la Plaza de la Bandera), es un túnel tipo "trinchera" de aproximadamente 1.02 km de longitud, con dos (2) carriles por sentido (norte-sur). Condición actual: Ejecución.</w:t>
      </w:r>
    </w:p>
    <w:p w14:paraId="28603680" w14:textId="77777777" w:rsidR="00BC27E9" w:rsidRPr="00954407" w:rsidRDefault="00BC27E9" w:rsidP="00BC27E9">
      <w:pPr>
        <w:pStyle w:val="EstilodePrrafoNormal1RdeC"/>
      </w:pPr>
    </w:p>
    <w:p w14:paraId="0E17957C" w14:textId="77777777" w:rsidR="00BC27E9" w:rsidRPr="00954407" w:rsidRDefault="00BC27E9" w:rsidP="00EC1848">
      <w:pPr>
        <w:pStyle w:val="EstilodePrrafoNormal1RdeC"/>
        <w:numPr>
          <w:ilvl w:val="0"/>
          <w:numId w:val="233"/>
        </w:numPr>
      </w:pPr>
      <w:r w:rsidRPr="00954407">
        <w:t xml:space="preserve">Construcción entrada a la ciudad de Santa Bárbara de Samaná, con una intervención de 3.3 km, se extiende desde el Distrito Municipal El Limón hasta la ciudad de Samaná. Condición actual: Ejecución. </w:t>
      </w:r>
    </w:p>
    <w:p w14:paraId="39CE6660" w14:textId="77777777" w:rsidR="00BC27E9" w:rsidRPr="00954407" w:rsidRDefault="00BC27E9" w:rsidP="00BC27E9">
      <w:pPr>
        <w:pStyle w:val="EstilodePrrafoNormal1RdeC"/>
      </w:pPr>
    </w:p>
    <w:p w14:paraId="3E3A50C9" w14:textId="77777777" w:rsidR="00BC27E9" w:rsidRPr="00954407" w:rsidRDefault="00BC27E9" w:rsidP="00EC1848">
      <w:pPr>
        <w:pStyle w:val="EstilodePrrafoNormal1RdeC"/>
        <w:numPr>
          <w:ilvl w:val="0"/>
          <w:numId w:val="233"/>
        </w:numPr>
      </w:pPr>
      <w:r w:rsidRPr="00954407">
        <w:t>Construcción Solución del km 9 de la Autopista Duarte con la Avenida Gregorio Luperón, Provincia Santo Domingo aumentando los carriles de 8 a 14, incluye la construcción de nuevos puentes para mejorar drásticamente la fluidez del tránsito, conectando el Distrito Nacional con las provincias del Cibao y la Línea Noroeste. Condición actual: Ejecución.</w:t>
      </w:r>
    </w:p>
    <w:p w14:paraId="5E39F5AD" w14:textId="77777777" w:rsidR="00BC27E9" w:rsidRPr="00954407" w:rsidRDefault="00BC27E9" w:rsidP="00BC27E9">
      <w:pPr>
        <w:pStyle w:val="EstilodePrrafoNormal1RdeC"/>
      </w:pPr>
    </w:p>
    <w:p w14:paraId="7092D2B3" w14:textId="77777777" w:rsidR="00BC27E9" w:rsidRPr="00954407" w:rsidRDefault="00BC27E9" w:rsidP="00EC1848">
      <w:pPr>
        <w:pStyle w:val="EstilodePrrafoNormal1RdeC"/>
        <w:ind w:left="360" w:hanging="360"/>
      </w:pPr>
      <w:r w:rsidRPr="00954407">
        <w:t>e.3</w:t>
      </w:r>
      <w:r w:rsidRPr="00954407">
        <w:tab/>
        <w:t xml:space="preserve">Sostenibilidad e incremento de las Asistencias Viales que proporcionan seguridad personal y vial a los usuarios en los principales corredores viales urbanos y rurales del país, es una de las medidas de políticas sectoriales de la institución, los servicios que ofrece la Comisión Militar y Policial (COMIPOL), totalizando durante el periodo enero-diciembre del año 2025, aproximadamente un total de </w:t>
      </w:r>
      <w:r w:rsidRPr="00954407">
        <w:rPr>
          <w:rFonts w:eastAsia="Calibri"/>
        </w:rPr>
        <w:t xml:space="preserve">220,573 </w:t>
      </w:r>
      <w:r w:rsidRPr="00954407">
        <w:t xml:space="preserve">asistencias por diferentes causas a los usuarios que recorren el sistema vial rural del país </w:t>
      </w:r>
    </w:p>
    <w:p w14:paraId="553F1410" w14:textId="3251EC3D" w:rsidR="00BC27E9" w:rsidRPr="00954407" w:rsidRDefault="00BC27E9" w:rsidP="00BC27E9">
      <w:pPr>
        <w:pStyle w:val="EstilodePrrafoNormal1RdeC"/>
      </w:pPr>
      <w:r w:rsidRPr="00954407">
        <w:lastRenderedPageBreak/>
        <w:tab/>
      </w:r>
    </w:p>
    <w:p w14:paraId="6FF18FB6" w14:textId="77777777" w:rsidR="00BC27E9" w:rsidRPr="00954407" w:rsidRDefault="00BC27E9" w:rsidP="00EC1848">
      <w:pPr>
        <w:pStyle w:val="EstilodePrrafoNormal1RdeC"/>
        <w:ind w:left="450" w:hanging="360"/>
      </w:pPr>
      <w:r w:rsidRPr="00954407">
        <w:t>e.4</w:t>
      </w:r>
      <w:r w:rsidRPr="00954407">
        <w:tab/>
        <w:t>La continuidad de realizar las políticas sectoriales necesarias, prevaleció en el MOPC durante el periodo enero-diciembre del año 2025, con la finalidad de proveer acciones oportunas con relación a la evaluación de la vulnerabilidad y riesgos de la infraestructura vial y de edificaciones, permitiendo disminuir en la población afectada, los posibles daños ante la ocurrencia de fenómenos atmosféricos. Entre las acciones implementadas, se destacan:</w:t>
      </w:r>
    </w:p>
    <w:p w14:paraId="21233A85" w14:textId="77777777" w:rsidR="00BC27E9" w:rsidRPr="00954407" w:rsidRDefault="00BC27E9" w:rsidP="00BC27E9">
      <w:pPr>
        <w:pStyle w:val="EstilodePrrafoNormal1RdeC"/>
      </w:pPr>
    </w:p>
    <w:p w14:paraId="5F88CE77" w14:textId="77777777" w:rsidR="00BC27E9" w:rsidRPr="00954407" w:rsidRDefault="00BC27E9" w:rsidP="00EC1848">
      <w:pPr>
        <w:pStyle w:val="EstilodePrrafoNormal1RdeC"/>
        <w:numPr>
          <w:ilvl w:val="0"/>
          <w:numId w:val="234"/>
        </w:numPr>
      </w:pPr>
      <w:r w:rsidRPr="00954407">
        <w:t>Levantamiento de daños para acciones inmediatas y de respuesta por efectos de la tormenta Melissa por el país, el MOPC activó su plan de contingencia, enviando brigadas, movilización de técnicos y equipos pesados a zonas afectadas, para evaluar e iniciar la reparación</w:t>
      </w:r>
      <m:oMath>
        <m:r>
          <m:rPr>
            <m:sty m:val="p"/>
          </m:rPr>
          <w:rPr>
            <w:rFonts w:ascii="Cambria Math" w:hAnsi="Cambria Math"/>
          </w:rPr>
          <m:t>ón</m:t>
        </m:r>
      </m:oMath>
      <w:r w:rsidRPr="00954407">
        <w:rPr>
          <w:rFonts w:eastAsiaTheme="minorEastAsia"/>
        </w:rPr>
        <w:t xml:space="preserve"> de </w:t>
      </w:r>
      <w:r w:rsidRPr="00954407">
        <w:t xml:space="preserve">daños en carreteras, caminos vecinales, puentes, túneles y elevados; </w:t>
      </w:r>
    </w:p>
    <w:p w14:paraId="1E659661" w14:textId="77777777" w:rsidR="00BC27E9" w:rsidRPr="00954407" w:rsidRDefault="00BC27E9" w:rsidP="00BC27E9">
      <w:pPr>
        <w:pStyle w:val="EstilodePrrafoNormal1RdeC"/>
      </w:pPr>
    </w:p>
    <w:p w14:paraId="3A46D756" w14:textId="1EA606A4" w:rsidR="00BC27E9" w:rsidRPr="00954407" w:rsidRDefault="00BC27E9" w:rsidP="00EC1848">
      <w:pPr>
        <w:pStyle w:val="EstilodePrrafoNormal1RdeC"/>
        <w:numPr>
          <w:ilvl w:val="0"/>
          <w:numId w:val="234"/>
        </w:numPr>
      </w:pPr>
      <w:r w:rsidRPr="00954407">
        <w:t>Realización de inspecciones estructurales para evaluar la infraestructura vial afectada tras deslizamientos de tierra y derrumbes en tramos montañosos en varias provincias por el paso de la tormenta Melissa (carreteras, caminos vecinales, puentes, entre otras), áreas delimitadas y señalizadas para una intervención inmediata del MOPC, para evitar riesgos a los conductores.</w:t>
      </w:r>
    </w:p>
    <w:p w14:paraId="4ABFDEC0" w14:textId="77777777" w:rsidR="00BC27E9" w:rsidRPr="00954407" w:rsidRDefault="00BC27E9" w:rsidP="00BC27E9">
      <w:pPr>
        <w:pStyle w:val="EstilodePrrafoNormal1RdeC"/>
      </w:pPr>
    </w:p>
    <w:p w14:paraId="3DD143CB" w14:textId="77777777" w:rsidR="00BC27E9" w:rsidRPr="00954407" w:rsidRDefault="00BC27E9" w:rsidP="00EC1848">
      <w:pPr>
        <w:pStyle w:val="EstilodePrrafoNormal1RdeC"/>
        <w:numPr>
          <w:ilvl w:val="0"/>
          <w:numId w:val="234"/>
        </w:numPr>
      </w:pPr>
      <w:r w:rsidRPr="00954407">
        <w:t>Desvíos temporales en varios puntos de la red vial, con la habilitación de vías alternas y mantenimiento del tránsito en las vías existentes, aplicando medidas de seguridad, señalización adecuada y remoción de materiales, para concluir con la restauración del paso definitivo.</w:t>
      </w:r>
    </w:p>
    <w:p w14:paraId="202286A2" w14:textId="77777777" w:rsidR="00BC27E9" w:rsidRPr="00954407" w:rsidRDefault="00BC27E9" w:rsidP="00BC27E9">
      <w:pPr>
        <w:pStyle w:val="EstilodePrrafoNormal1RdeC"/>
      </w:pPr>
    </w:p>
    <w:p w14:paraId="6793BE0E" w14:textId="77777777" w:rsidR="00BC27E9" w:rsidRPr="00954407" w:rsidRDefault="00BC27E9" w:rsidP="00EC1848">
      <w:pPr>
        <w:pStyle w:val="EstilodePrrafoNormal1RdeC"/>
        <w:numPr>
          <w:ilvl w:val="0"/>
          <w:numId w:val="234"/>
        </w:numPr>
      </w:pPr>
      <w:r w:rsidRPr="00954407">
        <w:t xml:space="preserve">Identificación de los puntos críticos en las carreteras para </w:t>
      </w:r>
      <w:r w:rsidRPr="00954407">
        <w:lastRenderedPageBreak/>
        <w:t>proporcionar soluciones por diferentes causas: puntos críticos de drenaje, por trabajos de excavación para la instalación soterrada de Fibra Óptica, etc.</w:t>
      </w:r>
    </w:p>
    <w:p w14:paraId="29EF0AAF" w14:textId="77777777" w:rsidR="00BC27E9" w:rsidRPr="00954407" w:rsidRDefault="00BC27E9" w:rsidP="00BC27E9">
      <w:pPr>
        <w:pStyle w:val="EstilodePrrafoNormal1RdeC"/>
      </w:pPr>
    </w:p>
    <w:p w14:paraId="5279AF1E" w14:textId="77777777" w:rsidR="00BC27E9" w:rsidRPr="00954407" w:rsidRDefault="00BC27E9" w:rsidP="00EC1848">
      <w:pPr>
        <w:pStyle w:val="EstilodePrrafoNormal1RdeC"/>
        <w:numPr>
          <w:ilvl w:val="0"/>
          <w:numId w:val="234"/>
        </w:numPr>
      </w:pPr>
      <w:r w:rsidRPr="00954407">
        <w:t>Saneamiento y restablecimiento de los sistemas de drenaje, colocación de sacos, muros u otros dispositivos que operen como barreras temporales en las vías rurales y sustitución y/o reforzamiento de los muros de contención afectados, limpieza de alcantarillas, relleno y compactación en aproches y construcción de alcantarillas cajón en diferentes puntos críticos; además, la canalización de ríos y rellenos compactados en aproches de puentes.</w:t>
      </w:r>
    </w:p>
    <w:p w14:paraId="2140000C" w14:textId="77777777" w:rsidR="00BC27E9" w:rsidRPr="00954407" w:rsidRDefault="00BC27E9" w:rsidP="00BC27E9">
      <w:pPr>
        <w:pStyle w:val="EstilodePrrafoNormal1RdeC"/>
      </w:pPr>
    </w:p>
    <w:p w14:paraId="2F4E8049" w14:textId="77777777" w:rsidR="00BC27E9" w:rsidRPr="00954407" w:rsidRDefault="00BC27E9" w:rsidP="00EC1848">
      <w:pPr>
        <w:pStyle w:val="EstilodePrrafoNormal1RdeC"/>
        <w:numPr>
          <w:ilvl w:val="0"/>
          <w:numId w:val="234"/>
        </w:numPr>
      </w:pPr>
      <w:r w:rsidRPr="00954407">
        <w:t>Identificar y mitigar los impactos negativos al medio ambiente provocados por los desastres naturales (erosión de los suelos, contaminación de las aguas y afectación de la capa vegetal).</w:t>
      </w:r>
    </w:p>
    <w:p w14:paraId="719C45A3" w14:textId="77777777" w:rsidR="00BC27E9" w:rsidRPr="00954407" w:rsidRDefault="00BC27E9" w:rsidP="00BC27E9">
      <w:pPr>
        <w:pStyle w:val="EstilodePrrafoNormal1RdeC"/>
      </w:pPr>
    </w:p>
    <w:p w14:paraId="1328653F" w14:textId="77777777" w:rsidR="00BC27E9" w:rsidRPr="00954407" w:rsidRDefault="00BC27E9" w:rsidP="00EC1848">
      <w:pPr>
        <w:pStyle w:val="EstilodePrrafoNormal1RdeC"/>
        <w:numPr>
          <w:ilvl w:val="0"/>
          <w:numId w:val="234"/>
        </w:numPr>
      </w:pPr>
      <w:r w:rsidRPr="00954407">
        <w:t>Reparación y/o construcción (en caso de daños irreparables) de viviendas, hospitales, escuelas, iglesia, cuarteles y oficinas gubernamentales afectadas por los desastres naturales.</w:t>
      </w:r>
    </w:p>
    <w:p w14:paraId="0FC0CC13" w14:textId="77777777" w:rsidR="00BC27E9" w:rsidRPr="00954407" w:rsidRDefault="00BC27E9" w:rsidP="00BC27E9">
      <w:pPr>
        <w:pStyle w:val="EstilodePrrafoNormal1RdeC"/>
      </w:pPr>
    </w:p>
    <w:p w14:paraId="7261B27E" w14:textId="77777777" w:rsidR="00BC27E9" w:rsidRPr="00954407" w:rsidRDefault="00BC27E9" w:rsidP="00EC1848">
      <w:pPr>
        <w:pStyle w:val="EstilodePrrafoNormal1RdeC"/>
        <w:numPr>
          <w:ilvl w:val="0"/>
          <w:numId w:val="234"/>
        </w:numPr>
      </w:pPr>
      <w:r w:rsidRPr="00954407">
        <w:t>Activación del Comité de Emergencia del MOPC, para aplicar el Plan de Contingencia e iniciar las acciones en coordinación con el Centro de Operaciones de Emergencias (COE) y otras instituciones del Estado para ofrecer una respuesta integral de ayuda a las comunidades afectadas y la ejecución de los Planes Operativos de Emergencia y de Contingencias del MOPC, entre otros.</w:t>
      </w:r>
    </w:p>
    <w:p w14:paraId="29097174" w14:textId="77777777" w:rsidR="00BC27E9" w:rsidRDefault="00BC27E9" w:rsidP="00BC27E9">
      <w:pPr>
        <w:pStyle w:val="EstilodePrrafoNormal1RdeC"/>
      </w:pPr>
    </w:p>
    <w:p w14:paraId="472CB4AD" w14:textId="77777777" w:rsidR="00542ADB" w:rsidRPr="00954407" w:rsidRDefault="00542ADB" w:rsidP="00BC27E9">
      <w:pPr>
        <w:pStyle w:val="EstilodePrrafoNormal1RdeC"/>
      </w:pPr>
    </w:p>
    <w:p w14:paraId="6A523559" w14:textId="348E082F" w:rsidR="00BC27E9" w:rsidRPr="00F51751" w:rsidRDefault="00BC27E9" w:rsidP="00F51751">
      <w:pPr>
        <w:pStyle w:val="Heading1"/>
        <w:numPr>
          <w:ilvl w:val="0"/>
          <w:numId w:val="108"/>
        </w:numPr>
        <w:jc w:val="center"/>
        <w:rPr>
          <w:rFonts w:ascii="Times New Roman" w:hAnsi="Times New Roman" w:cs="Times New Roman"/>
          <w:color w:val="767171"/>
          <w:sz w:val="28"/>
          <w:szCs w:val="28"/>
        </w:rPr>
      </w:pPr>
      <w:bookmarkStart w:id="237" w:name="_Toc441696936"/>
      <w:bookmarkStart w:id="238" w:name="_Toc1418598"/>
      <w:bookmarkStart w:id="239" w:name="_Toc59361468"/>
      <w:bookmarkStart w:id="240" w:name="_Toc186924390"/>
      <w:bookmarkStart w:id="241" w:name="_Toc217387682"/>
      <w:bookmarkStart w:id="242" w:name="_Toc217402170"/>
      <w:r w:rsidRPr="00F51751">
        <w:rPr>
          <w:rFonts w:ascii="Times New Roman" w:hAnsi="Times New Roman" w:cs="Times New Roman"/>
          <w:color w:val="767171"/>
          <w:sz w:val="28"/>
          <w:szCs w:val="28"/>
        </w:rPr>
        <w:lastRenderedPageBreak/>
        <w:t>PROYECCIONES</w:t>
      </w:r>
      <w:bookmarkEnd w:id="237"/>
      <w:r w:rsidRPr="00F51751">
        <w:rPr>
          <w:rFonts w:ascii="Times New Roman" w:hAnsi="Times New Roman" w:cs="Times New Roman"/>
          <w:color w:val="767171"/>
          <w:sz w:val="28"/>
          <w:szCs w:val="28"/>
        </w:rPr>
        <w:t xml:space="preserve"> AL PRÓXIMO AÑO</w:t>
      </w:r>
      <w:bookmarkEnd w:id="238"/>
      <w:bookmarkEnd w:id="239"/>
      <w:bookmarkEnd w:id="240"/>
      <w:bookmarkEnd w:id="241"/>
      <w:bookmarkEnd w:id="242"/>
    </w:p>
    <w:p w14:paraId="6ED578BC" w14:textId="25776F09" w:rsidR="00BC27E9" w:rsidRPr="00954407" w:rsidRDefault="00F51751" w:rsidP="00BC27E9">
      <w:pPr>
        <w:pStyle w:val="EstilodePrrafoNormal1RdeC"/>
        <w:rPr>
          <w:rFonts w:eastAsia="Calibri"/>
          <w:sz w:val="18"/>
        </w:rPr>
      </w:pPr>
      <w:r w:rsidRPr="00F51751">
        <w:rPr>
          <w:noProof/>
          <w:color w:val="767171"/>
          <w:sz w:val="28"/>
          <w:szCs w:val="28"/>
          <w:lang w:eastAsia="en-US"/>
        </w:rPr>
        <mc:AlternateContent>
          <mc:Choice Requires="wps">
            <w:drawing>
              <wp:anchor distT="0" distB="0" distL="114300" distR="114300" simplePos="0" relativeHeight="251670528" behindDoc="1" locked="0" layoutInCell="1" allowOverlap="1" wp14:anchorId="049EAF44" wp14:editId="5CA368FF">
                <wp:simplePos x="0" y="0"/>
                <wp:positionH relativeFrom="column">
                  <wp:posOffset>2362200</wp:posOffset>
                </wp:positionH>
                <wp:positionV relativeFrom="paragraph">
                  <wp:posOffset>27940</wp:posOffset>
                </wp:positionV>
                <wp:extent cx="539750" cy="0"/>
                <wp:effectExtent l="0" t="19050" r="31750" b="19050"/>
                <wp:wrapNone/>
                <wp:docPr id="1073741838" name="Conector recto 1073741838"/>
                <wp:cNvGraphicFramePr/>
                <a:graphic xmlns:a="http://schemas.openxmlformats.org/drawingml/2006/main">
                  <a:graphicData uri="http://schemas.microsoft.com/office/word/2010/wordprocessingShape">
                    <wps:wsp>
                      <wps:cNvCnPr/>
                      <wps:spPr>
                        <a:xfrm>
                          <a:off x="0" y="0"/>
                          <a:ext cx="53975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B183F" id="Conector recto 1073741838"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2.2pt" to="22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" strokecolor="red" strokeweight="2.5pt">
                <v:stroke joinstyle="miter"/>
              </v:line>
            </w:pict>
          </mc:Fallback>
        </mc:AlternateContent>
      </w:r>
    </w:p>
    <w:p w14:paraId="0E85C999" w14:textId="77777777" w:rsidR="00BC27E9" w:rsidRPr="00954407" w:rsidRDefault="00BC27E9" w:rsidP="00F51751">
      <w:pPr>
        <w:pStyle w:val="EstilodePrrafoNormal1RdeC"/>
        <w:jc w:val="center"/>
      </w:pPr>
      <w:r w:rsidRPr="00954407">
        <w:t>Memoria institucional 2025</w:t>
      </w:r>
    </w:p>
    <w:p w14:paraId="3D93AB74" w14:textId="77777777" w:rsidR="00BC27E9" w:rsidRPr="00954407" w:rsidRDefault="00BC27E9" w:rsidP="00BC27E9">
      <w:pPr>
        <w:pStyle w:val="EstilodePrrafoNormal1RdeC"/>
        <w:rPr>
          <w:color w:val="767171"/>
        </w:rPr>
      </w:pPr>
    </w:p>
    <w:p w14:paraId="652555CF" w14:textId="77777777" w:rsidR="00BC27E9" w:rsidRPr="00954407" w:rsidRDefault="00BC27E9" w:rsidP="00BC27E9">
      <w:pPr>
        <w:pStyle w:val="EstilodePrrafoNormal1RdeC"/>
      </w:pPr>
      <w:r w:rsidRPr="00954407">
        <w:t>Las proyecciones del Ministerio de Obras Públicas y Comunicaciones (MOPC) para el año 2026, se enfocan en alcanzar los objetivos planificados en el Plan Operativo de Inversión Anual para el próximo año, que contempla un total de cuatrocientos sesenta y siete (467) programas y proyectos con una inversión aproximada de RD$44,940,715,000.00 (Cuarenta y Cuatro Mil Novecientos Cuarenta Millones Setecientos Quince Mil Pesos con 00/100), priorizando  la conservación de la infraestructura del sector transporte existente y el inicio de nuevas construcciones, con la finalidad de impulsar el crecimiento económico del país, mejorando la conectividad e incrementando la seguridad vial de los usuarios con una infraestructura moderna y mejorada, acciones vinculadas con los Objetivos Globales del Gobierno del Lic. Luis Abinader Corona para el periodo 2025-2028, la Estrategia Nacional de Desarrollo (END) 2030 y los Objetivos de Desarrollo Sostenible (ODS), entre los cuales se destacan:</w:t>
      </w:r>
    </w:p>
    <w:p w14:paraId="6459C9C7" w14:textId="77777777" w:rsidR="00BC27E9" w:rsidRPr="00954407" w:rsidRDefault="00BC27E9" w:rsidP="00BC27E9">
      <w:pPr>
        <w:pStyle w:val="EstilodePrrafoNormal1RdeC"/>
        <w:rPr>
          <w:color w:val="767171"/>
        </w:rPr>
      </w:pPr>
    </w:p>
    <w:p w14:paraId="639EC07E" w14:textId="77777777" w:rsidR="00BC27E9" w:rsidRPr="00954407" w:rsidRDefault="00BC27E9" w:rsidP="00EC1848">
      <w:pPr>
        <w:pStyle w:val="EstilodePrrafoNormal1RdeC"/>
        <w:numPr>
          <w:ilvl w:val="0"/>
          <w:numId w:val="235"/>
        </w:numPr>
      </w:pPr>
      <w:r w:rsidRPr="00954407">
        <w:t>Programa Nacional de Asfaltado y Construcción de Carreteras (PROPACC) IV y V;</w:t>
      </w:r>
    </w:p>
    <w:p w14:paraId="5C4B7C83" w14:textId="77777777" w:rsidR="00BC27E9" w:rsidRPr="00954407" w:rsidRDefault="00BC27E9" w:rsidP="00BC27E9">
      <w:pPr>
        <w:pStyle w:val="EstilodePrrafoNormal1RdeC"/>
      </w:pPr>
    </w:p>
    <w:p w14:paraId="56F48627" w14:textId="77777777" w:rsidR="00BC27E9" w:rsidRPr="00954407" w:rsidRDefault="00BC27E9" w:rsidP="00EC1848">
      <w:pPr>
        <w:pStyle w:val="EstilodePrrafoNormal1RdeC"/>
        <w:numPr>
          <w:ilvl w:val="0"/>
          <w:numId w:val="235"/>
        </w:numPr>
      </w:pPr>
      <w:r w:rsidRPr="00954407">
        <w:t>Programa de Mantenimiento Vial a nivel nacional;</w:t>
      </w:r>
    </w:p>
    <w:p w14:paraId="7DCB7AD4" w14:textId="77777777" w:rsidR="00BC27E9" w:rsidRPr="00954407" w:rsidRDefault="00BC27E9" w:rsidP="00BC27E9">
      <w:pPr>
        <w:pStyle w:val="EstilodePrrafoNormal1RdeC"/>
      </w:pPr>
    </w:p>
    <w:p w14:paraId="0234101B" w14:textId="77777777" w:rsidR="00BC27E9" w:rsidRPr="00954407" w:rsidRDefault="00BC27E9" w:rsidP="00EC1848">
      <w:pPr>
        <w:pStyle w:val="EstilodePrrafoNormal1RdeC"/>
        <w:numPr>
          <w:ilvl w:val="0"/>
          <w:numId w:val="235"/>
        </w:numPr>
      </w:pPr>
      <w:r w:rsidRPr="00954407">
        <w:t>Programa Comunitario Acción Vial (Peón Caminero);</w:t>
      </w:r>
    </w:p>
    <w:p w14:paraId="225A7D4E" w14:textId="77777777" w:rsidR="00BC27E9" w:rsidRPr="00954407" w:rsidRDefault="00BC27E9" w:rsidP="00BC27E9">
      <w:pPr>
        <w:pStyle w:val="EstilodePrrafoNormal1RdeC"/>
      </w:pPr>
    </w:p>
    <w:p w14:paraId="0485D43C" w14:textId="77777777" w:rsidR="00BC27E9" w:rsidRPr="00954407" w:rsidRDefault="00BC27E9" w:rsidP="00EC1848">
      <w:pPr>
        <w:pStyle w:val="EstilodePrrafoNormal1RdeC"/>
        <w:numPr>
          <w:ilvl w:val="0"/>
          <w:numId w:val="235"/>
        </w:numPr>
      </w:pPr>
      <w:r w:rsidRPr="00954407">
        <w:t>Programa Preservación, Recuperación y Seguridad Vial en Corredores Urbanos e Interurbanos;</w:t>
      </w:r>
    </w:p>
    <w:p w14:paraId="1D2BC370" w14:textId="77777777" w:rsidR="00BC27E9" w:rsidRPr="00954407" w:rsidRDefault="00BC27E9" w:rsidP="00BC27E9">
      <w:pPr>
        <w:pStyle w:val="EstilodePrrafoNormal1RdeC"/>
      </w:pPr>
    </w:p>
    <w:p w14:paraId="32F557A9" w14:textId="77777777" w:rsidR="00BC27E9" w:rsidRPr="00954407" w:rsidRDefault="00BC27E9" w:rsidP="00EC1848">
      <w:pPr>
        <w:pStyle w:val="EstilodePrrafoNormal1RdeC"/>
        <w:numPr>
          <w:ilvl w:val="0"/>
          <w:numId w:val="235"/>
        </w:numPr>
      </w:pPr>
      <w:r w:rsidRPr="00954407">
        <w:t xml:space="preserve">Plan Integral de Construcción, Reconstrucción y Mantenimiento de </w:t>
      </w:r>
      <w:r w:rsidRPr="00954407">
        <w:lastRenderedPageBreak/>
        <w:t xml:space="preserve">Carreteras y Puentes a nivel nacional; </w:t>
      </w:r>
    </w:p>
    <w:p w14:paraId="0930BC2C" w14:textId="77777777" w:rsidR="00BC27E9" w:rsidRPr="00954407" w:rsidRDefault="00BC27E9" w:rsidP="00BC27E9">
      <w:pPr>
        <w:pStyle w:val="EstilodePrrafoNormal1RdeC"/>
      </w:pPr>
    </w:p>
    <w:p w14:paraId="2DAFAC4B" w14:textId="77777777" w:rsidR="00BC27E9" w:rsidRPr="00954407" w:rsidRDefault="00BC27E9" w:rsidP="00EC1848">
      <w:pPr>
        <w:pStyle w:val="EstilodePrrafoNormal1RdeC"/>
        <w:numPr>
          <w:ilvl w:val="0"/>
          <w:numId w:val="235"/>
        </w:numPr>
      </w:pPr>
      <w:r w:rsidRPr="00954407">
        <w:t>Plan de Señalización Vial a nivel nacional;</w:t>
      </w:r>
    </w:p>
    <w:p w14:paraId="47717796" w14:textId="77777777" w:rsidR="00BC27E9" w:rsidRPr="00954407" w:rsidRDefault="00BC27E9" w:rsidP="00BC27E9">
      <w:pPr>
        <w:pStyle w:val="EstilodePrrafoNormal1RdeC"/>
      </w:pPr>
    </w:p>
    <w:p w14:paraId="67059420" w14:textId="77777777" w:rsidR="00BC27E9" w:rsidRPr="00954407" w:rsidRDefault="00BC27E9" w:rsidP="00EC1848">
      <w:pPr>
        <w:pStyle w:val="EstilodePrrafoNormal1RdeC"/>
        <w:numPr>
          <w:ilvl w:val="0"/>
          <w:numId w:val="235"/>
        </w:numPr>
      </w:pPr>
      <w:r w:rsidRPr="00954407">
        <w:t>Plan de Mantenimiento de Túneles y Elevados;</w:t>
      </w:r>
    </w:p>
    <w:p w14:paraId="5C107946" w14:textId="77777777" w:rsidR="00BC27E9" w:rsidRPr="00954407" w:rsidRDefault="00BC27E9" w:rsidP="00BC27E9">
      <w:pPr>
        <w:pStyle w:val="EstilodePrrafoNormal1RdeC"/>
      </w:pPr>
    </w:p>
    <w:p w14:paraId="7F09509C" w14:textId="77777777" w:rsidR="00BC27E9" w:rsidRPr="00954407" w:rsidRDefault="00BC27E9" w:rsidP="00EC1848">
      <w:pPr>
        <w:pStyle w:val="EstilodePrrafoNormal1RdeC"/>
        <w:numPr>
          <w:ilvl w:val="0"/>
          <w:numId w:val="235"/>
        </w:numPr>
      </w:pPr>
      <w:r w:rsidRPr="00954407">
        <w:t>Programa de Terminación de Edificaciones Públicas, entre otros.</w:t>
      </w:r>
    </w:p>
    <w:p w14:paraId="23667D3D" w14:textId="77777777" w:rsidR="00BC27E9" w:rsidRPr="00954407" w:rsidRDefault="00BC27E9" w:rsidP="00BC27E9">
      <w:pPr>
        <w:pStyle w:val="EstilodePrrafoNormal1RdeC"/>
        <w:rPr>
          <w:lang w:eastAsia="es-DO"/>
        </w:rPr>
      </w:pPr>
    </w:p>
    <w:p w14:paraId="2DDF5DB6" w14:textId="77777777" w:rsidR="00BC27E9" w:rsidRPr="00954407" w:rsidRDefault="00BC27E9" w:rsidP="00BC27E9">
      <w:pPr>
        <w:pStyle w:val="EstilodePrrafoNormal1RdeC"/>
      </w:pPr>
      <w:r w:rsidRPr="00954407">
        <w:rPr>
          <w:color w:val="767171"/>
        </w:rPr>
        <w:t>Entre los proyectos contemplados</w:t>
      </w:r>
      <w:r w:rsidRPr="00954407">
        <w:t xml:space="preserve"> </w:t>
      </w:r>
      <w:r w:rsidRPr="00954407">
        <w:rPr>
          <w:color w:val="767171"/>
        </w:rPr>
        <w:t>con mayor prioridad para el próximo año, se destacan los siguientes:</w:t>
      </w:r>
      <w:r w:rsidRPr="00954407">
        <w:t xml:space="preserve"> </w:t>
      </w:r>
    </w:p>
    <w:p w14:paraId="382C216F" w14:textId="77777777" w:rsidR="00BC27E9" w:rsidRPr="00954407" w:rsidRDefault="00BC27E9" w:rsidP="00BC27E9">
      <w:pPr>
        <w:pStyle w:val="EstilodePrrafoNormal1RdeC"/>
      </w:pPr>
    </w:p>
    <w:p w14:paraId="100B6589" w14:textId="77777777" w:rsidR="00BC27E9" w:rsidRPr="00954407" w:rsidRDefault="00BC27E9" w:rsidP="00EC1848">
      <w:pPr>
        <w:pStyle w:val="EstilodePrrafoNormal1RdeC"/>
        <w:numPr>
          <w:ilvl w:val="0"/>
          <w:numId w:val="236"/>
        </w:numPr>
      </w:pPr>
      <w:r w:rsidRPr="00954407">
        <w:t>Construcción Paso a Desnivel soterrado en la intersección de las Avenidas Gregorio Luperón con 27 de Febrero (debajo de la Plaza de la Bandera), Municipio Santo Domingo Norte, Provincia Santo Domingo;</w:t>
      </w:r>
    </w:p>
    <w:p w14:paraId="2042F3D1" w14:textId="77777777" w:rsidR="00BC27E9" w:rsidRPr="00954407" w:rsidRDefault="00BC27E9" w:rsidP="00BC27E9">
      <w:pPr>
        <w:pStyle w:val="EstilodePrrafoNormal1RdeC"/>
      </w:pPr>
    </w:p>
    <w:p w14:paraId="4390517F" w14:textId="77777777" w:rsidR="00BC27E9" w:rsidRPr="00954407" w:rsidRDefault="00BC27E9" w:rsidP="00EC1848">
      <w:pPr>
        <w:pStyle w:val="EstilodePrrafoNormal1RdeC"/>
        <w:numPr>
          <w:ilvl w:val="0"/>
          <w:numId w:val="236"/>
        </w:numPr>
      </w:pPr>
      <w:r w:rsidRPr="00954407">
        <w:t>Construcción Viaducto y Distribuidor vial en la intersección de las Avenidas República de Colombia con Avenida Coronel Juan María Lora y Avenida Pérez Ricart, integrando las obras: a) Construcción de Solución Vial en la intersección de las Avenidas República de Colombia con Avenida Los Próceres, b) Diseño y Construcción de Soluciones Viales en la Avenida Jacobo Majluta, y, c) Ampliación de la República de Colombia desde Autopista Duarte hasta Avenida Los Próceres, Distrito Nacional;</w:t>
      </w:r>
    </w:p>
    <w:p w14:paraId="1293544C" w14:textId="77777777" w:rsidR="00BC27E9" w:rsidRPr="00954407" w:rsidRDefault="00BC27E9" w:rsidP="00BC27E9">
      <w:pPr>
        <w:pStyle w:val="EstilodePrrafoNormal1RdeC"/>
      </w:pPr>
    </w:p>
    <w:p w14:paraId="3915B550" w14:textId="77777777" w:rsidR="00BC27E9" w:rsidRPr="00954407" w:rsidRDefault="00BC27E9" w:rsidP="00EC1848">
      <w:pPr>
        <w:pStyle w:val="EstilodePrrafoNormal1RdeC"/>
        <w:numPr>
          <w:ilvl w:val="0"/>
          <w:numId w:val="236"/>
        </w:numPr>
      </w:pPr>
      <w:r w:rsidRPr="00954407">
        <w:t>Construcción Puente Levadizo en sustitución al flotante sobre el Río Ozama entre Av. Caamaño Deñó con Av. Malecón, Provincia Santo Domingo;</w:t>
      </w:r>
    </w:p>
    <w:p w14:paraId="10D97F67" w14:textId="77777777" w:rsidR="00BC27E9" w:rsidRPr="00954407" w:rsidRDefault="00BC27E9" w:rsidP="00BC27E9">
      <w:pPr>
        <w:pStyle w:val="EstilodePrrafoNormal1RdeC"/>
        <w:rPr>
          <w:color w:val="0A0A0A"/>
          <w:spacing w:val="0"/>
          <w:lang w:val="es-US"/>
        </w:rPr>
      </w:pPr>
    </w:p>
    <w:p w14:paraId="02F954E2" w14:textId="77777777" w:rsidR="00BC27E9" w:rsidRPr="00954407" w:rsidRDefault="00BC27E9" w:rsidP="00EC1848">
      <w:pPr>
        <w:pStyle w:val="EstilodePrrafoNormal1RdeC"/>
        <w:numPr>
          <w:ilvl w:val="0"/>
          <w:numId w:val="236"/>
        </w:numPr>
      </w:pPr>
      <w:r w:rsidRPr="00954407">
        <w:t xml:space="preserve">Terminación Reconstrucción y Modernización de la Autopista Juan </w:t>
      </w:r>
      <w:r w:rsidRPr="00954407">
        <w:lastRenderedPageBreak/>
        <w:t>Pablo Duarte, incluye expansión de carriles, modernización de intersecciones, construcción de nuevos puentes, eliminación de cruces ilegales, Marginales, Elevados, Control de accesos, etc.). Multiprovincial;</w:t>
      </w:r>
    </w:p>
    <w:p w14:paraId="323A1A00" w14:textId="77777777" w:rsidR="00BC27E9" w:rsidRPr="00954407" w:rsidRDefault="00BC27E9" w:rsidP="00BC27E9">
      <w:pPr>
        <w:pStyle w:val="EstilodePrrafoNormal1RdeC"/>
      </w:pPr>
    </w:p>
    <w:p w14:paraId="7A0438CE" w14:textId="77777777" w:rsidR="00BC27E9" w:rsidRPr="00954407" w:rsidRDefault="00BC27E9" w:rsidP="00EC1848">
      <w:pPr>
        <w:pStyle w:val="EstilodePrrafoNormal1RdeC"/>
        <w:numPr>
          <w:ilvl w:val="0"/>
          <w:numId w:val="236"/>
        </w:numPr>
      </w:pPr>
      <w:r w:rsidRPr="00954407">
        <w:t>Terminación Construcción Tramo de Carretera Enlace Vial Estancia Nueva hasta El Cruce de Chero, denominado (Circunvalación de Moca), Provincia Espaillat, contempla la construcción de un puente de 120.0 m sobre el Río Moca;</w:t>
      </w:r>
    </w:p>
    <w:p w14:paraId="0F0440A2" w14:textId="77777777" w:rsidR="00BC27E9" w:rsidRPr="00954407" w:rsidRDefault="00BC27E9" w:rsidP="00BC27E9">
      <w:pPr>
        <w:pStyle w:val="EstilodePrrafoNormal1RdeC"/>
      </w:pPr>
    </w:p>
    <w:p w14:paraId="31303BD4" w14:textId="77777777" w:rsidR="00BC27E9" w:rsidRPr="00954407" w:rsidRDefault="00BC27E9" w:rsidP="00EC1848">
      <w:pPr>
        <w:pStyle w:val="EstilodePrrafoNormal1RdeC"/>
        <w:numPr>
          <w:ilvl w:val="0"/>
          <w:numId w:val="236"/>
        </w:numPr>
      </w:pPr>
      <w:r w:rsidRPr="00954407">
        <w:t>Construcción de Infraestructura Vial para el Desarrollo Turístico de Cabo Rojo, Municipio Pedernales, Provincia Pedernales;</w:t>
      </w:r>
    </w:p>
    <w:p w14:paraId="2273F79A" w14:textId="77777777" w:rsidR="00BC27E9" w:rsidRPr="00954407" w:rsidRDefault="00BC27E9" w:rsidP="00BC27E9">
      <w:pPr>
        <w:pStyle w:val="EstilodePrrafoNormal1RdeC"/>
      </w:pPr>
    </w:p>
    <w:p w14:paraId="55EEA2A4" w14:textId="77777777" w:rsidR="00BC27E9" w:rsidRPr="00954407" w:rsidRDefault="00BC27E9" w:rsidP="00EC1848">
      <w:pPr>
        <w:pStyle w:val="EstilodePrrafoNormal1RdeC"/>
        <w:numPr>
          <w:ilvl w:val="0"/>
          <w:numId w:val="236"/>
        </w:numPr>
      </w:pPr>
      <w:r w:rsidRPr="00954407">
        <w:t>Terminación Proyecto Mejoramiento del Puerto de Manzanillo y sus vías de conectividad, Provincia Montecristi;</w:t>
      </w:r>
    </w:p>
    <w:p w14:paraId="3EE2434C" w14:textId="77777777" w:rsidR="00BC27E9" w:rsidRPr="00954407" w:rsidRDefault="00BC27E9" w:rsidP="00BC27E9">
      <w:pPr>
        <w:pStyle w:val="EstilodePrrafoNormal1RdeC"/>
      </w:pPr>
    </w:p>
    <w:p w14:paraId="093C8CA9" w14:textId="77777777" w:rsidR="00BC27E9" w:rsidRPr="00954407" w:rsidRDefault="00BC27E9" w:rsidP="00EC1848">
      <w:pPr>
        <w:pStyle w:val="EstilodePrrafoNormal1RdeC"/>
        <w:numPr>
          <w:ilvl w:val="0"/>
          <w:numId w:val="236"/>
        </w:numPr>
      </w:pPr>
      <w:r w:rsidRPr="00954407">
        <w:t>Construcción Autopista del Ámbar, unirá las localidades de Santiago de Los Caballeros y Montellano (Puerto Plata). Provincias Santiago y Puerto Plata;</w:t>
      </w:r>
    </w:p>
    <w:p w14:paraId="72ECDEE5" w14:textId="77777777" w:rsidR="00BC27E9" w:rsidRPr="00954407" w:rsidRDefault="00BC27E9" w:rsidP="00BC27E9">
      <w:pPr>
        <w:pStyle w:val="EstilodePrrafoNormal1RdeC"/>
      </w:pPr>
    </w:p>
    <w:p w14:paraId="042FFD8B" w14:textId="77777777" w:rsidR="00BC27E9" w:rsidRPr="00954407" w:rsidRDefault="00BC27E9" w:rsidP="00EC1848">
      <w:pPr>
        <w:pStyle w:val="EstilodePrrafoNormal1RdeC"/>
        <w:numPr>
          <w:ilvl w:val="0"/>
          <w:numId w:val="236"/>
        </w:numPr>
      </w:pPr>
      <w:r w:rsidRPr="00954407">
        <w:t xml:space="preserve">Ampliación Puente Francisco Jacinto Peynado que une al Distrito Nacional con el Municipio Santo Domingo Norte; </w:t>
      </w:r>
    </w:p>
    <w:p w14:paraId="401E64D5" w14:textId="77777777" w:rsidR="00BC27E9" w:rsidRPr="00954407" w:rsidRDefault="00BC27E9" w:rsidP="00BC27E9">
      <w:pPr>
        <w:pStyle w:val="EstilodePrrafoNormal1RdeC"/>
      </w:pPr>
    </w:p>
    <w:p w14:paraId="690F2714" w14:textId="77777777" w:rsidR="00BC27E9" w:rsidRPr="00954407" w:rsidRDefault="00BC27E9" w:rsidP="00EC1848">
      <w:pPr>
        <w:pStyle w:val="EstilodePrrafoNormal1RdeC"/>
        <w:numPr>
          <w:ilvl w:val="0"/>
          <w:numId w:val="236"/>
        </w:numPr>
      </w:pPr>
      <w:r w:rsidRPr="00954407">
        <w:t>Reconstrucción del Puente Sabaneta de Cangrejo sobre el Río Camú, Municipios Villa Montellano y Sosúa, Provincia Puerto Plata;</w:t>
      </w:r>
    </w:p>
    <w:p w14:paraId="055B1318" w14:textId="77777777" w:rsidR="00BC27E9" w:rsidRPr="00954407" w:rsidRDefault="00BC27E9" w:rsidP="00BC27E9">
      <w:pPr>
        <w:pStyle w:val="EstilodePrrafoNormal1RdeC"/>
      </w:pPr>
    </w:p>
    <w:p w14:paraId="11F8379E" w14:textId="77777777" w:rsidR="00BC27E9" w:rsidRPr="00954407" w:rsidRDefault="00BC27E9" w:rsidP="00EC1848">
      <w:pPr>
        <w:pStyle w:val="EstilodePrrafoNormal1RdeC"/>
        <w:numPr>
          <w:ilvl w:val="0"/>
          <w:numId w:val="236"/>
        </w:numPr>
      </w:pPr>
      <w:r w:rsidRPr="00954407">
        <w:t>Terminación Construcción Avenida Circunvalación Norte, Lote 5 (enlaces), en el Municipio Villa Bisonó (Navarrete), Provincia Santiago;</w:t>
      </w:r>
    </w:p>
    <w:p w14:paraId="7A7A6F34" w14:textId="77777777" w:rsidR="00BC27E9" w:rsidRPr="00954407" w:rsidRDefault="00BC27E9" w:rsidP="00BC27E9">
      <w:pPr>
        <w:pStyle w:val="EstilodePrrafoNormal1RdeC"/>
      </w:pPr>
    </w:p>
    <w:p w14:paraId="460910AE" w14:textId="77777777" w:rsidR="00BC27E9" w:rsidRPr="00954407" w:rsidRDefault="00BC27E9" w:rsidP="00EC1848">
      <w:pPr>
        <w:pStyle w:val="EstilodePrrafoNormal1RdeC"/>
        <w:numPr>
          <w:ilvl w:val="0"/>
          <w:numId w:val="236"/>
        </w:numPr>
      </w:pPr>
      <w:r w:rsidRPr="00954407">
        <w:lastRenderedPageBreak/>
        <w:t>Terminación Construcción Avenida de Circunvalación Expreso Nuevo Camino (Prof.  Juan Bosch), Municipio Los Alcarrizos, Provincia Santo Domingo;</w:t>
      </w:r>
    </w:p>
    <w:p w14:paraId="64D1C78A" w14:textId="77777777" w:rsidR="00BC27E9" w:rsidRPr="00954407" w:rsidRDefault="00BC27E9" w:rsidP="00BC27E9">
      <w:pPr>
        <w:pStyle w:val="EstilodePrrafoNormal1RdeC"/>
      </w:pPr>
    </w:p>
    <w:p w14:paraId="5EE0DB4A" w14:textId="77777777" w:rsidR="00BC27E9" w:rsidRPr="00954407" w:rsidRDefault="00BC27E9" w:rsidP="00EC1848">
      <w:pPr>
        <w:pStyle w:val="EstilodePrrafoNormal1RdeC"/>
        <w:numPr>
          <w:ilvl w:val="0"/>
          <w:numId w:val="236"/>
        </w:numPr>
      </w:pPr>
      <w:r w:rsidRPr="00954407">
        <w:t>Terminación Construcción Avenida de Circunvalación de San Francisco de Macorís, Provincia Duarte;</w:t>
      </w:r>
    </w:p>
    <w:p w14:paraId="73497DC5" w14:textId="77777777" w:rsidR="00BC27E9" w:rsidRPr="00954407" w:rsidRDefault="00BC27E9" w:rsidP="00BC27E9">
      <w:pPr>
        <w:pStyle w:val="EstilodePrrafoNormal1RdeC"/>
      </w:pPr>
    </w:p>
    <w:p w14:paraId="656AF13D" w14:textId="77777777" w:rsidR="00BC27E9" w:rsidRPr="00954407" w:rsidRDefault="00BC27E9" w:rsidP="00EC1848">
      <w:pPr>
        <w:pStyle w:val="EstilodePrrafoNormal1RdeC"/>
        <w:numPr>
          <w:ilvl w:val="0"/>
          <w:numId w:val="236"/>
        </w:numPr>
      </w:pPr>
      <w:r w:rsidRPr="00954407">
        <w:t>Terminación Construcción Malecón de Nagua, Provincia María Trinidad Sánchez);</w:t>
      </w:r>
    </w:p>
    <w:p w14:paraId="52B5A8F8" w14:textId="77777777" w:rsidR="00BC27E9" w:rsidRPr="00954407" w:rsidRDefault="00BC27E9" w:rsidP="00BC27E9">
      <w:pPr>
        <w:pStyle w:val="EstilodePrrafoNormal1RdeC"/>
      </w:pPr>
    </w:p>
    <w:p w14:paraId="1E201CF2" w14:textId="77777777" w:rsidR="00BC27E9" w:rsidRPr="00954407" w:rsidRDefault="00BC27E9" w:rsidP="00EC1848">
      <w:pPr>
        <w:pStyle w:val="EstilodePrrafoNormal1RdeC"/>
        <w:numPr>
          <w:ilvl w:val="0"/>
          <w:numId w:val="236"/>
        </w:numPr>
      </w:pPr>
      <w:r w:rsidRPr="00954407">
        <w:t>Ampliación de la Avenida Gregorio Luperón desde la Avenida Estrella Sadhalá hasta la Avenida Circunvalación Norte, Municipio Santiago de los Caballeros, Provincia Santiago;</w:t>
      </w:r>
    </w:p>
    <w:p w14:paraId="51032423" w14:textId="77777777" w:rsidR="00BC27E9" w:rsidRPr="00954407" w:rsidRDefault="00BC27E9" w:rsidP="00BC27E9">
      <w:pPr>
        <w:pStyle w:val="EstilodePrrafoNormal1RdeC"/>
      </w:pPr>
    </w:p>
    <w:p w14:paraId="008E43B6" w14:textId="77777777" w:rsidR="00BC27E9" w:rsidRPr="00954407" w:rsidRDefault="00BC27E9" w:rsidP="00EC1848">
      <w:pPr>
        <w:pStyle w:val="EstilodePrrafoNormal1RdeC"/>
        <w:numPr>
          <w:ilvl w:val="0"/>
          <w:numId w:val="236"/>
        </w:numPr>
      </w:pPr>
      <w:r w:rsidRPr="00954407">
        <w:t>Terminación Reconstrucción Carretera Barahona – Enriquillo, Provincia Barahona;</w:t>
      </w:r>
    </w:p>
    <w:p w14:paraId="6CC84D4B" w14:textId="77777777" w:rsidR="00BC27E9" w:rsidRPr="00954407" w:rsidRDefault="00BC27E9" w:rsidP="00BC27E9">
      <w:pPr>
        <w:pStyle w:val="EstilodePrrafoNormal1RdeC"/>
      </w:pPr>
    </w:p>
    <w:p w14:paraId="5B4A2E95" w14:textId="77777777" w:rsidR="00BC27E9" w:rsidRPr="00954407" w:rsidRDefault="00BC27E9" w:rsidP="00EC1848">
      <w:pPr>
        <w:pStyle w:val="EstilodePrrafoNormal1RdeC"/>
        <w:numPr>
          <w:ilvl w:val="0"/>
          <w:numId w:val="236"/>
        </w:numPr>
      </w:pPr>
      <w:r w:rsidRPr="00954407">
        <w:t xml:space="preserve">Terminación Reconstrucción de la Carretera Enriquillo – Pedernales, Provincias Barahona y Pedernales; </w:t>
      </w:r>
    </w:p>
    <w:p w14:paraId="47E9E491" w14:textId="77777777" w:rsidR="00BC27E9" w:rsidRPr="00954407" w:rsidRDefault="00BC27E9" w:rsidP="00BC27E9">
      <w:pPr>
        <w:pStyle w:val="EstilodePrrafoNormal1RdeC"/>
      </w:pPr>
    </w:p>
    <w:p w14:paraId="72F271BA" w14:textId="77777777" w:rsidR="00BC27E9" w:rsidRPr="00954407" w:rsidRDefault="00BC27E9" w:rsidP="00EC1848">
      <w:pPr>
        <w:pStyle w:val="EstilodePrrafoNormal1RdeC"/>
        <w:numPr>
          <w:ilvl w:val="0"/>
          <w:numId w:val="236"/>
        </w:numPr>
      </w:pPr>
      <w:r w:rsidRPr="00954407">
        <w:t>Terminación Construcción nuevo puente peatonal y motorizado en el Municipio Villa Altagracia, Provincia San Cristóbal;</w:t>
      </w:r>
    </w:p>
    <w:p w14:paraId="5A01F1B7" w14:textId="77777777" w:rsidR="00BC27E9" w:rsidRPr="00954407" w:rsidRDefault="00BC27E9" w:rsidP="00BC27E9">
      <w:pPr>
        <w:pStyle w:val="EstilodePrrafoNormal1RdeC"/>
      </w:pPr>
    </w:p>
    <w:p w14:paraId="17A2F125" w14:textId="77777777" w:rsidR="00BC27E9" w:rsidRPr="00954407" w:rsidRDefault="00BC27E9" w:rsidP="00EC1848">
      <w:pPr>
        <w:pStyle w:val="EstilodePrrafoNormal1RdeC"/>
        <w:numPr>
          <w:ilvl w:val="0"/>
          <w:numId w:val="236"/>
        </w:numPr>
      </w:pPr>
      <w:r w:rsidRPr="00954407">
        <w:t>Gestión de resiliencia climática de la infraestructura de puentes en República Dominicana”, proyectos financiados por el Banco Interamericano de Desarrollo (BID), bajo el contrato de préstamo 5901/OC-DR, contempla los trabajos de construcción, reconstrucción, rehabilitación y supervisión de 53 puentes en 15 provincias del país, como parte del primer grupo de un plan que abarcará más de 150 puentes</w:t>
      </w:r>
      <w:r w:rsidRPr="00954407">
        <w:rPr>
          <w:color w:val="050505"/>
          <w:sz w:val="23"/>
          <w:szCs w:val="23"/>
          <w:shd w:val="clear" w:color="auto" w:fill="FFFFFF"/>
        </w:rPr>
        <w:t xml:space="preserve">. </w:t>
      </w:r>
      <w:r w:rsidRPr="00954407">
        <w:t xml:space="preserve">de los cuales 26 serán nuevos puentes </w:t>
      </w:r>
      <w:r w:rsidRPr="00954407">
        <w:lastRenderedPageBreak/>
        <w:t>y 27 reconstruidos, con una inversión aproximada de US$200,000,000.00 (Doscientos Millones de dólares estadounidenses).</w:t>
      </w:r>
    </w:p>
    <w:p w14:paraId="6109CEFD" w14:textId="77777777" w:rsidR="00BC27E9" w:rsidRPr="00954407" w:rsidRDefault="00BC27E9" w:rsidP="00BC27E9">
      <w:pPr>
        <w:pStyle w:val="EstilodePrrafoNormal1RdeC"/>
      </w:pPr>
    </w:p>
    <w:p w14:paraId="5056A2BD" w14:textId="77777777" w:rsidR="00BC27E9" w:rsidRPr="00954407" w:rsidRDefault="00BC27E9" w:rsidP="00BC27E9">
      <w:pPr>
        <w:pStyle w:val="EstilodePrrafoNormal1RdeC"/>
      </w:pPr>
    </w:p>
    <w:p w14:paraId="26AE1CE8" w14:textId="77777777" w:rsidR="00BC27E9" w:rsidRPr="00954407" w:rsidRDefault="00BC27E9" w:rsidP="00BC27E9">
      <w:pPr>
        <w:pStyle w:val="EstilodePrrafoNormal1RdeC"/>
      </w:pPr>
      <w:r w:rsidRPr="00954407">
        <w:t>Además, para el año 2026, el MOPC tiene proyectado la terminación de importantes obras de Construcción y Reparación de Edificaciones Públicas, en proceso de ejecución, entre las cuales citamos las siguientes:</w:t>
      </w:r>
    </w:p>
    <w:p w14:paraId="0097A782" w14:textId="77777777" w:rsidR="00BC27E9" w:rsidRPr="00954407" w:rsidRDefault="00BC27E9" w:rsidP="00BC27E9">
      <w:pPr>
        <w:pStyle w:val="EstilodePrrafoNormal1RdeC"/>
      </w:pPr>
    </w:p>
    <w:p w14:paraId="5501D4AE" w14:textId="77777777" w:rsidR="00BC27E9" w:rsidRPr="00954407" w:rsidRDefault="00BC27E9" w:rsidP="00EC1848">
      <w:pPr>
        <w:pStyle w:val="EstilodePrrafoNormal1RdeC"/>
        <w:numPr>
          <w:ilvl w:val="0"/>
          <w:numId w:val="237"/>
        </w:numPr>
      </w:pPr>
      <w:bookmarkStart w:id="243" w:name="_Toc186924391"/>
      <w:r w:rsidRPr="00954407">
        <w:t>Continuación del Plan Parqueat-RD a nivel nacional, con la terminación de 2 (dos) Edificios de Parqueos Públicos en ejecución ubicados en el Centro de los Héroes, Distrito Nacional y 1 (uno) en la zona urbana de la ciudad de San Cristóbal;</w:t>
      </w:r>
      <w:bookmarkEnd w:id="243"/>
    </w:p>
    <w:p w14:paraId="424908BB" w14:textId="77777777" w:rsidR="00BC27E9" w:rsidRPr="00954407" w:rsidRDefault="00BC27E9" w:rsidP="00BC27E9">
      <w:pPr>
        <w:pStyle w:val="EstilodePrrafoNormal1RdeC"/>
      </w:pPr>
    </w:p>
    <w:p w14:paraId="06E0B3FF" w14:textId="77777777" w:rsidR="00BC27E9" w:rsidRPr="00954407" w:rsidRDefault="00BC27E9" w:rsidP="00EC1848">
      <w:pPr>
        <w:pStyle w:val="EstilodePrrafoNormal1RdeC"/>
        <w:numPr>
          <w:ilvl w:val="0"/>
          <w:numId w:val="237"/>
        </w:numPr>
      </w:pPr>
      <w:bookmarkStart w:id="244" w:name="_Toc186924392"/>
      <w:r w:rsidRPr="00954407">
        <w:t>Terminación Construcción y Reparación del Edificio que aloja el Instituto Dominicano de Cardiología (IDC), ubicado en el Sector Los Ríos, Municipio Santo Domingo Oeste;</w:t>
      </w:r>
      <w:bookmarkEnd w:id="244"/>
    </w:p>
    <w:p w14:paraId="7565EABE" w14:textId="77777777" w:rsidR="00BC27E9" w:rsidRPr="00954407" w:rsidRDefault="00BC27E9" w:rsidP="00BC27E9">
      <w:pPr>
        <w:pStyle w:val="EstilodePrrafoNormal1RdeC"/>
      </w:pPr>
    </w:p>
    <w:p w14:paraId="61EB6233" w14:textId="77777777" w:rsidR="00BC27E9" w:rsidRPr="00954407" w:rsidRDefault="00BC27E9" w:rsidP="00EC1848">
      <w:pPr>
        <w:pStyle w:val="EstilodePrrafoNormal1RdeC"/>
        <w:numPr>
          <w:ilvl w:val="0"/>
          <w:numId w:val="237"/>
        </w:numPr>
      </w:pPr>
      <w:bookmarkStart w:id="245" w:name="_Toc186924394"/>
      <w:r w:rsidRPr="00954407">
        <w:t>Construcción Matadero de Barahona, Provincia Barahona;</w:t>
      </w:r>
      <w:bookmarkEnd w:id="245"/>
      <w:r w:rsidRPr="00954407">
        <w:t xml:space="preserve"> </w:t>
      </w:r>
    </w:p>
    <w:p w14:paraId="1E231D04" w14:textId="77777777" w:rsidR="00BC27E9" w:rsidRPr="00954407" w:rsidRDefault="00BC27E9" w:rsidP="00BC27E9">
      <w:pPr>
        <w:pStyle w:val="EstilodePrrafoNormal1RdeC"/>
      </w:pPr>
    </w:p>
    <w:p w14:paraId="441CD7CD" w14:textId="77777777" w:rsidR="00BC27E9" w:rsidRPr="00954407" w:rsidRDefault="00BC27E9" w:rsidP="00EC1848">
      <w:pPr>
        <w:pStyle w:val="EstilodePrrafoNormal1RdeC"/>
        <w:numPr>
          <w:ilvl w:val="0"/>
          <w:numId w:val="237"/>
        </w:numPr>
      </w:pPr>
      <w:bookmarkStart w:id="246" w:name="_Toc186924395"/>
      <w:r w:rsidRPr="00954407">
        <w:t>Terminación Remodelación Oficinas del Tribunal Constitucional en Santo Domingo Norte</w:t>
      </w:r>
      <w:bookmarkEnd w:id="246"/>
      <w:r w:rsidRPr="00954407">
        <w:t xml:space="preserve">; </w:t>
      </w:r>
    </w:p>
    <w:p w14:paraId="218FB9E7" w14:textId="77777777" w:rsidR="00BC27E9" w:rsidRPr="00954407" w:rsidRDefault="00BC27E9" w:rsidP="00BC27E9">
      <w:pPr>
        <w:pStyle w:val="EstilodePrrafoNormal1RdeC"/>
      </w:pPr>
    </w:p>
    <w:p w14:paraId="21DB9202" w14:textId="77777777" w:rsidR="00BC27E9" w:rsidRPr="00954407" w:rsidRDefault="00BC27E9" w:rsidP="00EC1848">
      <w:pPr>
        <w:pStyle w:val="EstilodePrrafoNormal1RdeC"/>
        <w:numPr>
          <w:ilvl w:val="0"/>
          <w:numId w:val="237"/>
        </w:numPr>
      </w:pPr>
      <w:r w:rsidRPr="00954407">
        <w:t>Construcción Mercado de Higüey, Provincia La Altagracia;</w:t>
      </w:r>
    </w:p>
    <w:p w14:paraId="7F7D2E50" w14:textId="77777777" w:rsidR="00BC27E9" w:rsidRPr="00954407" w:rsidRDefault="00BC27E9" w:rsidP="00BC27E9">
      <w:pPr>
        <w:pStyle w:val="EstilodePrrafoNormal1RdeC"/>
      </w:pPr>
    </w:p>
    <w:p w14:paraId="0066C03B" w14:textId="77777777" w:rsidR="00BC27E9" w:rsidRPr="00954407" w:rsidRDefault="00BC27E9" w:rsidP="00EC1848">
      <w:pPr>
        <w:pStyle w:val="EstilodePrrafoNormal1RdeC"/>
        <w:numPr>
          <w:ilvl w:val="0"/>
          <w:numId w:val="237"/>
        </w:numPr>
      </w:pPr>
      <w:r w:rsidRPr="00954407">
        <w:t>Construcción Mercado de Barahona, Provincia Barahona;</w:t>
      </w:r>
    </w:p>
    <w:p w14:paraId="00E95301" w14:textId="77777777" w:rsidR="00BC27E9" w:rsidRPr="00954407" w:rsidRDefault="00BC27E9" w:rsidP="00BC27E9">
      <w:pPr>
        <w:pStyle w:val="EstilodePrrafoNormal1RdeC"/>
      </w:pPr>
      <w:r w:rsidRPr="00954407">
        <w:br w:type="page"/>
      </w:r>
    </w:p>
    <w:p w14:paraId="1222105B" w14:textId="77777777" w:rsidR="00BC27E9" w:rsidRPr="00954407" w:rsidRDefault="00BC27E9" w:rsidP="00BC27E9">
      <w:pPr>
        <w:pStyle w:val="EstilodePrrafoNormal1RdeC"/>
      </w:pPr>
    </w:p>
    <w:p w14:paraId="3FDA1D61" w14:textId="77777777" w:rsidR="00BC27E9" w:rsidRPr="00954407" w:rsidRDefault="00BC27E9" w:rsidP="00BC27E9">
      <w:pPr>
        <w:pStyle w:val="EstilodePrrafoNormal1RdeC"/>
      </w:pPr>
    </w:p>
    <w:p w14:paraId="2DA5F8BE" w14:textId="77777777" w:rsidR="00BC27E9" w:rsidRPr="00954407" w:rsidRDefault="00BC27E9" w:rsidP="00BC27E9">
      <w:pPr>
        <w:pStyle w:val="EstilodePrrafoNormal1RdeC"/>
      </w:pPr>
    </w:p>
    <w:p w14:paraId="53445715" w14:textId="77777777" w:rsidR="00BC27E9" w:rsidRPr="00954407" w:rsidRDefault="00BC27E9" w:rsidP="00BC27E9">
      <w:pPr>
        <w:pStyle w:val="EstilodePrrafoNormal1RdeC"/>
      </w:pPr>
    </w:p>
    <w:p w14:paraId="7FCD9418" w14:textId="77777777" w:rsidR="00BC27E9" w:rsidRPr="00954407" w:rsidRDefault="00BC27E9" w:rsidP="00BC27E9">
      <w:pPr>
        <w:pStyle w:val="EstilodePrrafoNormal1RdeC"/>
      </w:pPr>
    </w:p>
    <w:p w14:paraId="0CB76A43" w14:textId="77777777" w:rsidR="00BC27E9" w:rsidRPr="00954407" w:rsidRDefault="00BC27E9" w:rsidP="00BC27E9">
      <w:pPr>
        <w:pStyle w:val="EstilodePrrafoNormal1RdeC"/>
      </w:pPr>
    </w:p>
    <w:p w14:paraId="73744475" w14:textId="77777777" w:rsidR="00BC27E9" w:rsidRPr="00954407" w:rsidRDefault="00BC27E9" w:rsidP="00BC27E9">
      <w:pPr>
        <w:pStyle w:val="EstilodePrrafoNormal1RdeC"/>
      </w:pPr>
    </w:p>
    <w:p w14:paraId="4E733E94" w14:textId="77777777" w:rsidR="00BC27E9" w:rsidRPr="00954407" w:rsidRDefault="00BC27E9" w:rsidP="00BC27E9">
      <w:pPr>
        <w:pStyle w:val="EstilodePrrafoNormal1RdeC"/>
      </w:pPr>
    </w:p>
    <w:p w14:paraId="36349A32" w14:textId="77777777" w:rsidR="00BC27E9" w:rsidRPr="00954407" w:rsidRDefault="00BC27E9" w:rsidP="00BC27E9">
      <w:pPr>
        <w:pStyle w:val="EstilodePrrafoNormal1RdeC"/>
      </w:pPr>
    </w:p>
    <w:p w14:paraId="1B0C2F42" w14:textId="77777777" w:rsidR="00BC27E9" w:rsidRPr="00954407" w:rsidRDefault="00BC27E9" w:rsidP="00BC27E9">
      <w:pPr>
        <w:pStyle w:val="EstilodePrrafoNormal1RdeC"/>
      </w:pPr>
    </w:p>
    <w:p w14:paraId="3D7DA834" w14:textId="77777777" w:rsidR="00BC27E9" w:rsidRPr="00954407" w:rsidRDefault="00BC27E9" w:rsidP="00BC27E9">
      <w:pPr>
        <w:pStyle w:val="EstilodePrrafoNormal1RdeC"/>
      </w:pPr>
    </w:p>
    <w:p w14:paraId="18AAB9B2" w14:textId="55349CE3" w:rsidR="00BC27E9" w:rsidRPr="00F51751" w:rsidRDefault="00BC27E9" w:rsidP="00F51751">
      <w:pPr>
        <w:pStyle w:val="Heading1"/>
        <w:numPr>
          <w:ilvl w:val="0"/>
          <w:numId w:val="108"/>
        </w:numPr>
        <w:ind w:left="360"/>
        <w:jc w:val="center"/>
        <w:rPr>
          <w:rFonts w:ascii="Times New Roman" w:hAnsi="Times New Roman" w:cs="Times New Roman"/>
          <w:color w:val="767171"/>
          <w:sz w:val="28"/>
          <w:szCs w:val="28"/>
        </w:rPr>
      </w:pPr>
      <w:bookmarkStart w:id="247" w:name="_Toc78583679"/>
      <w:bookmarkStart w:id="248" w:name="_Toc186924396"/>
      <w:bookmarkStart w:id="249" w:name="_Toc217387683"/>
      <w:bookmarkStart w:id="250" w:name="_Toc217402171"/>
      <w:r w:rsidRPr="00F51751">
        <w:rPr>
          <w:rFonts w:ascii="Times New Roman" w:hAnsi="Times New Roman" w:cs="Times New Roman"/>
          <w:color w:val="767171"/>
          <w:sz w:val="28"/>
          <w:szCs w:val="28"/>
        </w:rPr>
        <w:t>ANEXOS</w:t>
      </w:r>
      <w:bookmarkEnd w:id="247"/>
      <w:bookmarkEnd w:id="248"/>
      <w:bookmarkEnd w:id="249"/>
      <w:bookmarkEnd w:id="250"/>
    </w:p>
    <w:p w14:paraId="68A29D3B" w14:textId="77777777" w:rsidR="00BC27E9" w:rsidRPr="00954407" w:rsidRDefault="00BC27E9" w:rsidP="00BC27E9">
      <w:pPr>
        <w:pStyle w:val="EstilodePrrafoNormal1RdeC"/>
      </w:pPr>
    </w:p>
    <w:p w14:paraId="4176C9C8" w14:textId="77777777" w:rsidR="00BC27E9" w:rsidRPr="00954407" w:rsidRDefault="00BC27E9" w:rsidP="00BC27E9">
      <w:pPr>
        <w:pStyle w:val="EstilodePrrafoNormal1RdeC"/>
      </w:pPr>
    </w:p>
    <w:p w14:paraId="0527E656" w14:textId="77777777" w:rsidR="00BC27E9" w:rsidRPr="00954407" w:rsidRDefault="00BC27E9" w:rsidP="00BC27E9">
      <w:pPr>
        <w:pStyle w:val="EstilodePrrafoNormal1RdeC"/>
      </w:pPr>
    </w:p>
    <w:p w14:paraId="66BC1B33" w14:textId="77777777" w:rsidR="00BC27E9" w:rsidRPr="00954407" w:rsidRDefault="00BC27E9" w:rsidP="00BC27E9">
      <w:pPr>
        <w:pStyle w:val="EstilodePrrafoNormal1RdeC"/>
      </w:pPr>
    </w:p>
    <w:p w14:paraId="596C68F0" w14:textId="77777777" w:rsidR="00BC27E9" w:rsidRPr="00954407" w:rsidRDefault="00BC27E9" w:rsidP="00BC27E9">
      <w:pPr>
        <w:pStyle w:val="EstilodePrrafoNormal1RdeC"/>
      </w:pPr>
    </w:p>
    <w:p w14:paraId="2F02B13B" w14:textId="77777777" w:rsidR="00BC27E9" w:rsidRPr="00954407" w:rsidRDefault="00BC27E9" w:rsidP="00BC27E9">
      <w:pPr>
        <w:pStyle w:val="EstilodePrrafoNormal1RdeC"/>
      </w:pPr>
    </w:p>
    <w:p w14:paraId="1555E972" w14:textId="77777777" w:rsidR="00BC27E9" w:rsidRPr="00954407" w:rsidRDefault="00BC27E9" w:rsidP="00BC27E9">
      <w:pPr>
        <w:pStyle w:val="EstilodePrrafoNormal1RdeC"/>
      </w:pPr>
    </w:p>
    <w:p w14:paraId="1BE9790F" w14:textId="77777777" w:rsidR="00BC27E9" w:rsidRPr="00954407" w:rsidRDefault="00BC27E9" w:rsidP="00BC27E9">
      <w:pPr>
        <w:pStyle w:val="EstilodePrrafoNormal1RdeC"/>
      </w:pPr>
    </w:p>
    <w:p w14:paraId="66D5E23A" w14:textId="77777777" w:rsidR="00BC27E9" w:rsidRPr="00954407" w:rsidRDefault="00BC27E9" w:rsidP="00BC27E9">
      <w:pPr>
        <w:pStyle w:val="EstilodePrrafoNormal1RdeC"/>
      </w:pPr>
    </w:p>
    <w:p w14:paraId="3654CA99" w14:textId="77777777" w:rsidR="00BC27E9" w:rsidRPr="00954407" w:rsidRDefault="00BC27E9" w:rsidP="00BC27E9">
      <w:pPr>
        <w:pStyle w:val="EstilodePrrafoNormal1RdeC"/>
      </w:pPr>
    </w:p>
    <w:p w14:paraId="6DED2F43" w14:textId="77777777" w:rsidR="00BC27E9" w:rsidRPr="00954407" w:rsidRDefault="00BC27E9" w:rsidP="00BC27E9">
      <w:pPr>
        <w:pStyle w:val="EstilodePrrafoNormal1RdeC"/>
      </w:pPr>
    </w:p>
    <w:p w14:paraId="3F3B1BD2" w14:textId="77777777" w:rsidR="00BC27E9" w:rsidRPr="00954407" w:rsidRDefault="00BC27E9" w:rsidP="00BC27E9">
      <w:pPr>
        <w:pStyle w:val="EstilodePrrafoNormal1RdeC"/>
      </w:pPr>
    </w:p>
    <w:p w14:paraId="59A71224" w14:textId="77777777" w:rsidR="00BC27E9" w:rsidRPr="00954407" w:rsidRDefault="00BC27E9" w:rsidP="00BC27E9">
      <w:pPr>
        <w:pStyle w:val="EstilodePrrafoNormal1RdeC"/>
      </w:pPr>
    </w:p>
    <w:p w14:paraId="796FDA86" w14:textId="77777777" w:rsidR="00BC27E9" w:rsidRPr="00954407" w:rsidRDefault="00BC27E9" w:rsidP="00BC27E9">
      <w:pPr>
        <w:pStyle w:val="EstilodePrrafoNormal1RdeC"/>
      </w:pPr>
    </w:p>
    <w:p w14:paraId="531F32A7" w14:textId="77777777" w:rsidR="00BC27E9" w:rsidRPr="00954407" w:rsidRDefault="00BC27E9" w:rsidP="00BC27E9">
      <w:pPr>
        <w:pStyle w:val="EstilodePrrafoNormal1RdeC"/>
      </w:pPr>
    </w:p>
    <w:p w14:paraId="6EE700C4" w14:textId="77777777" w:rsidR="00BC27E9" w:rsidRPr="00954407" w:rsidRDefault="00BC27E9" w:rsidP="00BC27E9">
      <w:pPr>
        <w:pStyle w:val="EstilodePrrafoNormal1RdeC"/>
      </w:pPr>
    </w:p>
    <w:p w14:paraId="2F153FB6" w14:textId="77777777" w:rsidR="00BC27E9" w:rsidRDefault="00BC27E9" w:rsidP="00BC27E9">
      <w:pPr>
        <w:pStyle w:val="EstilodePrrafoNormal1RdeC"/>
      </w:pPr>
    </w:p>
    <w:p w14:paraId="767611C8" w14:textId="77777777" w:rsidR="00713E3F" w:rsidRPr="00713E3F" w:rsidRDefault="00713E3F" w:rsidP="00713E3F">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251" w:name="_Toc217394584"/>
      <w:bookmarkStart w:id="252" w:name="_Toc217394838"/>
      <w:bookmarkStart w:id="253" w:name="_Toc217394943"/>
      <w:bookmarkStart w:id="254" w:name="_Toc217402103"/>
      <w:bookmarkStart w:id="255" w:name="_Toc217402172"/>
      <w:bookmarkEnd w:id="251"/>
      <w:bookmarkEnd w:id="252"/>
      <w:bookmarkEnd w:id="253"/>
      <w:bookmarkEnd w:id="254"/>
      <w:bookmarkEnd w:id="255"/>
    </w:p>
    <w:p w14:paraId="33A6FF9A" w14:textId="77777777" w:rsidR="00713E3F" w:rsidRPr="00713E3F" w:rsidRDefault="00713E3F" w:rsidP="00713E3F">
      <w:pPr>
        <w:pStyle w:val="ListParagraph"/>
        <w:keepNext/>
        <w:keepLines/>
        <w:numPr>
          <w:ilvl w:val="0"/>
          <w:numId w:val="116"/>
        </w:numPr>
        <w:spacing w:before="360" w:after="80"/>
        <w:contextualSpacing w:val="0"/>
        <w:outlineLvl w:val="0"/>
        <w:rPr>
          <w:rFonts w:asciiTheme="majorHAnsi" w:eastAsiaTheme="majorEastAsia" w:hAnsiTheme="majorHAnsi" w:cstheme="majorBidi"/>
          <w:vanish/>
          <w:color w:val="0F4761" w:themeColor="accent1" w:themeShade="BF"/>
          <w:sz w:val="40"/>
          <w:szCs w:val="40"/>
        </w:rPr>
      </w:pPr>
      <w:bookmarkStart w:id="256" w:name="_Toc217394585"/>
      <w:bookmarkStart w:id="257" w:name="_Toc217394839"/>
      <w:bookmarkStart w:id="258" w:name="_Toc217394944"/>
      <w:bookmarkStart w:id="259" w:name="_Toc217402104"/>
      <w:bookmarkStart w:id="260" w:name="_Toc217402173"/>
      <w:bookmarkEnd w:id="256"/>
      <w:bookmarkEnd w:id="257"/>
      <w:bookmarkEnd w:id="258"/>
      <w:bookmarkEnd w:id="259"/>
      <w:bookmarkEnd w:id="260"/>
    </w:p>
    <w:p w14:paraId="42E37F7A" w14:textId="29031E95" w:rsidR="00713E3F" w:rsidRPr="00713E3F" w:rsidRDefault="00713E3F" w:rsidP="00713E3F">
      <w:pPr>
        <w:pStyle w:val="Heading2"/>
        <w:rPr>
          <w:rFonts w:ascii="Times New Roman" w:hAnsi="Times New Roman" w:cs="Times New Roman"/>
          <w:b/>
          <w:bCs/>
          <w:color w:val="767171"/>
          <w:sz w:val="24"/>
          <w:szCs w:val="24"/>
        </w:rPr>
      </w:pPr>
      <w:bookmarkStart w:id="261" w:name="_Toc217402174"/>
      <w:r w:rsidRPr="00713E3F">
        <w:rPr>
          <w:rFonts w:ascii="Times New Roman" w:hAnsi="Times New Roman" w:cs="Times New Roman"/>
          <w:b/>
          <w:bCs/>
          <w:color w:val="767171"/>
          <w:sz w:val="24"/>
          <w:szCs w:val="24"/>
        </w:rPr>
        <w:t>Plan Anual de Compras</w:t>
      </w:r>
      <w:r w:rsidR="00755B5A">
        <w:rPr>
          <w:rFonts w:ascii="Times New Roman" w:hAnsi="Times New Roman" w:cs="Times New Roman"/>
          <w:b/>
          <w:bCs/>
          <w:color w:val="767171"/>
          <w:sz w:val="24"/>
          <w:szCs w:val="24"/>
        </w:rPr>
        <w:t xml:space="preserve"> Publicado</w:t>
      </w:r>
      <w:r w:rsidRPr="00713E3F">
        <w:rPr>
          <w:rFonts w:ascii="Times New Roman" w:hAnsi="Times New Roman" w:cs="Times New Roman"/>
          <w:b/>
          <w:bCs/>
          <w:color w:val="767171"/>
          <w:sz w:val="24"/>
          <w:szCs w:val="24"/>
        </w:rPr>
        <w:t xml:space="preserve"> MOPC Año 2025</w:t>
      </w:r>
      <w:bookmarkEnd w:id="261"/>
    </w:p>
    <w:tbl>
      <w:tblPr>
        <w:tblpPr w:leftFromText="180" w:rightFromText="180" w:vertAnchor="text" w:horzAnchor="margin" w:tblpY="401"/>
        <w:tblW w:w="8615" w:type="dxa"/>
        <w:tblCellMar>
          <w:left w:w="70" w:type="dxa"/>
          <w:right w:w="70" w:type="dxa"/>
        </w:tblCellMar>
        <w:tblLook w:val="04A0" w:firstRow="1" w:lastRow="0" w:firstColumn="1" w:lastColumn="0" w:noHBand="0" w:noVBand="1"/>
      </w:tblPr>
      <w:tblGrid>
        <w:gridCol w:w="228"/>
        <w:gridCol w:w="4902"/>
        <w:gridCol w:w="3240"/>
        <w:gridCol w:w="9"/>
        <w:gridCol w:w="227"/>
        <w:gridCol w:w="9"/>
      </w:tblGrid>
      <w:tr w:rsidR="00BC27E9" w:rsidRPr="00954407" w14:paraId="2DDF12E5" w14:textId="77777777" w:rsidTr="00220FA8">
        <w:trPr>
          <w:gridAfter w:val="1"/>
          <w:wAfter w:w="9" w:type="dxa"/>
          <w:trHeight w:val="202"/>
        </w:trPr>
        <w:tc>
          <w:tcPr>
            <w:tcW w:w="228" w:type="dxa"/>
            <w:tcBorders>
              <w:top w:val="nil"/>
              <w:left w:val="nil"/>
              <w:bottom w:val="nil"/>
              <w:right w:val="nil"/>
            </w:tcBorders>
            <w:noWrap/>
            <w:vAlign w:val="bottom"/>
            <w:hideMark/>
          </w:tcPr>
          <w:p w14:paraId="342C5811"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nil"/>
              <w:bottom w:val="nil"/>
              <w:right w:val="nil"/>
            </w:tcBorders>
            <w:vAlign w:val="bottom"/>
            <w:hideMark/>
          </w:tcPr>
          <w:p w14:paraId="243B5E77" w14:textId="77777777" w:rsidR="00BC27E9" w:rsidRPr="00954407" w:rsidRDefault="00BC27E9" w:rsidP="00220FA8">
            <w:pPr>
              <w:pStyle w:val="EstilodePrrafoNormal1RdeC"/>
              <w:rPr>
                <w:color w:val="auto"/>
                <w:spacing w:val="0"/>
                <w:sz w:val="18"/>
                <w:szCs w:val="18"/>
                <w:lang w:eastAsia="es-DO"/>
              </w:rPr>
            </w:pPr>
          </w:p>
        </w:tc>
        <w:tc>
          <w:tcPr>
            <w:tcW w:w="3240" w:type="dxa"/>
            <w:tcBorders>
              <w:top w:val="nil"/>
              <w:left w:val="nil"/>
              <w:bottom w:val="nil"/>
              <w:right w:val="nil"/>
            </w:tcBorders>
            <w:noWrap/>
            <w:vAlign w:val="bottom"/>
            <w:hideMark/>
          </w:tcPr>
          <w:p w14:paraId="14A3D05A" w14:textId="77777777" w:rsidR="00BC27E9" w:rsidRPr="00954407" w:rsidRDefault="00BC27E9" w:rsidP="00220FA8">
            <w:pPr>
              <w:pStyle w:val="EstilodePrrafoNormal1RdeC"/>
              <w:rPr>
                <w:color w:val="auto"/>
                <w:spacing w:val="0"/>
                <w:sz w:val="18"/>
                <w:szCs w:val="18"/>
                <w:lang w:eastAsia="es-DO"/>
              </w:rPr>
            </w:pPr>
          </w:p>
        </w:tc>
        <w:tc>
          <w:tcPr>
            <w:tcW w:w="236" w:type="dxa"/>
            <w:gridSpan w:val="2"/>
            <w:tcBorders>
              <w:top w:val="nil"/>
              <w:left w:val="nil"/>
              <w:bottom w:val="nil"/>
              <w:right w:val="nil"/>
            </w:tcBorders>
            <w:noWrap/>
            <w:vAlign w:val="bottom"/>
            <w:hideMark/>
          </w:tcPr>
          <w:p w14:paraId="6B7CCD5B" w14:textId="77777777" w:rsidR="00BC27E9" w:rsidRPr="00954407" w:rsidRDefault="00BC27E9" w:rsidP="00220FA8">
            <w:pPr>
              <w:pStyle w:val="EstilodePrrafoNormal1RdeC"/>
              <w:rPr>
                <w:color w:val="auto"/>
                <w:spacing w:val="0"/>
                <w:sz w:val="18"/>
                <w:szCs w:val="18"/>
                <w:lang w:eastAsia="es-DO"/>
              </w:rPr>
            </w:pPr>
          </w:p>
        </w:tc>
      </w:tr>
      <w:tr w:rsidR="00BC27E9" w:rsidRPr="00954407" w14:paraId="19875678" w14:textId="77777777" w:rsidTr="00220FA8">
        <w:trPr>
          <w:gridAfter w:val="1"/>
          <w:wAfter w:w="9" w:type="dxa"/>
          <w:trHeight w:val="202"/>
        </w:trPr>
        <w:tc>
          <w:tcPr>
            <w:tcW w:w="228" w:type="dxa"/>
            <w:tcBorders>
              <w:top w:val="nil"/>
              <w:left w:val="nil"/>
              <w:bottom w:val="nil"/>
              <w:right w:val="nil"/>
            </w:tcBorders>
            <w:noWrap/>
            <w:vAlign w:val="bottom"/>
            <w:hideMark/>
          </w:tcPr>
          <w:p w14:paraId="61E4B853"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nil"/>
              <w:bottom w:val="nil"/>
              <w:right w:val="nil"/>
            </w:tcBorders>
            <w:vAlign w:val="bottom"/>
            <w:hideMark/>
          </w:tcPr>
          <w:p w14:paraId="1E803FE4" w14:textId="77777777" w:rsidR="00BC27E9" w:rsidRPr="00954407" w:rsidRDefault="00BC27E9" w:rsidP="00220FA8">
            <w:pPr>
              <w:pStyle w:val="EstilodePrrafoNormal1RdeC"/>
              <w:rPr>
                <w:color w:val="auto"/>
                <w:spacing w:val="0"/>
                <w:sz w:val="18"/>
                <w:szCs w:val="18"/>
                <w:lang w:eastAsia="es-DO"/>
              </w:rPr>
            </w:pPr>
          </w:p>
        </w:tc>
        <w:tc>
          <w:tcPr>
            <w:tcW w:w="3240" w:type="dxa"/>
            <w:tcBorders>
              <w:top w:val="nil"/>
              <w:left w:val="nil"/>
              <w:bottom w:val="nil"/>
              <w:right w:val="nil"/>
            </w:tcBorders>
            <w:noWrap/>
            <w:vAlign w:val="bottom"/>
            <w:hideMark/>
          </w:tcPr>
          <w:p w14:paraId="391FCB58" w14:textId="77777777" w:rsidR="00BC27E9" w:rsidRPr="00954407" w:rsidRDefault="00BC27E9" w:rsidP="00220FA8">
            <w:pPr>
              <w:pStyle w:val="EstilodePrrafoNormal1RdeC"/>
              <w:rPr>
                <w:color w:val="auto"/>
                <w:spacing w:val="0"/>
                <w:sz w:val="18"/>
                <w:szCs w:val="18"/>
                <w:lang w:eastAsia="es-DO"/>
              </w:rPr>
            </w:pPr>
          </w:p>
        </w:tc>
        <w:tc>
          <w:tcPr>
            <w:tcW w:w="236" w:type="dxa"/>
            <w:gridSpan w:val="2"/>
            <w:tcBorders>
              <w:top w:val="nil"/>
              <w:left w:val="nil"/>
              <w:bottom w:val="nil"/>
              <w:right w:val="nil"/>
            </w:tcBorders>
            <w:noWrap/>
            <w:vAlign w:val="bottom"/>
            <w:hideMark/>
          </w:tcPr>
          <w:p w14:paraId="13C8CDAE" w14:textId="77777777" w:rsidR="00BC27E9" w:rsidRPr="00954407" w:rsidRDefault="00BC27E9" w:rsidP="00220FA8">
            <w:pPr>
              <w:pStyle w:val="EstilodePrrafoNormal1RdeC"/>
              <w:rPr>
                <w:color w:val="auto"/>
                <w:spacing w:val="0"/>
                <w:sz w:val="18"/>
                <w:szCs w:val="18"/>
                <w:lang w:eastAsia="es-DO"/>
              </w:rPr>
            </w:pPr>
          </w:p>
        </w:tc>
      </w:tr>
      <w:tr w:rsidR="00BC27E9" w:rsidRPr="00954407" w14:paraId="33AD0864" w14:textId="77777777" w:rsidTr="00220FA8">
        <w:trPr>
          <w:gridAfter w:val="1"/>
          <w:wAfter w:w="9" w:type="dxa"/>
          <w:trHeight w:val="202"/>
        </w:trPr>
        <w:tc>
          <w:tcPr>
            <w:tcW w:w="228" w:type="dxa"/>
            <w:tcBorders>
              <w:top w:val="nil"/>
              <w:left w:val="nil"/>
              <w:bottom w:val="nil"/>
              <w:right w:val="nil"/>
            </w:tcBorders>
            <w:noWrap/>
            <w:vAlign w:val="bottom"/>
            <w:hideMark/>
          </w:tcPr>
          <w:p w14:paraId="780CED4B"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nil"/>
              <w:bottom w:val="nil"/>
              <w:right w:val="nil"/>
            </w:tcBorders>
            <w:vAlign w:val="bottom"/>
            <w:hideMark/>
          </w:tcPr>
          <w:p w14:paraId="22F83CD3" w14:textId="77777777" w:rsidR="00BC27E9" w:rsidRPr="00954407" w:rsidRDefault="00BC27E9" w:rsidP="00220FA8">
            <w:pPr>
              <w:pStyle w:val="EstilodePrrafoNormal1RdeC"/>
              <w:rPr>
                <w:color w:val="auto"/>
                <w:spacing w:val="0"/>
                <w:sz w:val="18"/>
                <w:szCs w:val="18"/>
                <w:lang w:eastAsia="es-DO"/>
              </w:rPr>
            </w:pPr>
            <w:r w:rsidRPr="00954407">
              <w:rPr>
                <w:noProof/>
                <w:color w:val="000000"/>
                <w:spacing w:val="0"/>
                <w:sz w:val="18"/>
                <w:szCs w:val="18"/>
                <w:lang w:eastAsia="es-DO"/>
              </w:rPr>
              <w:drawing>
                <wp:anchor distT="0" distB="0" distL="114300" distR="114300" simplePos="0" relativeHeight="251687936" behindDoc="0" locked="0" layoutInCell="1" allowOverlap="1" wp14:anchorId="3193CB0C" wp14:editId="0DE15AA3">
                  <wp:simplePos x="0" y="0"/>
                  <wp:positionH relativeFrom="column">
                    <wp:posOffset>-635</wp:posOffset>
                  </wp:positionH>
                  <wp:positionV relativeFrom="paragraph">
                    <wp:posOffset>-332105</wp:posOffset>
                  </wp:positionV>
                  <wp:extent cx="2470785" cy="427355"/>
                  <wp:effectExtent l="0" t="0" r="5715" b="0"/>
                  <wp:wrapNone/>
                  <wp:docPr id="208" name="Imagen 208">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00000000-0008-0000-0000-000006000000}"/>
                              </a:ext>
                            </a:extLst>
                          </pic:cNvPr>
                          <pic:cNvPicPr>
                            <a:picLocks noChangeAspect="1"/>
                          </pic:cNvPicPr>
                        </pic:nvPicPr>
                        <pic:blipFill>
                          <a:blip r:embed="rId63"/>
                          <a:stretch>
                            <a:fillRect/>
                          </a:stretch>
                        </pic:blipFill>
                        <pic:spPr>
                          <a:xfrm>
                            <a:off x="0" y="0"/>
                            <a:ext cx="2470785" cy="4273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40" w:type="dxa"/>
            <w:tcBorders>
              <w:top w:val="nil"/>
              <w:left w:val="nil"/>
              <w:bottom w:val="nil"/>
              <w:right w:val="nil"/>
            </w:tcBorders>
            <w:noWrap/>
            <w:vAlign w:val="bottom"/>
            <w:hideMark/>
          </w:tcPr>
          <w:p w14:paraId="284237C1" w14:textId="77777777" w:rsidR="00BC27E9" w:rsidRPr="00954407" w:rsidRDefault="00BC27E9" w:rsidP="00220FA8">
            <w:pPr>
              <w:pStyle w:val="EstilodePrrafoNormal1RdeC"/>
              <w:rPr>
                <w:color w:val="auto"/>
                <w:spacing w:val="0"/>
                <w:sz w:val="18"/>
                <w:szCs w:val="18"/>
                <w:lang w:eastAsia="es-DO"/>
              </w:rPr>
            </w:pPr>
          </w:p>
        </w:tc>
        <w:tc>
          <w:tcPr>
            <w:tcW w:w="236" w:type="dxa"/>
            <w:gridSpan w:val="2"/>
            <w:tcBorders>
              <w:top w:val="nil"/>
              <w:left w:val="nil"/>
              <w:bottom w:val="nil"/>
              <w:right w:val="nil"/>
            </w:tcBorders>
            <w:noWrap/>
            <w:vAlign w:val="bottom"/>
            <w:hideMark/>
          </w:tcPr>
          <w:p w14:paraId="0F61BD6F" w14:textId="77777777" w:rsidR="00BC27E9" w:rsidRPr="00954407" w:rsidRDefault="00BC27E9" w:rsidP="00220FA8">
            <w:pPr>
              <w:pStyle w:val="EstilodePrrafoNormal1RdeC"/>
              <w:rPr>
                <w:color w:val="auto"/>
                <w:spacing w:val="0"/>
                <w:sz w:val="18"/>
                <w:szCs w:val="18"/>
                <w:lang w:eastAsia="es-DO"/>
              </w:rPr>
            </w:pPr>
          </w:p>
        </w:tc>
      </w:tr>
      <w:tr w:rsidR="00BC27E9" w:rsidRPr="00954407" w14:paraId="2F19D8D1" w14:textId="77777777" w:rsidTr="00220FA8">
        <w:trPr>
          <w:gridAfter w:val="1"/>
          <w:wAfter w:w="9" w:type="dxa"/>
          <w:trHeight w:val="202"/>
        </w:trPr>
        <w:tc>
          <w:tcPr>
            <w:tcW w:w="228" w:type="dxa"/>
            <w:tcBorders>
              <w:top w:val="nil"/>
              <w:left w:val="nil"/>
              <w:bottom w:val="nil"/>
              <w:right w:val="nil"/>
            </w:tcBorders>
            <w:noWrap/>
            <w:vAlign w:val="bottom"/>
          </w:tcPr>
          <w:p w14:paraId="1027BF98"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nil"/>
              <w:bottom w:val="nil"/>
              <w:right w:val="nil"/>
            </w:tcBorders>
            <w:vAlign w:val="bottom"/>
          </w:tcPr>
          <w:p w14:paraId="5FEDE6D6" w14:textId="77777777" w:rsidR="00BC27E9" w:rsidRPr="00954407" w:rsidRDefault="00BC27E9" w:rsidP="00220FA8">
            <w:pPr>
              <w:pStyle w:val="EstilodePrrafoNormal1RdeC"/>
              <w:rPr>
                <w:noProof/>
                <w:color w:val="000000"/>
                <w:spacing w:val="0"/>
                <w:sz w:val="18"/>
                <w:szCs w:val="18"/>
                <w:lang w:eastAsia="es-DO"/>
              </w:rPr>
            </w:pPr>
          </w:p>
        </w:tc>
        <w:tc>
          <w:tcPr>
            <w:tcW w:w="3240" w:type="dxa"/>
            <w:tcBorders>
              <w:top w:val="nil"/>
              <w:left w:val="nil"/>
              <w:bottom w:val="nil"/>
              <w:right w:val="nil"/>
            </w:tcBorders>
            <w:noWrap/>
            <w:vAlign w:val="bottom"/>
          </w:tcPr>
          <w:p w14:paraId="44BD778F" w14:textId="77777777" w:rsidR="00BC27E9" w:rsidRPr="00954407" w:rsidRDefault="00BC27E9" w:rsidP="00220FA8">
            <w:pPr>
              <w:pStyle w:val="EstilodePrrafoNormal1RdeC"/>
              <w:rPr>
                <w:color w:val="auto"/>
                <w:spacing w:val="0"/>
                <w:sz w:val="18"/>
                <w:szCs w:val="18"/>
                <w:lang w:eastAsia="es-DO"/>
              </w:rPr>
            </w:pPr>
          </w:p>
        </w:tc>
        <w:tc>
          <w:tcPr>
            <w:tcW w:w="236" w:type="dxa"/>
            <w:gridSpan w:val="2"/>
            <w:tcBorders>
              <w:top w:val="nil"/>
              <w:left w:val="nil"/>
              <w:bottom w:val="nil"/>
              <w:right w:val="nil"/>
            </w:tcBorders>
            <w:noWrap/>
            <w:vAlign w:val="bottom"/>
          </w:tcPr>
          <w:p w14:paraId="33A07E4B" w14:textId="77777777" w:rsidR="00BC27E9" w:rsidRPr="00954407" w:rsidRDefault="00BC27E9" w:rsidP="00220FA8">
            <w:pPr>
              <w:pStyle w:val="EstilodePrrafoNormal1RdeC"/>
              <w:rPr>
                <w:color w:val="auto"/>
                <w:spacing w:val="0"/>
                <w:sz w:val="18"/>
                <w:szCs w:val="18"/>
                <w:lang w:eastAsia="es-DO"/>
              </w:rPr>
            </w:pPr>
          </w:p>
        </w:tc>
      </w:tr>
      <w:tr w:rsidR="00BC27E9" w:rsidRPr="00954407" w14:paraId="4055B3A0" w14:textId="77777777" w:rsidTr="00220FA8">
        <w:trPr>
          <w:trHeight w:val="202"/>
        </w:trPr>
        <w:tc>
          <w:tcPr>
            <w:tcW w:w="228" w:type="dxa"/>
            <w:tcBorders>
              <w:top w:val="nil"/>
              <w:left w:val="nil"/>
              <w:bottom w:val="nil"/>
              <w:right w:val="nil"/>
            </w:tcBorders>
            <w:noWrap/>
            <w:vAlign w:val="bottom"/>
            <w:hideMark/>
          </w:tcPr>
          <w:p w14:paraId="0D9F8E0A" w14:textId="77777777" w:rsidR="00BC27E9" w:rsidRPr="00954407" w:rsidRDefault="00BC27E9" w:rsidP="00220FA8">
            <w:pPr>
              <w:pStyle w:val="EstilodePrrafoNormal1RdeC"/>
              <w:rPr>
                <w:color w:val="auto"/>
                <w:spacing w:val="0"/>
                <w:sz w:val="18"/>
                <w:szCs w:val="18"/>
                <w:lang w:eastAsia="es-DO"/>
              </w:rPr>
            </w:pPr>
          </w:p>
        </w:tc>
        <w:tc>
          <w:tcPr>
            <w:tcW w:w="8151" w:type="dxa"/>
            <w:gridSpan w:val="3"/>
            <w:tcBorders>
              <w:top w:val="nil"/>
              <w:left w:val="nil"/>
              <w:bottom w:val="single" w:sz="12" w:space="0" w:color="FFFFFF"/>
              <w:right w:val="nil"/>
            </w:tcBorders>
            <w:shd w:val="clear" w:color="000000" w:fill="9BC2E6"/>
            <w:vAlign w:val="center"/>
            <w:hideMark/>
          </w:tcPr>
          <w:p w14:paraId="3D18CD61"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DATOS DE CABECERA PACC</w:t>
            </w:r>
          </w:p>
        </w:tc>
        <w:tc>
          <w:tcPr>
            <w:tcW w:w="236" w:type="dxa"/>
            <w:gridSpan w:val="2"/>
            <w:tcBorders>
              <w:top w:val="nil"/>
              <w:left w:val="nil"/>
              <w:bottom w:val="nil"/>
              <w:right w:val="nil"/>
            </w:tcBorders>
            <w:noWrap/>
            <w:vAlign w:val="bottom"/>
            <w:hideMark/>
          </w:tcPr>
          <w:p w14:paraId="7B8BE178" w14:textId="77777777" w:rsidR="00BC27E9" w:rsidRPr="00954407" w:rsidRDefault="00BC27E9" w:rsidP="00220FA8">
            <w:pPr>
              <w:pStyle w:val="EstilodePrrafoNormal1RdeC"/>
              <w:rPr>
                <w:color w:val="auto"/>
                <w:spacing w:val="0"/>
                <w:sz w:val="18"/>
                <w:szCs w:val="18"/>
                <w:lang w:eastAsia="es-DO"/>
              </w:rPr>
            </w:pPr>
          </w:p>
        </w:tc>
      </w:tr>
      <w:tr w:rsidR="00BC27E9" w:rsidRPr="00954407" w14:paraId="50C7800F" w14:textId="77777777" w:rsidTr="00220FA8">
        <w:trPr>
          <w:gridAfter w:val="1"/>
          <w:wAfter w:w="9" w:type="dxa"/>
          <w:trHeight w:val="243"/>
        </w:trPr>
        <w:tc>
          <w:tcPr>
            <w:tcW w:w="228" w:type="dxa"/>
            <w:tcBorders>
              <w:top w:val="nil"/>
              <w:left w:val="nil"/>
              <w:bottom w:val="nil"/>
              <w:right w:val="nil"/>
            </w:tcBorders>
            <w:noWrap/>
            <w:vAlign w:val="bottom"/>
            <w:hideMark/>
          </w:tcPr>
          <w:p w14:paraId="32D8E4DB"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45D07655"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MONTO ESTIMADO TOTAL</w:t>
            </w:r>
          </w:p>
        </w:tc>
        <w:tc>
          <w:tcPr>
            <w:tcW w:w="3240" w:type="dxa"/>
            <w:tcBorders>
              <w:top w:val="nil"/>
              <w:left w:val="nil"/>
              <w:bottom w:val="single" w:sz="12" w:space="0" w:color="FFFFFF"/>
              <w:right w:val="single" w:sz="12" w:space="0" w:color="FFFFFF"/>
            </w:tcBorders>
            <w:shd w:val="clear" w:color="000000" w:fill="D9D9D9"/>
            <w:noWrap/>
            <w:vAlign w:val="bottom"/>
            <w:hideMark/>
          </w:tcPr>
          <w:p w14:paraId="69586D5F"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164,187,037.77 </w:t>
            </w:r>
          </w:p>
        </w:tc>
        <w:tc>
          <w:tcPr>
            <w:tcW w:w="236" w:type="dxa"/>
            <w:gridSpan w:val="2"/>
            <w:tcBorders>
              <w:top w:val="nil"/>
              <w:left w:val="nil"/>
              <w:bottom w:val="nil"/>
              <w:right w:val="nil"/>
            </w:tcBorders>
            <w:noWrap/>
            <w:vAlign w:val="bottom"/>
            <w:hideMark/>
          </w:tcPr>
          <w:p w14:paraId="0068D532" w14:textId="77777777" w:rsidR="00BC27E9" w:rsidRPr="00954407" w:rsidRDefault="00BC27E9" w:rsidP="00220FA8">
            <w:pPr>
              <w:pStyle w:val="EstilodePrrafoNormal1RdeC"/>
              <w:rPr>
                <w:color w:val="002060"/>
                <w:spacing w:val="0"/>
                <w:sz w:val="18"/>
                <w:szCs w:val="18"/>
                <w:lang w:eastAsia="es-DO"/>
              </w:rPr>
            </w:pPr>
          </w:p>
        </w:tc>
      </w:tr>
      <w:tr w:rsidR="00BC27E9" w:rsidRPr="00954407" w14:paraId="5B727CF7" w14:textId="77777777" w:rsidTr="00220FA8">
        <w:trPr>
          <w:gridAfter w:val="1"/>
          <w:wAfter w:w="9" w:type="dxa"/>
          <w:trHeight w:val="243"/>
        </w:trPr>
        <w:tc>
          <w:tcPr>
            <w:tcW w:w="228" w:type="dxa"/>
            <w:tcBorders>
              <w:top w:val="nil"/>
              <w:left w:val="nil"/>
              <w:bottom w:val="nil"/>
              <w:right w:val="nil"/>
            </w:tcBorders>
            <w:noWrap/>
            <w:vAlign w:val="bottom"/>
            <w:hideMark/>
          </w:tcPr>
          <w:p w14:paraId="10888F54"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61EF3D24"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CANTIDAD DE PROCESOS REGISTRADOS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2096DB0"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15</w:t>
            </w:r>
          </w:p>
        </w:tc>
        <w:tc>
          <w:tcPr>
            <w:tcW w:w="236" w:type="dxa"/>
            <w:gridSpan w:val="2"/>
            <w:tcBorders>
              <w:top w:val="nil"/>
              <w:left w:val="nil"/>
              <w:bottom w:val="nil"/>
              <w:right w:val="nil"/>
            </w:tcBorders>
            <w:noWrap/>
            <w:vAlign w:val="bottom"/>
            <w:hideMark/>
          </w:tcPr>
          <w:p w14:paraId="2EC1CA16" w14:textId="77777777" w:rsidR="00BC27E9" w:rsidRPr="00954407" w:rsidRDefault="00BC27E9" w:rsidP="00220FA8">
            <w:pPr>
              <w:pStyle w:val="EstilodePrrafoNormal1RdeC"/>
              <w:rPr>
                <w:color w:val="002060"/>
                <w:spacing w:val="0"/>
                <w:sz w:val="18"/>
                <w:szCs w:val="18"/>
                <w:lang w:eastAsia="es-DO"/>
              </w:rPr>
            </w:pPr>
          </w:p>
        </w:tc>
      </w:tr>
      <w:tr w:rsidR="00BC27E9" w:rsidRPr="00954407" w14:paraId="07FE3BC4" w14:textId="77777777" w:rsidTr="00220FA8">
        <w:trPr>
          <w:gridAfter w:val="1"/>
          <w:wAfter w:w="9" w:type="dxa"/>
          <w:trHeight w:val="243"/>
        </w:trPr>
        <w:tc>
          <w:tcPr>
            <w:tcW w:w="228" w:type="dxa"/>
            <w:tcBorders>
              <w:top w:val="nil"/>
              <w:left w:val="nil"/>
              <w:bottom w:val="nil"/>
              <w:right w:val="nil"/>
            </w:tcBorders>
            <w:noWrap/>
            <w:vAlign w:val="bottom"/>
            <w:hideMark/>
          </w:tcPr>
          <w:p w14:paraId="5230FACD"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3C1279F7"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CAPÍTULO </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BDDDD5C"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0211</w:t>
            </w:r>
          </w:p>
        </w:tc>
        <w:tc>
          <w:tcPr>
            <w:tcW w:w="236" w:type="dxa"/>
            <w:gridSpan w:val="2"/>
            <w:tcBorders>
              <w:top w:val="nil"/>
              <w:left w:val="nil"/>
              <w:bottom w:val="nil"/>
              <w:right w:val="nil"/>
            </w:tcBorders>
            <w:noWrap/>
            <w:vAlign w:val="bottom"/>
            <w:hideMark/>
          </w:tcPr>
          <w:p w14:paraId="7981EA16" w14:textId="77777777" w:rsidR="00BC27E9" w:rsidRPr="00954407" w:rsidRDefault="00BC27E9" w:rsidP="00220FA8">
            <w:pPr>
              <w:pStyle w:val="EstilodePrrafoNormal1RdeC"/>
              <w:rPr>
                <w:color w:val="002060"/>
                <w:spacing w:val="0"/>
                <w:sz w:val="18"/>
                <w:szCs w:val="18"/>
                <w:lang w:eastAsia="es-DO"/>
              </w:rPr>
            </w:pPr>
          </w:p>
        </w:tc>
      </w:tr>
      <w:tr w:rsidR="00BC27E9" w:rsidRPr="00954407" w14:paraId="518F9DAD" w14:textId="77777777" w:rsidTr="00220FA8">
        <w:trPr>
          <w:gridAfter w:val="1"/>
          <w:wAfter w:w="9" w:type="dxa"/>
          <w:trHeight w:val="243"/>
        </w:trPr>
        <w:tc>
          <w:tcPr>
            <w:tcW w:w="228" w:type="dxa"/>
            <w:tcBorders>
              <w:top w:val="nil"/>
              <w:left w:val="nil"/>
              <w:bottom w:val="nil"/>
              <w:right w:val="nil"/>
            </w:tcBorders>
            <w:noWrap/>
            <w:vAlign w:val="bottom"/>
            <w:hideMark/>
          </w:tcPr>
          <w:p w14:paraId="3F4785BA"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35E1FAE6"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SUB CAPÍTULO</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9632A96"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01</w:t>
            </w:r>
          </w:p>
        </w:tc>
        <w:tc>
          <w:tcPr>
            <w:tcW w:w="236" w:type="dxa"/>
            <w:gridSpan w:val="2"/>
            <w:tcBorders>
              <w:top w:val="nil"/>
              <w:left w:val="nil"/>
              <w:bottom w:val="nil"/>
              <w:right w:val="nil"/>
            </w:tcBorders>
            <w:noWrap/>
            <w:vAlign w:val="bottom"/>
            <w:hideMark/>
          </w:tcPr>
          <w:p w14:paraId="2C659EF3" w14:textId="77777777" w:rsidR="00BC27E9" w:rsidRPr="00954407" w:rsidRDefault="00BC27E9" w:rsidP="00220FA8">
            <w:pPr>
              <w:pStyle w:val="EstilodePrrafoNormal1RdeC"/>
              <w:rPr>
                <w:color w:val="002060"/>
                <w:spacing w:val="0"/>
                <w:sz w:val="18"/>
                <w:szCs w:val="18"/>
                <w:lang w:eastAsia="es-DO"/>
              </w:rPr>
            </w:pPr>
          </w:p>
        </w:tc>
      </w:tr>
      <w:tr w:rsidR="00BC27E9" w:rsidRPr="00954407" w14:paraId="2C64D80D" w14:textId="77777777" w:rsidTr="00220FA8">
        <w:trPr>
          <w:gridAfter w:val="1"/>
          <w:wAfter w:w="9" w:type="dxa"/>
          <w:trHeight w:val="243"/>
        </w:trPr>
        <w:tc>
          <w:tcPr>
            <w:tcW w:w="228" w:type="dxa"/>
            <w:tcBorders>
              <w:top w:val="nil"/>
              <w:left w:val="nil"/>
              <w:bottom w:val="nil"/>
              <w:right w:val="nil"/>
            </w:tcBorders>
            <w:noWrap/>
            <w:vAlign w:val="bottom"/>
            <w:hideMark/>
          </w:tcPr>
          <w:p w14:paraId="0DA0E80B"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70F29A93"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UNIDAD EJECUTORA</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620FC87"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0001</w:t>
            </w:r>
          </w:p>
        </w:tc>
        <w:tc>
          <w:tcPr>
            <w:tcW w:w="236" w:type="dxa"/>
            <w:gridSpan w:val="2"/>
            <w:tcBorders>
              <w:top w:val="nil"/>
              <w:left w:val="nil"/>
              <w:bottom w:val="nil"/>
              <w:right w:val="nil"/>
            </w:tcBorders>
            <w:noWrap/>
            <w:vAlign w:val="bottom"/>
            <w:hideMark/>
          </w:tcPr>
          <w:p w14:paraId="5A849C16" w14:textId="77777777" w:rsidR="00BC27E9" w:rsidRPr="00954407" w:rsidRDefault="00BC27E9" w:rsidP="00220FA8">
            <w:pPr>
              <w:pStyle w:val="EstilodePrrafoNormal1RdeC"/>
              <w:rPr>
                <w:color w:val="002060"/>
                <w:spacing w:val="0"/>
                <w:sz w:val="18"/>
                <w:szCs w:val="18"/>
                <w:lang w:eastAsia="es-DO"/>
              </w:rPr>
            </w:pPr>
          </w:p>
        </w:tc>
      </w:tr>
      <w:tr w:rsidR="00BC27E9" w:rsidRPr="00954407" w14:paraId="2DB85495" w14:textId="77777777" w:rsidTr="00220FA8">
        <w:trPr>
          <w:gridAfter w:val="1"/>
          <w:wAfter w:w="9" w:type="dxa"/>
          <w:trHeight w:val="223"/>
        </w:trPr>
        <w:tc>
          <w:tcPr>
            <w:tcW w:w="228" w:type="dxa"/>
            <w:tcBorders>
              <w:top w:val="nil"/>
              <w:left w:val="nil"/>
              <w:bottom w:val="nil"/>
              <w:right w:val="nil"/>
            </w:tcBorders>
            <w:noWrap/>
            <w:vAlign w:val="bottom"/>
            <w:hideMark/>
          </w:tcPr>
          <w:p w14:paraId="33C13F51"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7A6E30A"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UNIDAD DE COMPRA </w:t>
            </w:r>
          </w:p>
        </w:tc>
        <w:tc>
          <w:tcPr>
            <w:tcW w:w="3240" w:type="dxa"/>
            <w:tcBorders>
              <w:top w:val="nil"/>
              <w:left w:val="nil"/>
              <w:bottom w:val="single" w:sz="12" w:space="0" w:color="FFFFFF"/>
              <w:right w:val="single" w:sz="12" w:space="0" w:color="FFFFFF"/>
            </w:tcBorders>
            <w:shd w:val="clear" w:color="000000" w:fill="D9D9D9"/>
            <w:noWrap/>
            <w:vAlign w:val="bottom"/>
            <w:hideMark/>
          </w:tcPr>
          <w:p w14:paraId="7860BD96" w14:textId="77777777" w:rsidR="00BC27E9" w:rsidRPr="00954407" w:rsidRDefault="00BC27E9" w:rsidP="00220FA8">
            <w:pPr>
              <w:pStyle w:val="EstilodePrrafoNormal1RdeC"/>
              <w:rPr>
                <w:color w:val="002060"/>
                <w:spacing w:val="-4"/>
                <w:sz w:val="17"/>
                <w:szCs w:val="17"/>
                <w:lang w:eastAsia="es-DO"/>
              </w:rPr>
            </w:pPr>
            <w:r w:rsidRPr="00954407">
              <w:rPr>
                <w:color w:val="002060"/>
                <w:spacing w:val="-4"/>
                <w:sz w:val="17"/>
                <w:szCs w:val="17"/>
                <w:lang w:eastAsia="es-DO"/>
              </w:rPr>
              <w:t>Ministerio de Obras Públicas y Comunicaciones</w:t>
            </w:r>
          </w:p>
        </w:tc>
        <w:tc>
          <w:tcPr>
            <w:tcW w:w="236" w:type="dxa"/>
            <w:gridSpan w:val="2"/>
            <w:tcBorders>
              <w:top w:val="nil"/>
              <w:left w:val="nil"/>
              <w:bottom w:val="nil"/>
              <w:right w:val="nil"/>
            </w:tcBorders>
            <w:noWrap/>
            <w:vAlign w:val="bottom"/>
            <w:hideMark/>
          </w:tcPr>
          <w:p w14:paraId="32562438" w14:textId="77777777" w:rsidR="00BC27E9" w:rsidRPr="00954407" w:rsidRDefault="00BC27E9" w:rsidP="00220FA8">
            <w:pPr>
              <w:pStyle w:val="EstilodePrrafoNormal1RdeC"/>
              <w:rPr>
                <w:color w:val="002060"/>
                <w:spacing w:val="0"/>
                <w:sz w:val="18"/>
                <w:szCs w:val="18"/>
                <w:lang w:eastAsia="es-DO"/>
              </w:rPr>
            </w:pPr>
          </w:p>
        </w:tc>
      </w:tr>
      <w:tr w:rsidR="00BC27E9" w:rsidRPr="00954407" w14:paraId="6514EB85" w14:textId="77777777" w:rsidTr="00220FA8">
        <w:trPr>
          <w:gridAfter w:val="1"/>
          <w:wAfter w:w="9" w:type="dxa"/>
          <w:trHeight w:val="223"/>
        </w:trPr>
        <w:tc>
          <w:tcPr>
            <w:tcW w:w="228" w:type="dxa"/>
            <w:tcBorders>
              <w:top w:val="nil"/>
              <w:left w:val="nil"/>
              <w:bottom w:val="nil"/>
              <w:right w:val="nil"/>
            </w:tcBorders>
            <w:noWrap/>
            <w:vAlign w:val="bottom"/>
            <w:hideMark/>
          </w:tcPr>
          <w:p w14:paraId="1391A29C"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5180347"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AÑO FISCAL </w:t>
            </w:r>
          </w:p>
        </w:tc>
        <w:tc>
          <w:tcPr>
            <w:tcW w:w="3240" w:type="dxa"/>
            <w:tcBorders>
              <w:top w:val="nil"/>
              <w:left w:val="nil"/>
              <w:bottom w:val="single" w:sz="12" w:space="0" w:color="FFFFFF"/>
              <w:right w:val="single" w:sz="12" w:space="0" w:color="FFFFFF"/>
            </w:tcBorders>
            <w:shd w:val="clear" w:color="000000" w:fill="D9D9D9"/>
            <w:noWrap/>
            <w:vAlign w:val="bottom"/>
            <w:hideMark/>
          </w:tcPr>
          <w:p w14:paraId="15429502"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2025</w:t>
            </w:r>
          </w:p>
        </w:tc>
        <w:tc>
          <w:tcPr>
            <w:tcW w:w="236" w:type="dxa"/>
            <w:gridSpan w:val="2"/>
            <w:tcBorders>
              <w:top w:val="nil"/>
              <w:left w:val="nil"/>
              <w:bottom w:val="nil"/>
              <w:right w:val="nil"/>
            </w:tcBorders>
            <w:noWrap/>
            <w:vAlign w:val="bottom"/>
            <w:hideMark/>
          </w:tcPr>
          <w:p w14:paraId="365B3BE1" w14:textId="77777777" w:rsidR="00BC27E9" w:rsidRPr="00954407" w:rsidRDefault="00BC27E9" w:rsidP="00220FA8">
            <w:pPr>
              <w:pStyle w:val="EstilodePrrafoNormal1RdeC"/>
              <w:rPr>
                <w:color w:val="002060"/>
                <w:spacing w:val="0"/>
                <w:sz w:val="18"/>
                <w:szCs w:val="18"/>
                <w:lang w:eastAsia="es-DO"/>
              </w:rPr>
            </w:pPr>
          </w:p>
        </w:tc>
      </w:tr>
      <w:tr w:rsidR="00BC27E9" w:rsidRPr="00954407" w14:paraId="5E959D2F" w14:textId="77777777" w:rsidTr="00220FA8">
        <w:trPr>
          <w:gridAfter w:val="1"/>
          <w:wAfter w:w="9" w:type="dxa"/>
          <w:trHeight w:val="223"/>
        </w:trPr>
        <w:tc>
          <w:tcPr>
            <w:tcW w:w="228" w:type="dxa"/>
            <w:tcBorders>
              <w:top w:val="nil"/>
              <w:left w:val="nil"/>
              <w:bottom w:val="nil"/>
              <w:right w:val="nil"/>
            </w:tcBorders>
            <w:noWrap/>
            <w:vAlign w:val="bottom"/>
            <w:hideMark/>
          </w:tcPr>
          <w:p w14:paraId="6E9C43C7"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7BE109CC"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FECHA APROBACIÓN</w:t>
            </w:r>
          </w:p>
        </w:tc>
        <w:tc>
          <w:tcPr>
            <w:tcW w:w="3240" w:type="dxa"/>
            <w:tcBorders>
              <w:top w:val="nil"/>
              <w:left w:val="nil"/>
              <w:bottom w:val="single" w:sz="12" w:space="0" w:color="FFFFFF"/>
              <w:right w:val="single" w:sz="12" w:space="0" w:color="FFFFFF"/>
            </w:tcBorders>
            <w:shd w:val="clear" w:color="000000" w:fill="D9D9D9"/>
            <w:noWrap/>
            <w:vAlign w:val="bottom"/>
            <w:hideMark/>
          </w:tcPr>
          <w:p w14:paraId="0341D584"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w:t>
            </w:r>
          </w:p>
        </w:tc>
        <w:tc>
          <w:tcPr>
            <w:tcW w:w="236" w:type="dxa"/>
            <w:gridSpan w:val="2"/>
            <w:tcBorders>
              <w:top w:val="nil"/>
              <w:left w:val="nil"/>
              <w:bottom w:val="nil"/>
              <w:right w:val="nil"/>
            </w:tcBorders>
            <w:noWrap/>
            <w:vAlign w:val="bottom"/>
            <w:hideMark/>
          </w:tcPr>
          <w:p w14:paraId="0FA8ECEB" w14:textId="77777777" w:rsidR="00BC27E9" w:rsidRPr="00954407" w:rsidRDefault="00BC27E9" w:rsidP="00220FA8">
            <w:pPr>
              <w:pStyle w:val="EstilodePrrafoNormal1RdeC"/>
              <w:rPr>
                <w:color w:val="002060"/>
                <w:spacing w:val="0"/>
                <w:sz w:val="18"/>
                <w:szCs w:val="18"/>
                <w:lang w:eastAsia="es-DO"/>
              </w:rPr>
            </w:pPr>
          </w:p>
        </w:tc>
      </w:tr>
      <w:tr w:rsidR="00BC27E9" w:rsidRPr="00954407" w14:paraId="4BBA7C82" w14:textId="77777777" w:rsidTr="00220FA8">
        <w:trPr>
          <w:trHeight w:val="202"/>
        </w:trPr>
        <w:tc>
          <w:tcPr>
            <w:tcW w:w="228" w:type="dxa"/>
            <w:tcBorders>
              <w:top w:val="nil"/>
              <w:left w:val="nil"/>
              <w:bottom w:val="nil"/>
              <w:right w:val="nil"/>
            </w:tcBorders>
            <w:noWrap/>
            <w:vAlign w:val="bottom"/>
            <w:hideMark/>
          </w:tcPr>
          <w:p w14:paraId="2CBBEC31" w14:textId="77777777" w:rsidR="00BC27E9" w:rsidRPr="00954407" w:rsidRDefault="00BC27E9" w:rsidP="00220FA8">
            <w:pPr>
              <w:pStyle w:val="EstilodePrrafoNormal1RdeC"/>
              <w:rPr>
                <w:color w:val="auto"/>
                <w:spacing w:val="0"/>
                <w:sz w:val="18"/>
                <w:szCs w:val="18"/>
                <w:lang w:eastAsia="es-DO"/>
              </w:rPr>
            </w:pPr>
          </w:p>
        </w:tc>
        <w:tc>
          <w:tcPr>
            <w:tcW w:w="8151" w:type="dxa"/>
            <w:gridSpan w:val="3"/>
            <w:tcBorders>
              <w:top w:val="single" w:sz="12" w:space="0" w:color="FFFFFF"/>
              <w:left w:val="nil"/>
              <w:bottom w:val="single" w:sz="12" w:space="0" w:color="FFFFFF"/>
              <w:right w:val="nil"/>
            </w:tcBorders>
            <w:shd w:val="clear" w:color="000000" w:fill="9BC2E6"/>
            <w:vAlign w:val="center"/>
            <w:hideMark/>
          </w:tcPr>
          <w:p w14:paraId="4060DEA8"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MONTOS ESTIMADOS SEGÚN OBJETO DE CONTRATACIÓN</w:t>
            </w:r>
          </w:p>
        </w:tc>
        <w:tc>
          <w:tcPr>
            <w:tcW w:w="236" w:type="dxa"/>
            <w:gridSpan w:val="2"/>
            <w:tcBorders>
              <w:top w:val="nil"/>
              <w:left w:val="nil"/>
              <w:bottom w:val="nil"/>
              <w:right w:val="nil"/>
            </w:tcBorders>
            <w:noWrap/>
            <w:vAlign w:val="bottom"/>
            <w:hideMark/>
          </w:tcPr>
          <w:p w14:paraId="5F4A981D" w14:textId="77777777" w:rsidR="00BC27E9" w:rsidRPr="00954407" w:rsidRDefault="00BC27E9" w:rsidP="00220FA8">
            <w:pPr>
              <w:pStyle w:val="EstilodePrrafoNormal1RdeC"/>
              <w:rPr>
                <w:color w:val="auto"/>
                <w:spacing w:val="0"/>
                <w:sz w:val="18"/>
                <w:szCs w:val="18"/>
                <w:lang w:eastAsia="es-DO"/>
              </w:rPr>
            </w:pPr>
          </w:p>
        </w:tc>
      </w:tr>
      <w:tr w:rsidR="00BC27E9" w:rsidRPr="00954407" w14:paraId="7CFA2F3C" w14:textId="77777777" w:rsidTr="00220FA8">
        <w:trPr>
          <w:gridAfter w:val="1"/>
          <w:wAfter w:w="9" w:type="dxa"/>
          <w:trHeight w:val="202"/>
        </w:trPr>
        <w:tc>
          <w:tcPr>
            <w:tcW w:w="228" w:type="dxa"/>
            <w:tcBorders>
              <w:top w:val="nil"/>
              <w:left w:val="nil"/>
              <w:bottom w:val="nil"/>
              <w:right w:val="nil"/>
            </w:tcBorders>
            <w:noWrap/>
            <w:vAlign w:val="bottom"/>
            <w:hideMark/>
          </w:tcPr>
          <w:p w14:paraId="4C475740"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67EB0BCA"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BIENES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F30208C"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162,587,037.77 </w:t>
            </w:r>
          </w:p>
        </w:tc>
        <w:tc>
          <w:tcPr>
            <w:tcW w:w="236" w:type="dxa"/>
            <w:gridSpan w:val="2"/>
            <w:tcBorders>
              <w:top w:val="nil"/>
              <w:left w:val="nil"/>
              <w:bottom w:val="nil"/>
              <w:right w:val="nil"/>
            </w:tcBorders>
            <w:noWrap/>
            <w:vAlign w:val="bottom"/>
            <w:hideMark/>
          </w:tcPr>
          <w:p w14:paraId="345D5E5F" w14:textId="77777777" w:rsidR="00BC27E9" w:rsidRPr="00954407" w:rsidRDefault="00BC27E9" w:rsidP="00220FA8">
            <w:pPr>
              <w:pStyle w:val="EstilodePrrafoNormal1RdeC"/>
              <w:rPr>
                <w:color w:val="002060"/>
                <w:spacing w:val="0"/>
                <w:sz w:val="18"/>
                <w:szCs w:val="18"/>
                <w:lang w:eastAsia="es-DO"/>
              </w:rPr>
            </w:pPr>
          </w:p>
        </w:tc>
      </w:tr>
      <w:tr w:rsidR="00BC27E9" w:rsidRPr="00954407" w14:paraId="39E87FFA" w14:textId="77777777" w:rsidTr="00220FA8">
        <w:trPr>
          <w:gridAfter w:val="1"/>
          <w:wAfter w:w="9" w:type="dxa"/>
          <w:trHeight w:val="202"/>
        </w:trPr>
        <w:tc>
          <w:tcPr>
            <w:tcW w:w="228" w:type="dxa"/>
            <w:tcBorders>
              <w:top w:val="nil"/>
              <w:left w:val="nil"/>
              <w:bottom w:val="nil"/>
              <w:right w:val="nil"/>
            </w:tcBorders>
            <w:noWrap/>
            <w:vAlign w:val="bottom"/>
            <w:hideMark/>
          </w:tcPr>
          <w:p w14:paraId="24F31100"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BDFFEC0"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OBRAS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7B3CC5BE"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w:t>
            </w:r>
            <w:r w:rsidRPr="00954407">
              <w:rPr>
                <w:color w:val="002060"/>
                <w:spacing w:val="0"/>
                <w:sz w:val="16"/>
                <w:szCs w:val="18"/>
                <w:lang w:eastAsia="es-DO"/>
              </w:rPr>
              <w:t xml:space="preserve"> </w:t>
            </w:r>
            <w:r w:rsidRPr="00954407">
              <w:rPr>
                <w:color w:val="002060"/>
                <w:spacing w:val="0"/>
                <w:sz w:val="18"/>
                <w:szCs w:val="18"/>
                <w:lang w:eastAsia="es-DO"/>
              </w:rPr>
              <w:t xml:space="preserve">-  </w:t>
            </w:r>
          </w:p>
        </w:tc>
        <w:tc>
          <w:tcPr>
            <w:tcW w:w="236" w:type="dxa"/>
            <w:gridSpan w:val="2"/>
            <w:tcBorders>
              <w:top w:val="nil"/>
              <w:left w:val="nil"/>
              <w:bottom w:val="nil"/>
              <w:right w:val="nil"/>
            </w:tcBorders>
            <w:noWrap/>
            <w:vAlign w:val="bottom"/>
            <w:hideMark/>
          </w:tcPr>
          <w:p w14:paraId="657AFA7D" w14:textId="77777777" w:rsidR="00BC27E9" w:rsidRPr="00954407" w:rsidRDefault="00BC27E9" w:rsidP="00220FA8">
            <w:pPr>
              <w:pStyle w:val="EstilodePrrafoNormal1RdeC"/>
              <w:rPr>
                <w:color w:val="002060"/>
                <w:spacing w:val="0"/>
                <w:sz w:val="18"/>
                <w:szCs w:val="18"/>
                <w:lang w:eastAsia="es-DO"/>
              </w:rPr>
            </w:pPr>
          </w:p>
        </w:tc>
      </w:tr>
      <w:tr w:rsidR="00BC27E9" w:rsidRPr="00954407" w14:paraId="66A8CA61" w14:textId="77777777" w:rsidTr="00220FA8">
        <w:trPr>
          <w:gridAfter w:val="1"/>
          <w:wAfter w:w="9" w:type="dxa"/>
          <w:trHeight w:val="202"/>
        </w:trPr>
        <w:tc>
          <w:tcPr>
            <w:tcW w:w="228" w:type="dxa"/>
            <w:tcBorders>
              <w:top w:val="nil"/>
              <w:left w:val="nil"/>
              <w:bottom w:val="nil"/>
              <w:right w:val="nil"/>
            </w:tcBorders>
            <w:noWrap/>
            <w:vAlign w:val="bottom"/>
            <w:hideMark/>
          </w:tcPr>
          <w:p w14:paraId="2782693F"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10C5E0B"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SERVICIOS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6280A2C3"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1,600,000.00 </w:t>
            </w:r>
          </w:p>
        </w:tc>
        <w:tc>
          <w:tcPr>
            <w:tcW w:w="236" w:type="dxa"/>
            <w:gridSpan w:val="2"/>
            <w:tcBorders>
              <w:top w:val="nil"/>
              <w:left w:val="nil"/>
              <w:bottom w:val="nil"/>
              <w:right w:val="nil"/>
            </w:tcBorders>
            <w:noWrap/>
            <w:vAlign w:val="bottom"/>
            <w:hideMark/>
          </w:tcPr>
          <w:p w14:paraId="7BF0F9B7" w14:textId="77777777" w:rsidR="00BC27E9" w:rsidRPr="00954407" w:rsidRDefault="00BC27E9" w:rsidP="00220FA8">
            <w:pPr>
              <w:pStyle w:val="EstilodePrrafoNormal1RdeC"/>
              <w:rPr>
                <w:color w:val="002060"/>
                <w:spacing w:val="0"/>
                <w:sz w:val="18"/>
                <w:szCs w:val="18"/>
                <w:lang w:eastAsia="es-DO"/>
              </w:rPr>
            </w:pPr>
          </w:p>
        </w:tc>
      </w:tr>
      <w:tr w:rsidR="00BC27E9" w:rsidRPr="00954407" w14:paraId="29B7D3D8" w14:textId="77777777" w:rsidTr="00220FA8">
        <w:trPr>
          <w:gridAfter w:val="1"/>
          <w:wAfter w:w="9" w:type="dxa"/>
          <w:trHeight w:val="202"/>
        </w:trPr>
        <w:tc>
          <w:tcPr>
            <w:tcW w:w="228" w:type="dxa"/>
            <w:tcBorders>
              <w:top w:val="nil"/>
              <w:left w:val="nil"/>
              <w:bottom w:val="nil"/>
              <w:right w:val="nil"/>
            </w:tcBorders>
            <w:noWrap/>
            <w:vAlign w:val="bottom"/>
            <w:hideMark/>
          </w:tcPr>
          <w:p w14:paraId="7468D077"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74124E47"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SERVICIOS: CONSULTORÍA</w:t>
            </w:r>
          </w:p>
        </w:tc>
        <w:tc>
          <w:tcPr>
            <w:tcW w:w="3240" w:type="dxa"/>
            <w:tcBorders>
              <w:top w:val="nil"/>
              <w:left w:val="nil"/>
              <w:bottom w:val="single" w:sz="12" w:space="0" w:color="FFFFFF"/>
              <w:right w:val="single" w:sz="12" w:space="0" w:color="FFFFFF"/>
            </w:tcBorders>
            <w:shd w:val="clear" w:color="000000" w:fill="D9D9D9"/>
            <w:noWrap/>
            <w:vAlign w:val="bottom"/>
            <w:hideMark/>
          </w:tcPr>
          <w:p w14:paraId="7D51ED1B"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4B0213A1" w14:textId="77777777" w:rsidR="00BC27E9" w:rsidRPr="00954407" w:rsidRDefault="00BC27E9" w:rsidP="00220FA8">
            <w:pPr>
              <w:pStyle w:val="EstilodePrrafoNormal1RdeC"/>
              <w:rPr>
                <w:color w:val="002060"/>
                <w:spacing w:val="0"/>
                <w:sz w:val="18"/>
                <w:szCs w:val="18"/>
                <w:lang w:eastAsia="es-DO"/>
              </w:rPr>
            </w:pPr>
          </w:p>
        </w:tc>
      </w:tr>
      <w:tr w:rsidR="00BC27E9" w:rsidRPr="00954407" w14:paraId="1942349D" w14:textId="77777777" w:rsidTr="00220FA8">
        <w:trPr>
          <w:gridAfter w:val="1"/>
          <w:wAfter w:w="9" w:type="dxa"/>
          <w:trHeight w:val="202"/>
        </w:trPr>
        <w:tc>
          <w:tcPr>
            <w:tcW w:w="228" w:type="dxa"/>
            <w:tcBorders>
              <w:top w:val="nil"/>
              <w:left w:val="nil"/>
              <w:bottom w:val="nil"/>
              <w:right w:val="nil"/>
            </w:tcBorders>
            <w:noWrap/>
            <w:vAlign w:val="bottom"/>
            <w:hideMark/>
          </w:tcPr>
          <w:p w14:paraId="0C46BC78"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0B90783"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SERVICIOS: CONSULTORÍA BASADA EN LA CALIDAD DE LOS SERVICIOS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561DDBF"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3684A1DC" w14:textId="77777777" w:rsidR="00BC27E9" w:rsidRPr="00954407" w:rsidRDefault="00BC27E9" w:rsidP="00220FA8">
            <w:pPr>
              <w:pStyle w:val="EstilodePrrafoNormal1RdeC"/>
              <w:rPr>
                <w:color w:val="002060"/>
                <w:spacing w:val="0"/>
                <w:sz w:val="18"/>
                <w:szCs w:val="18"/>
                <w:lang w:eastAsia="es-DO"/>
              </w:rPr>
            </w:pPr>
          </w:p>
        </w:tc>
      </w:tr>
      <w:tr w:rsidR="00BC27E9" w:rsidRPr="00954407" w14:paraId="65C1751E" w14:textId="77777777" w:rsidTr="00220FA8">
        <w:trPr>
          <w:trHeight w:val="202"/>
        </w:trPr>
        <w:tc>
          <w:tcPr>
            <w:tcW w:w="228" w:type="dxa"/>
            <w:tcBorders>
              <w:top w:val="nil"/>
              <w:left w:val="nil"/>
              <w:bottom w:val="nil"/>
              <w:right w:val="nil"/>
            </w:tcBorders>
            <w:noWrap/>
            <w:vAlign w:val="bottom"/>
            <w:hideMark/>
          </w:tcPr>
          <w:p w14:paraId="1BE92DA6" w14:textId="77777777" w:rsidR="00BC27E9" w:rsidRPr="00954407" w:rsidRDefault="00BC27E9" w:rsidP="00220FA8">
            <w:pPr>
              <w:pStyle w:val="EstilodePrrafoNormal1RdeC"/>
              <w:rPr>
                <w:color w:val="auto"/>
                <w:spacing w:val="0"/>
                <w:sz w:val="18"/>
                <w:szCs w:val="18"/>
                <w:lang w:eastAsia="es-DO"/>
              </w:rPr>
            </w:pPr>
          </w:p>
        </w:tc>
        <w:tc>
          <w:tcPr>
            <w:tcW w:w="8151" w:type="dxa"/>
            <w:gridSpan w:val="3"/>
            <w:tcBorders>
              <w:top w:val="single" w:sz="12" w:space="0" w:color="FFFFFF"/>
              <w:left w:val="nil"/>
              <w:bottom w:val="single" w:sz="12" w:space="0" w:color="FFFFFF"/>
              <w:right w:val="nil"/>
            </w:tcBorders>
            <w:shd w:val="clear" w:color="000000" w:fill="9BC2E6"/>
            <w:vAlign w:val="center"/>
            <w:hideMark/>
          </w:tcPr>
          <w:p w14:paraId="5B88FF23"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MONTOS ESTIMADOS SEGÚN CLASIFICACIÓN MIPYME</w:t>
            </w:r>
          </w:p>
        </w:tc>
        <w:tc>
          <w:tcPr>
            <w:tcW w:w="236" w:type="dxa"/>
            <w:gridSpan w:val="2"/>
            <w:tcBorders>
              <w:top w:val="nil"/>
              <w:left w:val="nil"/>
              <w:bottom w:val="nil"/>
              <w:right w:val="nil"/>
            </w:tcBorders>
            <w:noWrap/>
            <w:vAlign w:val="bottom"/>
            <w:hideMark/>
          </w:tcPr>
          <w:p w14:paraId="31B0C6A5" w14:textId="77777777" w:rsidR="00BC27E9" w:rsidRPr="00954407" w:rsidRDefault="00BC27E9" w:rsidP="00220FA8">
            <w:pPr>
              <w:pStyle w:val="EstilodePrrafoNormal1RdeC"/>
              <w:rPr>
                <w:color w:val="auto"/>
                <w:spacing w:val="0"/>
                <w:sz w:val="18"/>
                <w:szCs w:val="18"/>
                <w:lang w:eastAsia="es-DO"/>
              </w:rPr>
            </w:pPr>
          </w:p>
        </w:tc>
      </w:tr>
      <w:tr w:rsidR="00BC27E9" w:rsidRPr="00954407" w14:paraId="5F3DCFF9" w14:textId="77777777" w:rsidTr="00220FA8">
        <w:trPr>
          <w:gridAfter w:val="1"/>
          <w:wAfter w:w="9" w:type="dxa"/>
          <w:trHeight w:val="303"/>
        </w:trPr>
        <w:tc>
          <w:tcPr>
            <w:tcW w:w="228" w:type="dxa"/>
            <w:tcBorders>
              <w:top w:val="nil"/>
              <w:left w:val="nil"/>
              <w:bottom w:val="nil"/>
              <w:right w:val="nil"/>
            </w:tcBorders>
            <w:noWrap/>
            <w:vAlign w:val="bottom"/>
            <w:hideMark/>
          </w:tcPr>
          <w:p w14:paraId="49B6DD2F"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7503363"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MIPYME</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AD0123E"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15,254,396.40 </w:t>
            </w:r>
          </w:p>
        </w:tc>
        <w:tc>
          <w:tcPr>
            <w:tcW w:w="236" w:type="dxa"/>
            <w:gridSpan w:val="2"/>
            <w:tcBorders>
              <w:top w:val="nil"/>
              <w:left w:val="nil"/>
              <w:bottom w:val="nil"/>
              <w:right w:val="nil"/>
            </w:tcBorders>
            <w:noWrap/>
            <w:vAlign w:val="bottom"/>
            <w:hideMark/>
          </w:tcPr>
          <w:p w14:paraId="0B588D9F" w14:textId="77777777" w:rsidR="00BC27E9" w:rsidRPr="00954407" w:rsidRDefault="00BC27E9" w:rsidP="00220FA8">
            <w:pPr>
              <w:pStyle w:val="EstilodePrrafoNormal1RdeC"/>
              <w:rPr>
                <w:color w:val="002060"/>
                <w:spacing w:val="0"/>
                <w:sz w:val="18"/>
                <w:szCs w:val="18"/>
                <w:lang w:eastAsia="es-DO"/>
              </w:rPr>
            </w:pPr>
          </w:p>
        </w:tc>
      </w:tr>
      <w:tr w:rsidR="00BC27E9" w:rsidRPr="00954407" w14:paraId="6D0C9BE7" w14:textId="77777777" w:rsidTr="00220FA8">
        <w:trPr>
          <w:gridAfter w:val="1"/>
          <w:wAfter w:w="9" w:type="dxa"/>
          <w:trHeight w:val="202"/>
        </w:trPr>
        <w:tc>
          <w:tcPr>
            <w:tcW w:w="228" w:type="dxa"/>
            <w:tcBorders>
              <w:top w:val="nil"/>
              <w:left w:val="nil"/>
              <w:bottom w:val="nil"/>
              <w:right w:val="nil"/>
            </w:tcBorders>
            <w:noWrap/>
            <w:vAlign w:val="bottom"/>
            <w:hideMark/>
          </w:tcPr>
          <w:p w14:paraId="61605AAC"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488362CF"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MIPYME MUJER</w:t>
            </w:r>
          </w:p>
        </w:tc>
        <w:tc>
          <w:tcPr>
            <w:tcW w:w="3240" w:type="dxa"/>
            <w:tcBorders>
              <w:top w:val="nil"/>
              <w:left w:val="nil"/>
              <w:bottom w:val="single" w:sz="12" w:space="0" w:color="FFFFFF"/>
              <w:right w:val="single" w:sz="12" w:space="0" w:color="FFFFFF"/>
            </w:tcBorders>
            <w:shd w:val="clear" w:color="000000" w:fill="D9D9D9"/>
            <w:noWrap/>
            <w:vAlign w:val="bottom"/>
            <w:hideMark/>
          </w:tcPr>
          <w:p w14:paraId="73726F5F"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  </w:t>
            </w:r>
          </w:p>
        </w:tc>
        <w:tc>
          <w:tcPr>
            <w:tcW w:w="236" w:type="dxa"/>
            <w:gridSpan w:val="2"/>
            <w:tcBorders>
              <w:top w:val="nil"/>
              <w:left w:val="nil"/>
              <w:bottom w:val="nil"/>
              <w:right w:val="nil"/>
            </w:tcBorders>
            <w:noWrap/>
            <w:vAlign w:val="bottom"/>
            <w:hideMark/>
          </w:tcPr>
          <w:p w14:paraId="082776FE" w14:textId="77777777" w:rsidR="00BC27E9" w:rsidRPr="00954407" w:rsidRDefault="00BC27E9" w:rsidP="00220FA8">
            <w:pPr>
              <w:pStyle w:val="EstilodePrrafoNormal1RdeC"/>
              <w:rPr>
                <w:color w:val="002060"/>
                <w:spacing w:val="0"/>
                <w:sz w:val="18"/>
                <w:szCs w:val="18"/>
                <w:lang w:eastAsia="es-DO"/>
              </w:rPr>
            </w:pPr>
          </w:p>
        </w:tc>
      </w:tr>
      <w:tr w:rsidR="00BC27E9" w:rsidRPr="00954407" w14:paraId="3A2E510E" w14:textId="77777777" w:rsidTr="00220FA8">
        <w:trPr>
          <w:gridAfter w:val="1"/>
          <w:wAfter w:w="9" w:type="dxa"/>
          <w:trHeight w:val="202"/>
        </w:trPr>
        <w:tc>
          <w:tcPr>
            <w:tcW w:w="228" w:type="dxa"/>
            <w:tcBorders>
              <w:top w:val="nil"/>
              <w:left w:val="nil"/>
              <w:bottom w:val="nil"/>
              <w:right w:val="nil"/>
            </w:tcBorders>
            <w:noWrap/>
            <w:vAlign w:val="bottom"/>
            <w:hideMark/>
          </w:tcPr>
          <w:p w14:paraId="17C5DE83"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CF60928"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NO MIPYME</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5C9F489"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148,932,641.37 </w:t>
            </w:r>
          </w:p>
        </w:tc>
        <w:tc>
          <w:tcPr>
            <w:tcW w:w="236" w:type="dxa"/>
            <w:gridSpan w:val="2"/>
            <w:tcBorders>
              <w:top w:val="nil"/>
              <w:left w:val="nil"/>
              <w:bottom w:val="nil"/>
              <w:right w:val="nil"/>
            </w:tcBorders>
            <w:noWrap/>
            <w:vAlign w:val="bottom"/>
            <w:hideMark/>
          </w:tcPr>
          <w:p w14:paraId="4FB6FDAA" w14:textId="77777777" w:rsidR="00BC27E9" w:rsidRPr="00954407" w:rsidRDefault="00BC27E9" w:rsidP="00220FA8">
            <w:pPr>
              <w:pStyle w:val="EstilodePrrafoNormal1RdeC"/>
              <w:rPr>
                <w:color w:val="002060"/>
                <w:spacing w:val="0"/>
                <w:sz w:val="18"/>
                <w:szCs w:val="18"/>
                <w:lang w:eastAsia="es-DO"/>
              </w:rPr>
            </w:pPr>
          </w:p>
        </w:tc>
      </w:tr>
      <w:tr w:rsidR="00BC27E9" w:rsidRPr="00954407" w14:paraId="039B026C" w14:textId="77777777" w:rsidTr="00220FA8">
        <w:trPr>
          <w:trHeight w:val="202"/>
        </w:trPr>
        <w:tc>
          <w:tcPr>
            <w:tcW w:w="228" w:type="dxa"/>
            <w:tcBorders>
              <w:top w:val="nil"/>
              <w:left w:val="nil"/>
              <w:bottom w:val="nil"/>
              <w:right w:val="nil"/>
            </w:tcBorders>
            <w:noWrap/>
            <w:vAlign w:val="bottom"/>
            <w:hideMark/>
          </w:tcPr>
          <w:p w14:paraId="1DE847F3" w14:textId="77777777" w:rsidR="00BC27E9" w:rsidRPr="00954407" w:rsidRDefault="00BC27E9" w:rsidP="00220FA8">
            <w:pPr>
              <w:pStyle w:val="EstilodePrrafoNormal1RdeC"/>
              <w:rPr>
                <w:color w:val="auto"/>
                <w:spacing w:val="0"/>
                <w:sz w:val="18"/>
                <w:szCs w:val="18"/>
                <w:lang w:eastAsia="es-DO"/>
              </w:rPr>
            </w:pPr>
          </w:p>
        </w:tc>
        <w:tc>
          <w:tcPr>
            <w:tcW w:w="8151" w:type="dxa"/>
            <w:gridSpan w:val="3"/>
            <w:tcBorders>
              <w:top w:val="nil"/>
              <w:left w:val="nil"/>
              <w:bottom w:val="single" w:sz="12" w:space="0" w:color="FFFFFF"/>
              <w:right w:val="nil"/>
            </w:tcBorders>
            <w:shd w:val="clear" w:color="000000" w:fill="9BC2E6"/>
            <w:vAlign w:val="center"/>
            <w:hideMark/>
          </w:tcPr>
          <w:p w14:paraId="731D0227" w14:textId="77777777" w:rsidR="00BC27E9" w:rsidRPr="00954407" w:rsidRDefault="00BC27E9" w:rsidP="00220FA8">
            <w:pPr>
              <w:pStyle w:val="EstilodePrrafoNormal1RdeC"/>
              <w:rPr>
                <w:color w:val="auto"/>
                <w:spacing w:val="0"/>
                <w:sz w:val="18"/>
                <w:szCs w:val="18"/>
                <w:lang w:eastAsia="es-DO"/>
              </w:rPr>
            </w:pPr>
            <w:r w:rsidRPr="00954407">
              <w:rPr>
                <w:color w:val="auto"/>
                <w:spacing w:val="0"/>
                <w:sz w:val="18"/>
                <w:szCs w:val="18"/>
                <w:lang w:eastAsia="es-DO"/>
              </w:rPr>
              <w:t>MONTOS ESTIMADOS SEGÚN TIPO DE PROCEDIMIENTO</w:t>
            </w:r>
          </w:p>
        </w:tc>
        <w:tc>
          <w:tcPr>
            <w:tcW w:w="236" w:type="dxa"/>
            <w:gridSpan w:val="2"/>
            <w:tcBorders>
              <w:top w:val="nil"/>
              <w:left w:val="nil"/>
              <w:bottom w:val="nil"/>
              <w:right w:val="nil"/>
            </w:tcBorders>
            <w:noWrap/>
            <w:vAlign w:val="bottom"/>
            <w:hideMark/>
          </w:tcPr>
          <w:p w14:paraId="3AE879F2" w14:textId="77777777" w:rsidR="00BC27E9" w:rsidRPr="00954407" w:rsidRDefault="00BC27E9" w:rsidP="00220FA8">
            <w:pPr>
              <w:pStyle w:val="EstilodePrrafoNormal1RdeC"/>
              <w:rPr>
                <w:color w:val="auto"/>
                <w:spacing w:val="0"/>
                <w:sz w:val="18"/>
                <w:szCs w:val="18"/>
                <w:lang w:eastAsia="es-DO"/>
              </w:rPr>
            </w:pPr>
          </w:p>
        </w:tc>
      </w:tr>
      <w:tr w:rsidR="00BC27E9" w:rsidRPr="00954407" w14:paraId="1D1194F9" w14:textId="77777777" w:rsidTr="00220FA8">
        <w:trPr>
          <w:gridAfter w:val="1"/>
          <w:wAfter w:w="9" w:type="dxa"/>
          <w:trHeight w:val="258"/>
        </w:trPr>
        <w:tc>
          <w:tcPr>
            <w:tcW w:w="228" w:type="dxa"/>
            <w:tcBorders>
              <w:top w:val="nil"/>
              <w:left w:val="nil"/>
              <w:bottom w:val="nil"/>
              <w:right w:val="nil"/>
            </w:tcBorders>
            <w:noWrap/>
            <w:vAlign w:val="bottom"/>
            <w:hideMark/>
          </w:tcPr>
          <w:p w14:paraId="6CB8A3FA"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2779740"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COMPRAS POR DEBAJO DEL UMBRAL</w:t>
            </w:r>
          </w:p>
        </w:tc>
        <w:tc>
          <w:tcPr>
            <w:tcW w:w="3240" w:type="dxa"/>
            <w:tcBorders>
              <w:top w:val="nil"/>
              <w:left w:val="nil"/>
              <w:bottom w:val="single" w:sz="12" w:space="0" w:color="FFFFFF"/>
              <w:right w:val="single" w:sz="12" w:space="0" w:color="FFFFFF"/>
            </w:tcBorders>
            <w:shd w:val="clear" w:color="000000" w:fill="D9D9D9"/>
            <w:noWrap/>
            <w:vAlign w:val="bottom"/>
            <w:hideMark/>
          </w:tcPr>
          <w:p w14:paraId="40F2153E"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2225BEB3" w14:textId="77777777" w:rsidR="00BC27E9" w:rsidRPr="00954407" w:rsidRDefault="00BC27E9" w:rsidP="00220FA8">
            <w:pPr>
              <w:pStyle w:val="EstilodePrrafoNormal1RdeC"/>
              <w:rPr>
                <w:color w:val="002060"/>
                <w:spacing w:val="0"/>
                <w:sz w:val="18"/>
                <w:szCs w:val="18"/>
                <w:lang w:eastAsia="es-DO"/>
              </w:rPr>
            </w:pPr>
          </w:p>
        </w:tc>
      </w:tr>
      <w:tr w:rsidR="00BC27E9" w:rsidRPr="00954407" w14:paraId="5F9B4CDB" w14:textId="77777777" w:rsidTr="00220FA8">
        <w:trPr>
          <w:gridAfter w:val="1"/>
          <w:wAfter w:w="9" w:type="dxa"/>
          <w:trHeight w:val="202"/>
        </w:trPr>
        <w:tc>
          <w:tcPr>
            <w:tcW w:w="228" w:type="dxa"/>
            <w:tcBorders>
              <w:top w:val="nil"/>
              <w:left w:val="nil"/>
              <w:bottom w:val="nil"/>
              <w:right w:val="nil"/>
            </w:tcBorders>
            <w:noWrap/>
            <w:vAlign w:val="bottom"/>
            <w:hideMark/>
          </w:tcPr>
          <w:p w14:paraId="468CD3EC"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23AAD8CE"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COMPRA MENOR</w:t>
            </w:r>
          </w:p>
        </w:tc>
        <w:tc>
          <w:tcPr>
            <w:tcW w:w="3240" w:type="dxa"/>
            <w:tcBorders>
              <w:top w:val="nil"/>
              <w:left w:val="nil"/>
              <w:bottom w:val="single" w:sz="12" w:space="0" w:color="FFFFFF"/>
              <w:right w:val="single" w:sz="12" w:space="0" w:color="FFFFFF"/>
            </w:tcBorders>
            <w:shd w:val="clear" w:color="000000" w:fill="D9D9D9"/>
            <w:noWrap/>
            <w:vAlign w:val="bottom"/>
            <w:hideMark/>
          </w:tcPr>
          <w:p w14:paraId="6C4C2908"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1,997,394.50 </w:t>
            </w:r>
          </w:p>
        </w:tc>
        <w:tc>
          <w:tcPr>
            <w:tcW w:w="236" w:type="dxa"/>
            <w:gridSpan w:val="2"/>
            <w:tcBorders>
              <w:top w:val="nil"/>
              <w:left w:val="nil"/>
              <w:bottom w:val="nil"/>
              <w:right w:val="nil"/>
            </w:tcBorders>
            <w:noWrap/>
            <w:vAlign w:val="bottom"/>
            <w:hideMark/>
          </w:tcPr>
          <w:p w14:paraId="40CEFBB6" w14:textId="77777777" w:rsidR="00BC27E9" w:rsidRPr="00954407" w:rsidRDefault="00BC27E9" w:rsidP="00220FA8">
            <w:pPr>
              <w:pStyle w:val="EstilodePrrafoNormal1RdeC"/>
              <w:rPr>
                <w:color w:val="002060"/>
                <w:spacing w:val="0"/>
                <w:sz w:val="18"/>
                <w:szCs w:val="18"/>
                <w:lang w:eastAsia="es-DO"/>
              </w:rPr>
            </w:pPr>
          </w:p>
        </w:tc>
      </w:tr>
      <w:tr w:rsidR="00BC27E9" w:rsidRPr="00954407" w14:paraId="6276A870" w14:textId="77777777" w:rsidTr="00220FA8">
        <w:trPr>
          <w:gridAfter w:val="1"/>
          <w:wAfter w:w="9" w:type="dxa"/>
          <w:trHeight w:val="202"/>
        </w:trPr>
        <w:tc>
          <w:tcPr>
            <w:tcW w:w="228" w:type="dxa"/>
            <w:tcBorders>
              <w:top w:val="nil"/>
              <w:left w:val="nil"/>
              <w:bottom w:val="nil"/>
              <w:right w:val="nil"/>
            </w:tcBorders>
            <w:noWrap/>
            <w:vAlign w:val="bottom"/>
            <w:hideMark/>
          </w:tcPr>
          <w:p w14:paraId="63E0624C"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3227D74D"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COMPARACIÓN DE PRECIOS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D7B68B5"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13,624,567.27 </w:t>
            </w:r>
          </w:p>
        </w:tc>
        <w:tc>
          <w:tcPr>
            <w:tcW w:w="236" w:type="dxa"/>
            <w:gridSpan w:val="2"/>
            <w:tcBorders>
              <w:top w:val="nil"/>
              <w:left w:val="nil"/>
              <w:bottom w:val="nil"/>
              <w:right w:val="nil"/>
            </w:tcBorders>
            <w:noWrap/>
            <w:vAlign w:val="bottom"/>
            <w:hideMark/>
          </w:tcPr>
          <w:p w14:paraId="426CC963" w14:textId="77777777" w:rsidR="00BC27E9" w:rsidRPr="00954407" w:rsidRDefault="00BC27E9" w:rsidP="00220FA8">
            <w:pPr>
              <w:pStyle w:val="EstilodePrrafoNormal1RdeC"/>
              <w:rPr>
                <w:color w:val="002060"/>
                <w:spacing w:val="0"/>
                <w:sz w:val="18"/>
                <w:szCs w:val="18"/>
                <w:lang w:eastAsia="es-DO"/>
              </w:rPr>
            </w:pPr>
          </w:p>
        </w:tc>
      </w:tr>
      <w:tr w:rsidR="00BC27E9" w:rsidRPr="00954407" w14:paraId="3A238027" w14:textId="77777777" w:rsidTr="00220FA8">
        <w:trPr>
          <w:gridAfter w:val="1"/>
          <w:wAfter w:w="9" w:type="dxa"/>
          <w:trHeight w:val="202"/>
        </w:trPr>
        <w:tc>
          <w:tcPr>
            <w:tcW w:w="228" w:type="dxa"/>
            <w:tcBorders>
              <w:top w:val="nil"/>
              <w:left w:val="nil"/>
              <w:bottom w:val="nil"/>
              <w:right w:val="nil"/>
            </w:tcBorders>
            <w:noWrap/>
            <w:vAlign w:val="bottom"/>
            <w:hideMark/>
          </w:tcPr>
          <w:p w14:paraId="7D28C9D8"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20D458A9"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LICITACIÓN PÚBLICA</w:t>
            </w:r>
          </w:p>
        </w:tc>
        <w:tc>
          <w:tcPr>
            <w:tcW w:w="3240" w:type="dxa"/>
            <w:tcBorders>
              <w:top w:val="nil"/>
              <w:left w:val="nil"/>
              <w:bottom w:val="single" w:sz="12" w:space="0" w:color="FFFFFF"/>
              <w:right w:val="single" w:sz="12" w:space="0" w:color="FFFFFF"/>
            </w:tcBorders>
            <w:shd w:val="clear" w:color="000000" w:fill="D9D9D9"/>
            <w:noWrap/>
            <w:vAlign w:val="bottom"/>
            <w:hideMark/>
          </w:tcPr>
          <w:p w14:paraId="0D5A022C"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 RD$                   148,565,076.00 </w:t>
            </w:r>
          </w:p>
        </w:tc>
        <w:tc>
          <w:tcPr>
            <w:tcW w:w="236" w:type="dxa"/>
            <w:gridSpan w:val="2"/>
            <w:tcBorders>
              <w:top w:val="nil"/>
              <w:left w:val="nil"/>
              <w:bottom w:val="nil"/>
              <w:right w:val="nil"/>
            </w:tcBorders>
            <w:noWrap/>
            <w:vAlign w:val="bottom"/>
            <w:hideMark/>
          </w:tcPr>
          <w:p w14:paraId="5111FCFE" w14:textId="77777777" w:rsidR="00BC27E9" w:rsidRPr="00954407" w:rsidRDefault="00BC27E9" w:rsidP="00220FA8">
            <w:pPr>
              <w:pStyle w:val="EstilodePrrafoNormal1RdeC"/>
              <w:rPr>
                <w:color w:val="002060"/>
                <w:spacing w:val="0"/>
                <w:sz w:val="18"/>
                <w:szCs w:val="18"/>
                <w:lang w:eastAsia="es-DO"/>
              </w:rPr>
            </w:pPr>
          </w:p>
        </w:tc>
      </w:tr>
      <w:tr w:rsidR="00BC27E9" w:rsidRPr="00954407" w14:paraId="33710935" w14:textId="77777777" w:rsidTr="00220FA8">
        <w:trPr>
          <w:gridAfter w:val="1"/>
          <w:wAfter w:w="9" w:type="dxa"/>
          <w:trHeight w:val="202"/>
        </w:trPr>
        <w:tc>
          <w:tcPr>
            <w:tcW w:w="228" w:type="dxa"/>
            <w:tcBorders>
              <w:top w:val="nil"/>
              <w:left w:val="nil"/>
              <w:bottom w:val="nil"/>
              <w:right w:val="nil"/>
            </w:tcBorders>
            <w:noWrap/>
            <w:vAlign w:val="bottom"/>
            <w:hideMark/>
          </w:tcPr>
          <w:p w14:paraId="7EF836E0"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35E1FFF"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LICITACIÓN PÚBLICA INTERNACIONAL</w:t>
            </w:r>
          </w:p>
        </w:tc>
        <w:tc>
          <w:tcPr>
            <w:tcW w:w="3240" w:type="dxa"/>
            <w:tcBorders>
              <w:top w:val="nil"/>
              <w:left w:val="nil"/>
              <w:bottom w:val="single" w:sz="12" w:space="0" w:color="FFFFFF"/>
              <w:right w:val="single" w:sz="12" w:space="0" w:color="FFFFFF"/>
            </w:tcBorders>
            <w:shd w:val="clear" w:color="000000" w:fill="D9D9D9"/>
            <w:noWrap/>
            <w:vAlign w:val="bottom"/>
            <w:hideMark/>
          </w:tcPr>
          <w:p w14:paraId="1CFE2D6A"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5E2102B0" w14:textId="77777777" w:rsidR="00BC27E9" w:rsidRPr="00954407" w:rsidRDefault="00BC27E9" w:rsidP="00220FA8">
            <w:pPr>
              <w:pStyle w:val="EstilodePrrafoNormal1RdeC"/>
              <w:rPr>
                <w:color w:val="002060"/>
                <w:spacing w:val="0"/>
                <w:sz w:val="18"/>
                <w:szCs w:val="18"/>
                <w:lang w:eastAsia="es-DO"/>
              </w:rPr>
            </w:pPr>
          </w:p>
        </w:tc>
      </w:tr>
      <w:tr w:rsidR="00BC27E9" w:rsidRPr="00954407" w14:paraId="0A74877B" w14:textId="77777777" w:rsidTr="00220FA8">
        <w:trPr>
          <w:gridAfter w:val="1"/>
          <w:wAfter w:w="9" w:type="dxa"/>
          <w:trHeight w:val="202"/>
        </w:trPr>
        <w:tc>
          <w:tcPr>
            <w:tcW w:w="228" w:type="dxa"/>
            <w:tcBorders>
              <w:top w:val="nil"/>
              <w:left w:val="nil"/>
              <w:bottom w:val="nil"/>
              <w:right w:val="nil"/>
            </w:tcBorders>
            <w:noWrap/>
            <w:vAlign w:val="bottom"/>
            <w:hideMark/>
          </w:tcPr>
          <w:p w14:paraId="127B05FB"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14A12BDA"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LICITACIÓN RESTRINGIDA</w:t>
            </w:r>
          </w:p>
        </w:tc>
        <w:tc>
          <w:tcPr>
            <w:tcW w:w="3240" w:type="dxa"/>
            <w:tcBorders>
              <w:top w:val="nil"/>
              <w:left w:val="nil"/>
              <w:bottom w:val="single" w:sz="12" w:space="0" w:color="FFFFFF"/>
              <w:right w:val="single" w:sz="12" w:space="0" w:color="FFFFFF"/>
            </w:tcBorders>
            <w:shd w:val="clear" w:color="000000" w:fill="D9D9D9"/>
            <w:noWrap/>
            <w:vAlign w:val="bottom"/>
            <w:hideMark/>
          </w:tcPr>
          <w:p w14:paraId="061C107B"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7DB100B1" w14:textId="77777777" w:rsidR="00BC27E9" w:rsidRPr="00954407" w:rsidRDefault="00BC27E9" w:rsidP="00220FA8">
            <w:pPr>
              <w:pStyle w:val="EstilodePrrafoNormal1RdeC"/>
              <w:rPr>
                <w:color w:val="002060"/>
                <w:spacing w:val="0"/>
                <w:sz w:val="18"/>
                <w:szCs w:val="18"/>
                <w:lang w:eastAsia="es-DO"/>
              </w:rPr>
            </w:pPr>
          </w:p>
        </w:tc>
      </w:tr>
      <w:tr w:rsidR="00BC27E9" w:rsidRPr="00954407" w14:paraId="77E29C36" w14:textId="77777777" w:rsidTr="00220FA8">
        <w:trPr>
          <w:gridAfter w:val="1"/>
          <w:wAfter w:w="9" w:type="dxa"/>
          <w:trHeight w:val="202"/>
        </w:trPr>
        <w:tc>
          <w:tcPr>
            <w:tcW w:w="228" w:type="dxa"/>
            <w:tcBorders>
              <w:top w:val="nil"/>
              <w:left w:val="nil"/>
              <w:bottom w:val="nil"/>
              <w:right w:val="nil"/>
            </w:tcBorders>
            <w:noWrap/>
            <w:vAlign w:val="bottom"/>
            <w:hideMark/>
          </w:tcPr>
          <w:p w14:paraId="337E32DB"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0B71C5BE"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SORTEO DE OBRAS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6BBB6C2"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0A5EF4D1" w14:textId="77777777" w:rsidR="00BC27E9" w:rsidRPr="00954407" w:rsidRDefault="00BC27E9" w:rsidP="00220FA8">
            <w:pPr>
              <w:pStyle w:val="EstilodePrrafoNormal1RdeC"/>
              <w:rPr>
                <w:color w:val="002060"/>
                <w:spacing w:val="0"/>
                <w:sz w:val="18"/>
                <w:szCs w:val="18"/>
                <w:lang w:eastAsia="es-DO"/>
              </w:rPr>
            </w:pPr>
          </w:p>
        </w:tc>
      </w:tr>
      <w:tr w:rsidR="00BC27E9" w:rsidRPr="00954407" w14:paraId="59E70E4E" w14:textId="77777777" w:rsidTr="00220FA8">
        <w:trPr>
          <w:gridAfter w:val="1"/>
          <w:wAfter w:w="9" w:type="dxa"/>
          <w:trHeight w:val="202"/>
        </w:trPr>
        <w:tc>
          <w:tcPr>
            <w:tcW w:w="228" w:type="dxa"/>
            <w:tcBorders>
              <w:top w:val="nil"/>
              <w:left w:val="nil"/>
              <w:bottom w:val="nil"/>
              <w:right w:val="nil"/>
            </w:tcBorders>
            <w:noWrap/>
            <w:vAlign w:val="bottom"/>
            <w:hideMark/>
          </w:tcPr>
          <w:p w14:paraId="4B8FBCDA"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644CCD23"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EXCEPCIÓN - BIENES O SERVICIOS CON EXCLUSIVIDAD </w:t>
            </w:r>
          </w:p>
        </w:tc>
        <w:tc>
          <w:tcPr>
            <w:tcW w:w="3240" w:type="dxa"/>
            <w:tcBorders>
              <w:top w:val="nil"/>
              <w:left w:val="nil"/>
              <w:bottom w:val="single" w:sz="12" w:space="0" w:color="FFFFFF"/>
              <w:right w:val="single" w:sz="12" w:space="0" w:color="FFFFFF"/>
            </w:tcBorders>
            <w:shd w:val="clear" w:color="000000" w:fill="D9D9D9"/>
            <w:noWrap/>
            <w:vAlign w:val="bottom"/>
            <w:hideMark/>
          </w:tcPr>
          <w:p w14:paraId="71669EAA"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08E1CFA1" w14:textId="77777777" w:rsidR="00BC27E9" w:rsidRPr="00954407" w:rsidRDefault="00BC27E9" w:rsidP="00220FA8">
            <w:pPr>
              <w:pStyle w:val="EstilodePrrafoNormal1RdeC"/>
              <w:rPr>
                <w:color w:val="002060"/>
                <w:spacing w:val="0"/>
                <w:sz w:val="18"/>
                <w:szCs w:val="18"/>
                <w:lang w:eastAsia="es-DO"/>
              </w:rPr>
            </w:pPr>
          </w:p>
        </w:tc>
      </w:tr>
      <w:tr w:rsidR="00BC27E9" w:rsidRPr="00954407" w14:paraId="6B626880" w14:textId="77777777" w:rsidTr="00220FA8">
        <w:trPr>
          <w:gridAfter w:val="1"/>
          <w:wAfter w:w="9" w:type="dxa"/>
          <w:trHeight w:val="405"/>
        </w:trPr>
        <w:tc>
          <w:tcPr>
            <w:tcW w:w="228" w:type="dxa"/>
            <w:tcBorders>
              <w:top w:val="nil"/>
              <w:left w:val="nil"/>
              <w:bottom w:val="nil"/>
              <w:right w:val="nil"/>
            </w:tcBorders>
            <w:noWrap/>
            <w:vAlign w:val="bottom"/>
            <w:hideMark/>
          </w:tcPr>
          <w:p w14:paraId="101CB6BB"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389AE918"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EXCEPCIÓN - CONSTRUCCIÓN, INSTALACIÓN O ADQUISICIÓN DE OFICINAS PARA EL SERVICIO </w:t>
            </w:r>
            <w:r w:rsidRPr="00954407">
              <w:rPr>
                <w:color w:val="002060"/>
                <w:spacing w:val="0"/>
                <w:sz w:val="18"/>
                <w:szCs w:val="18"/>
                <w:lang w:eastAsia="es-DO"/>
              </w:rPr>
              <w:lastRenderedPageBreak/>
              <w:t>EXTERIOR</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9ED0A4C"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lastRenderedPageBreak/>
              <w:t xml:space="preserve">RD$                                -  </w:t>
            </w:r>
          </w:p>
        </w:tc>
        <w:tc>
          <w:tcPr>
            <w:tcW w:w="236" w:type="dxa"/>
            <w:gridSpan w:val="2"/>
            <w:tcBorders>
              <w:top w:val="nil"/>
              <w:left w:val="nil"/>
              <w:bottom w:val="nil"/>
              <w:right w:val="nil"/>
            </w:tcBorders>
            <w:noWrap/>
            <w:vAlign w:val="bottom"/>
            <w:hideMark/>
          </w:tcPr>
          <w:p w14:paraId="05B0D184" w14:textId="77777777" w:rsidR="00BC27E9" w:rsidRPr="00954407" w:rsidRDefault="00BC27E9" w:rsidP="00220FA8">
            <w:pPr>
              <w:pStyle w:val="EstilodePrrafoNormal1RdeC"/>
              <w:rPr>
                <w:color w:val="002060"/>
                <w:spacing w:val="0"/>
                <w:sz w:val="18"/>
                <w:szCs w:val="18"/>
                <w:lang w:eastAsia="es-DO"/>
              </w:rPr>
            </w:pPr>
          </w:p>
        </w:tc>
      </w:tr>
      <w:tr w:rsidR="00BC27E9" w:rsidRPr="00954407" w14:paraId="409DFDF3" w14:textId="77777777" w:rsidTr="00220FA8">
        <w:trPr>
          <w:gridAfter w:val="1"/>
          <w:wAfter w:w="9" w:type="dxa"/>
          <w:trHeight w:val="405"/>
        </w:trPr>
        <w:tc>
          <w:tcPr>
            <w:tcW w:w="228" w:type="dxa"/>
            <w:tcBorders>
              <w:top w:val="nil"/>
              <w:left w:val="nil"/>
              <w:bottom w:val="nil"/>
              <w:right w:val="nil"/>
            </w:tcBorders>
            <w:noWrap/>
            <w:vAlign w:val="bottom"/>
            <w:hideMark/>
          </w:tcPr>
          <w:p w14:paraId="394FF581"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4B8A2B35"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EXCEPCIÓN - CONTRATACIÓN DE PUBLICIDAD A TRAVÉS DE MEDIOS DE COMUNICACIÓN SOCIAL</w:t>
            </w:r>
          </w:p>
        </w:tc>
        <w:tc>
          <w:tcPr>
            <w:tcW w:w="3240" w:type="dxa"/>
            <w:tcBorders>
              <w:top w:val="nil"/>
              <w:left w:val="nil"/>
              <w:bottom w:val="single" w:sz="12" w:space="0" w:color="FFFFFF"/>
              <w:right w:val="single" w:sz="12" w:space="0" w:color="FFFFFF"/>
            </w:tcBorders>
            <w:shd w:val="clear" w:color="000000" w:fill="D9D9D9"/>
            <w:noWrap/>
            <w:vAlign w:val="bottom"/>
            <w:hideMark/>
          </w:tcPr>
          <w:p w14:paraId="0EA865D3"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6D5713C2" w14:textId="77777777" w:rsidR="00BC27E9" w:rsidRPr="00954407" w:rsidRDefault="00BC27E9" w:rsidP="00220FA8">
            <w:pPr>
              <w:pStyle w:val="EstilodePrrafoNormal1RdeC"/>
              <w:rPr>
                <w:color w:val="002060"/>
                <w:spacing w:val="0"/>
                <w:sz w:val="18"/>
                <w:szCs w:val="18"/>
                <w:lang w:eastAsia="es-DO"/>
              </w:rPr>
            </w:pPr>
          </w:p>
        </w:tc>
      </w:tr>
      <w:tr w:rsidR="00BC27E9" w:rsidRPr="00954407" w14:paraId="3403A8A1" w14:textId="77777777" w:rsidTr="00220FA8">
        <w:trPr>
          <w:gridAfter w:val="1"/>
          <w:wAfter w:w="9" w:type="dxa"/>
          <w:trHeight w:val="405"/>
        </w:trPr>
        <w:tc>
          <w:tcPr>
            <w:tcW w:w="228" w:type="dxa"/>
            <w:tcBorders>
              <w:top w:val="nil"/>
              <w:left w:val="nil"/>
              <w:bottom w:val="nil"/>
              <w:right w:val="nil"/>
            </w:tcBorders>
            <w:noWrap/>
            <w:vAlign w:val="bottom"/>
            <w:hideMark/>
          </w:tcPr>
          <w:p w14:paraId="08243284"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6FB2A042"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EXCEPCIÓN - OBRAS CIENTÍFICAS, TÉCNICAS, ARTÍSTICAS, O RESTAURACIÓN DE MONUMENTOS HISTÓRICOS</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2BAE78F"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47521BDC" w14:textId="77777777" w:rsidR="00BC27E9" w:rsidRPr="00954407" w:rsidRDefault="00BC27E9" w:rsidP="00220FA8">
            <w:pPr>
              <w:pStyle w:val="EstilodePrrafoNormal1RdeC"/>
              <w:rPr>
                <w:color w:val="002060"/>
                <w:spacing w:val="0"/>
                <w:sz w:val="18"/>
                <w:szCs w:val="18"/>
                <w:lang w:eastAsia="es-DO"/>
              </w:rPr>
            </w:pPr>
          </w:p>
        </w:tc>
      </w:tr>
      <w:tr w:rsidR="00BC27E9" w:rsidRPr="00954407" w14:paraId="28426EB6" w14:textId="77777777" w:rsidTr="00220FA8">
        <w:trPr>
          <w:gridAfter w:val="1"/>
          <w:wAfter w:w="9" w:type="dxa"/>
          <w:trHeight w:val="202"/>
        </w:trPr>
        <w:tc>
          <w:tcPr>
            <w:tcW w:w="228" w:type="dxa"/>
            <w:tcBorders>
              <w:top w:val="nil"/>
              <w:left w:val="nil"/>
              <w:bottom w:val="nil"/>
              <w:right w:val="nil"/>
            </w:tcBorders>
            <w:noWrap/>
            <w:vAlign w:val="bottom"/>
            <w:hideMark/>
          </w:tcPr>
          <w:p w14:paraId="0B68FCF0"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5BC2B7F"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EXCEPCIÓN - PROVEEDOR ÚNICO</w:t>
            </w:r>
          </w:p>
        </w:tc>
        <w:tc>
          <w:tcPr>
            <w:tcW w:w="3240" w:type="dxa"/>
            <w:tcBorders>
              <w:top w:val="nil"/>
              <w:left w:val="nil"/>
              <w:bottom w:val="single" w:sz="12" w:space="0" w:color="FFFFFF"/>
              <w:right w:val="single" w:sz="12" w:space="0" w:color="FFFFFF"/>
            </w:tcBorders>
            <w:shd w:val="clear" w:color="000000" w:fill="D9D9D9"/>
            <w:noWrap/>
            <w:vAlign w:val="bottom"/>
            <w:hideMark/>
          </w:tcPr>
          <w:p w14:paraId="2EDD9CB3"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06D158A5" w14:textId="77777777" w:rsidR="00BC27E9" w:rsidRPr="00954407" w:rsidRDefault="00BC27E9" w:rsidP="00220FA8">
            <w:pPr>
              <w:pStyle w:val="EstilodePrrafoNormal1RdeC"/>
              <w:rPr>
                <w:color w:val="002060"/>
                <w:spacing w:val="0"/>
                <w:sz w:val="18"/>
                <w:szCs w:val="18"/>
                <w:lang w:eastAsia="es-DO"/>
              </w:rPr>
            </w:pPr>
          </w:p>
        </w:tc>
      </w:tr>
      <w:tr w:rsidR="00BC27E9" w:rsidRPr="00954407" w14:paraId="1090D577" w14:textId="77777777" w:rsidTr="00220FA8">
        <w:trPr>
          <w:gridAfter w:val="1"/>
          <w:wAfter w:w="9" w:type="dxa"/>
          <w:trHeight w:val="405"/>
        </w:trPr>
        <w:tc>
          <w:tcPr>
            <w:tcW w:w="228" w:type="dxa"/>
            <w:tcBorders>
              <w:top w:val="nil"/>
              <w:left w:val="nil"/>
              <w:bottom w:val="nil"/>
              <w:right w:val="nil"/>
            </w:tcBorders>
            <w:noWrap/>
            <w:vAlign w:val="bottom"/>
            <w:hideMark/>
          </w:tcPr>
          <w:p w14:paraId="179DFB82"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22C67754"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EXCEPCIÓN - RESCISIÓN DE CONTRATOS CUYA TERMINACIÓN NO EXCEDA EL 40% DEL MONTO TOTAL DEL PROYECTO, OBRA O SERVICIO</w:t>
            </w:r>
          </w:p>
        </w:tc>
        <w:tc>
          <w:tcPr>
            <w:tcW w:w="3240" w:type="dxa"/>
            <w:tcBorders>
              <w:top w:val="nil"/>
              <w:left w:val="nil"/>
              <w:bottom w:val="single" w:sz="12" w:space="0" w:color="FFFFFF"/>
              <w:right w:val="single" w:sz="12" w:space="0" w:color="FFFFFF"/>
            </w:tcBorders>
            <w:shd w:val="clear" w:color="000000" w:fill="D9D9D9"/>
            <w:noWrap/>
            <w:vAlign w:val="bottom"/>
            <w:hideMark/>
          </w:tcPr>
          <w:p w14:paraId="32DCA7D6"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561F79CF" w14:textId="77777777" w:rsidR="00BC27E9" w:rsidRPr="00954407" w:rsidRDefault="00BC27E9" w:rsidP="00220FA8">
            <w:pPr>
              <w:pStyle w:val="EstilodePrrafoNormal1RdeC"/>
              <w:rPr>
                <w:color w:val="002060"/>
                <w:spacing w:val="0"/>
                <w:sz w:val="18"/>
                <w:szCs w:val="18"/>
                <w:lang w:eastAsia="es-DO"/>
              </w:rPr>
            </w:pPr>
          </w:p>
        </w:tc>
      </w:tr>
      <w:tr w:rsidR="00BC27E9" w:rsidRPr="00954407" w14:paraId="178A917D" w14:textId="77777777" w:rsidTr="00220FA8">
        <w:trPr>
          <w:gridAfter w:val="1"/>
          <w:wAfter w:w="9" w:type="dxa"/>
          <w:trHeight w:val="405"/>
        </w:trPr>
        <w:tc>
          <w:tcPr>
            <w:tcW w:w="228" w:type="dxa"/>
            <w:tcBorders>
              <w:top w:val="nil"/>
              <w:left w:val="nil"/>
              <w:bottom w:val="nil"/>
              <w:right w:val="nil"/>
            </w:tcBorders>
            <w:noWrap/>
            <w:vAlign w:val="bottom"/>
            <w:hideMark/>
          </w:tcPr>
          <w:p w14:paraId="1F59F2DA"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single" w:sz="12" w:space="0" w:color="FFFFFF"/>
              <w:bottom w:val="single" w:sz="12" w:space="0" w:color="FFFFFF"/>
              <w:right w:val="single" w:sz="12" w:space="0" w:color="FFFFFF"/>
            </w:tcBorders>
            <w:shd w:val="clear" w:color="000000" w:fill="D9D9D9"/>
            <w:vAlign w:val="center"/>
            <w:hideMark/>
          </w:tcPr>
          <w:p w14:paraId="58C646A6"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EXCEPCIÓN - RESOLUCIÓN 15-08 SOBRE COMPRA Y CONTRATACIÓN DE PASAJE AÉREO, COMBUSTIBLE Y REPARACIÓN DE VEHÍCULOS DE MOTOR</w:t>
            </w:r>
          </w:p>
        </w:tc>
        <w:tc>
          <w:tcPr>
            <w:tcW w:w="3240" w:type="dxa"/>
            <w:tcBorders>
              <w:top w:val="nil"/>
              <w:left w:val="nil"/>
              <w:bottom w:val="single" w:sz="12" w:space="0" w:color="FFFFFF"/>
              <w:right w:val="single" w:sz="12" w:space="0" w:color="FFFFFF"/>
            </w:tcBorders>
            <w:shd w:val="clear" w:color="000000" w:fill="D9D9D9"/>
            <w:noWrap/>
            <w:vAlign w:val="bottom"/>
            <w:hideMark/>
          </w:tcPr>
          <w:p w14:paraId="499123A6" w14:textId="77777777" w:rsidR="00BC27E9" w:rsidRPr="00954407" w:rsidRDefault="00BC27E9" w:rsidP="00220FA8">
            <w:pPr>
              <w:pStyle w:val="EstilodePrrafoNormal1RdeC"/>
              <w:rPr>
                <w:color w:val="002060"/>
                <w:spacing w:val="0"/>
                <w:sz w:val="18"/>
                <w:szCs w:val="18"/>
                <w:lang w:eastAsia="es-DO"/>
              </w:rPr>
            </w:pPr>
            <w:r w:rsidRPr="00954407">
              <w:rPr>
                <w:color w:val="002060"/>
                <w:spacing w:val="0"/>
                <w:sz w:val="18"/>
                <w:szCs w:val="18"/>
                <w:lang w:eastAsia="es-DO"/>
              </w:rPr>
              <w:t xml:space="preserve">RD$                                -  </w:t>
            </w:r>
          </w:p>
        </w:tc>
        <w:tc>
          <w:tcPr>
            <w:tcW w:w="236" w:type="dxa"/>
            <w:gridSpan w:val="2"/>
            <w:tcBorders>
              <w:top w:val="nil"/>
              <w:left w:val="nil"/>
              <w:bottom w:val="nil"/>
              <w:right w:val="nil"/>
            </w:tcBorders>
            <w:noWrap/>
            <w:vAlign w:val="bottom"/>
            <w:hideMark/>
          </w:tcPr>
          <w:p w14:paraId="60116CDF" w14:textId="77777777" w:rsidR="00BC27E9" w:rsidRPr="00954407" w:rsidRDefault="00BC27E9" w:rsidP="00220FA8">
            <w:pPr>
              <w:pStyle w:val="EstilodePrrafoNormal1RdeC"/>
              <w:rPr>
                <w:color w:val="002060"/>
                <w:spacing w:val="0"/>
                <w:sz w:val="18"/>
                <w:szCs w:val="18"/>
                <w:lang w:eastAsia="es-DO"/>
              </w:rPr>
            </w:pPr>
          </w:p>
        </w:tc>
      </w:tr>
      <w:tr w:rsidR="00BC27E9" w:rsidRPr="00954407" w14:paraId="160F5C0F" w14:textId="77777777" w:rsidTr="00220FA8">
        <w:trPr>
          <w:gridAfter w:val="1"/>
          <w:wAfter w:w="9" w:type="dxa"/>
          <w:trHeight w:val="202"/>
        </w:trPr>
        <w:tc>
          <w:tcPr>
            <w:tcW w:w="228" w:type="dxa"/>
            <w:tcBorders>
              <w:top w:val="nil"/>
              <w:left w:val="nil"/>
              <w:bottom w:val="nil"/>
              <w:right w:val="nil"/>
            </w:tcBorders>
            <w:noWrap/>
            <w:vAlign w:val="bottom"/>
            <w:hideMark/>
          </w:tcPr>
          <w:p w14:paraId="39FC2028" w14:textId="77777777" w:rsidR="00BC27E9" w:rsidRPr="00954407" w:rsidRDefault="00BC27E9" w:rsidP="00220FA8">
            <w:pPr>
              <w:pStyle w:val="EstilodePrrafoNormal1RdeC"/>
              <w:rPr>
                <w:color w:val="auto"/>
                <w:spacing w:val="0"/>
                <w:sz w:val="18"/>
                <w:szCs w:val="18"/>
                <w:lang w:eastAsia="es-DO"/>
              </w:rPr>
            </w:pPr>
          </w:p>
        </w:tc>
        <w:tc>
          <w:tcPr>
            <w:tcW w:w="4902" w:type="dxa"/>
            <w:tcBorders>
              <w:top w:val="nil"/>
              <w:left w:val="nil"/>
              <w:bottom w:val="nil"/>
              <w:right w:val="nil"/>
            </w:tcBorders>
            <w:vAlign w:val="bottom"/>
            <w:hideMark/>
          </w:tcPr>
          <w:p w14:paraId="186A7DC5" w14:textId="77777777" w:rsidR="00BC27E9" w:rsidRPr="00954407" w:rsidRDefault="00BC27E9" w:rsidP="00220FA8">
            <w:pPr>
              <w:pStyle w:val="EstilodePrrafoNormal1RdeC"/>
              <w:rPr>
                <w:color w:val="auto"/>
                <w:spacing w:val="0"/>
                <w:sz w:val="18"/>
                <w:szCs w:val="18"/>
                <w:lang w:eastAsia="es-DO"/>
              </w:rPr>
            </w:pPr>
          </w:p>
        </w:tc>
        <w:tc>
          <w:tcPr>
            <w:tcW w:w="3240" w:type="dxa"/>
            <w:tcBorders>
              <w:top w:val="nil"/>
              <w:left w:val="nil"/>
              <w:bottom w:val="nil"/>
              <w:right w:val="nil"/>
            </w:tcBorders>
            <w:noWrap/>
            <w:vAlign w:val="bottom"/>
            <w:hideMark/>
          </w:tcPr>
          <w:p w14:paraId="48679CDF" w14:textId="77777777" w:rsidR="00BC27E9" w:rsidRPr="00954407" w:rsidRDefault="00BC27E9" w:rsidP="00220FA8">
            <w:pPr>
              <w:pStyle w:val="EstilodePrrafoNormal1RdeC"/>
              <w:rPr>
                <w:color w:val="auto"/>
                <w:spacing w:val="0"/>
                <w:sz w:val="18"/>
                <w:szCs w:val="18"/>
                <w:lang w:eastAsia="es-DO"/>
              </w:rPr>
            </w:pPr>
          </w:p>
        </w:tc>
        <w:tc>
          <w:tcPr>
            <w:tcW w:w="236" w:type="dxa"/>
            <w:gridSpan w:val="2"/>
            <w:tcBorders>
              <w:top w:val="nil"/>
              <w:left w:val="nil"/>
              <w:bottom w:val="nil"/>
              <w:right w:val="nil"/>
            </w:tcBorders>
            <w:noWrap/>
            <w:vAlign w:val="bottom"/>
            <w:hideMark/>
          </w:tcPr>
          <w:p w14:paraId="49F9FA97" w14:textId="77777777" w:rsidR="00BC27E9" w:rsidRPr="00954407" w:rsidRDefault="00BC27E9" w:rsidP="00220FA8">
            <w:pPr>
              <w:pStyle w:val="EstilodePrrafoNormal1RdeC"/>
              <w:rPr>
                <w:color w:val="auto"/>
                <w:spacing w:val="0"/>
                <w:sz w:val="18"/>
                <w:szCs w:val="18"/>
                <w:lang w:eastAsia="es-DO"/>
              </w:rPr>
            </w:pPr>
          </w:p>
        </w:tc>
      </w:tr>
    </w:tbl>
    <w:p w14:paraId="74A7FA37" w14:textId="77777777" w:rsidR="00BC27E9" w:rsidRPr="00954407" w:rsidRDefault="00BC27E9" w:rsidP="00BC27E9">
      <w:pPr>
        <w:pStyle w:val="EstilodePrrafoNormal1RdeC"/>
      </w:pPr>
    </w:p>
    <w:p w14:paraId="6B3704A4" w14:textId="77777777" w:rsidR="00BC27E9" w:rsidRPr="00954407" w:rsidRDefault="00BC27E9" w:rsidP="00BC27E9">
      <w:pPr>
        <w:pStyle w:val="EstilodePrrafoNormal1RdeC"/>
        <w:rPr>
          <w:sz w:val="10"/>
        </w:rPr>
        <w:sectPr w:rsidR="00BC27E9" w:rsidRPr="00954407" w:rsidSect="00BC27E9">
          <w:footerReference w:type="default" r:id="rId64"/>
          <w:pgSz w:w="12240" w:h="15840" w:code="1"/>
          <w:pgMar w:top="1440" w:right="2160" w:bottom="1699" w:left="2160" w:header="706" w:footer="176" w:gutter="0"/>
          <w:pgNumType w:start="2"/>
          <w:cols w:space="708"/>
          <w:docGrid w:linePitch="360"/>
        </w:sectPr>
      </w:pPr>
      <w:r w:rsidRPr="00954407">
        <w:rPr>
          <w:sz w:val="10"/>
        </w:rPr>
        <w:br w:type="page"/>
      </w:r>
    </w:p>
    <w:p w14:paraId="38BA00BD" w14:textId="0267A95A" w:rsidR="00BC27E9" w:rsidRPr="00713E3F" w:rsidRDefault="00BC27E9" w:rsidP="00713E3F">
      <w:pPr>
        <w:pStyle w:val="Heading2"/>
        <w:rPr>
          <w:rFonts w:ascii="Times New Roman" w:hAnsi="Times New Roman" w:cs="Times New Roman"/>
          <w:b/>
          <w:bCs/>
          <w:color w:val="767171"/>
          <w:sz w:val="24"/>
          <w:szCs w:val="24"/>
        </w:rPr>
      </w:pPr>
      <w:bookmarkStart w:id="262" w:name="_Toc186924397"/>
      <w:bookmarkStart w:id="263" w:name="_Toc217402175"/>
      <w:r w:rsidRPr="00713E3F">
        <w:rPr>
          <w:rFonts w:ascii="Times New Roman" w:hAnsi="Times New Roman" w:cs="Times New Roman"/>
          <w:b/>
          <w:bCs/>
          <w:color w:val="767171"/>
          <w:sz w:val="24"/>
          <w:szCs w:val="24"/>
        </w:rPr>
        <w:lastRenderedPageBreak/>
        <w:t>Matriz Logros Relevantes MOPC - Datos Cuantitativos (enero - diciembre 2025)</w:t>
      </w:r>
      <w:bookmarkStart w:id="264" w:name="_Toc78583680"/>
      <w:bookmarkEnd w:id="262"/>
      <w:bookmarkEnd w:id="263"/>
    </w:p>
    <w:p w14:paraId="52BB218F" w14:textId="77777777" w:rsidR="00BC27E9" w:rsidRPr="00954407" w:rsidRDefault="00BC27E9" w:rsidP="00BC27E9">
      <w:pPr>
        <w:pStyle w:val="EstilodePrrafoNormal1RdeC"/>
      </w:pPr>
      <w:r w:rsidRPr="00954407">
        <w:rPr>
          <w:noProof/>
          <w:lang w:eastAsia="es-DO"/>
        </w:rPr>
        <w:drawing>
          <wp:inline distT="0" distB="0" distL="0" distR="0" wp14:anchorId="195ED970" wp14:editId="66C85655">
            <wp:extent cx="7219950" cy="549430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5">
                      <a:extLst>
                        <a:ext uri="{28A0092B-C50C-407E-A947-70E740481C1C}">
                          <a14:useLocalDpi xmlns:a14="http://schemas.microsoft.com/office/drawing/2010/main" val="0"/>
                        </a:ext>
                      </a:extLst>
                    </a:blip>
                    <a:srcRect t="8087" b="8346"/>
                    <a:stretch/>
                  </pic:blipFill>
                  <pic:spPr bwMode="auto">
                    <a:xfrm>
                      <a:off x="0" y="0"/>
                      <a:ext cx="7252384" cy="5518987"/>
                    </a:xfrm>
                    <a:prstGeom prst="rect">
                      <a:avLst/>
                    </a:prstGeom>
                    <a:noFill/>
                    <a:ln>
                      <a:noFill/>
                    </a:ln>
                    <a:extLst>
                      <a:ext uri="{53640926-AAD7-44D8-BBD7-CCE9431645EC}">
                        <a14:shadowObscured xmlns:a14="http://schemas.microsoft.com/office/drawing/2010/main"/>
                      </a:ext>
                    </a:extLst>
                  </pic:spPr>
                </pic:pic>
              </a:graphicData>
            </a:graphic>
          </wp:inline>
        </w:drawing>
      </w:r>
    </w:p>
    <w:p w14:paraId="70034F0D" w14:textId="77777777" w:rsidR="00BC27E9" w:rsidRPr="00954407" w:rsidRDefault="00BC27E9" w:rsidP="00BC27E9">
      <w:pPr>
        <w:pStyle w:val="EstilodePrrafoNormal1RdeC"/>
        <w:rPr>
          <w:rFonts w:eastAsiaTheme="majorEastAsia"/>
          <w:spacing w:val="20"/>
          <w:kern w:val="38"/>
        </w:rPr>
      </w:pPr>
      <w:r w:rsidRPr="00954407">
        <w:rPr>
          <w:rFonts w:eastAsiaTheme="majorEastAsia"/>
          <w:spacing w:val="20"/>
          <w:kern w:val="38"/>
        </w:rPr>
        <w:br w:type="page"/>
      </w:r>
    </w:p>
    <w:p w14:paraId="49FC9956" w14:textId="0C85A7D8" w:rsidR="00BC27E9" w:rsidRPr="00713E3F" w:rsidRDefault="00BC27E9" w:rsidP="00713E3F">
      <w:pPr>
        <w:pStyle w:val="Heading2"/>
        <w:rPr>
          <w:rFonts w:ascii="Times New Roman" w:hAnsi="Times New Roman" w:cs="Times New Roman"/>
          <w:b/>
          <w:bCs/>
          <w:color w:val="767171"/>
          <w:sz w:val="24"/>
          <w:szCs w:val="24"/>
        </w:rPr>
      </w:pPr>
      <w:bookmarkStart w:id="265" w:name="_Toc186924398"/>
      <w:bookmarkStart w:id="266" w:name="_Toc217402176"/>
      <w:r w:rsidRPr="00713E3F">
        <w:rPr>
          <w:rFonts w:ascii="Times New Roman" w:hAnsi="Times New Roman" w:cs="Times New Roman"/>
          <w:b/>
          <w:bCs/>
          <w:color w:val="767171"/>
          <w:sz w:val="24"/>
          <w:szCs w:val="24"/>
        </w:rPr>
        <w:lastRenderedPageBreak/>
        <w:t>Matriz de principales indicadores de gestión</w:t>
      </w:r>
      <w:bookmarkEnd w:id="264"/>
      <w:r w:rsidRPr="00713E3F">
        <w:rPr>
          <w:rFonts w:ascii="Times New Roman" w:hAnsi="Times New Roman" w:cs="Times New Roman"/>
          <w:b/>
          <w:bCs/>
          <w:color w:val="767171"/>
          <w:sz w:val="24"/>
          <w:szCs w:val="24"/>
        </w:rPr>
        <w:t xml:space="preserve"> por procesos</w:t>
      </w:r>
      <w:bookmarkEnd w:id="265"/>
      <w:bookmarkEnd w:id="266"/>
    </w:p>
    <w:p w14:paraId="7A935C91" w14:textId="77777777" w:rsidR="00BC27E9" w:rsidRPr="00954407" w:rsidRDefault="00BC27E9" w:rsidP="00BC27E9">
      <w:pPr>
        <w:pStyle w:val="EstilodePrrafoNormal1RdeC"/>
      </w:pPr>
    </w:p>
    <w:p w14:paraId="02532F33" w14:textId="77777777" w:rsidR="00BC27E9" w:rsidRPr="00954407" w:rsidRDefault="00BC27E9" w:rsidP="00BC27E9">
      <w:pPr>
        <w:pStyle w:val="EstilodePrrafoNormal1RdeC"/>
        <w:rPr>
          <w:noProof/>
          <w:lang w:eastAsia="es-DO"/>
        </w:rPr>
      </w:pPr>
      <w:r w:rsidRPr="00954407">
        <w:rPr>
          <w:noProof/>
          <w:lang w:eastAsia="es-DO"/>
        </w:rPr>
        <w:drawing>
          <wp:inline distT="0" distB="0" distL="0" distR="0" wp14:anchorId="2EA4E102" wp14:editId="0658D34F">
            <wp:extent cx="8067675" cy="5720715"/>
            <wp:effectExtent l="0" t="0" r="9525" b="0"/>
            <wp:docPr id="1877695309" name="Imagen 187769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8076037" cy="5726644"/>
                    </a:xfrm>
                    <a:prstGeom prst="rect">
                      <a:avLst/>
                    </a:prstGeom>
                  </pic:spPr>
                </pic:pic>
              </a:graphicData>
            </a:graphic>
          </wp:inline>
        </w:drawing>
      </w:r>
    </w:p>
    <w:p w14:paraId="4C466934" w14:textId="77777777" w:rsidR="00BC27E9" w:rsidRPr="00954407" w:rsidRDefault="00BC27E9" w:rsidP="00BC27E9">
      <w:pPr>
        <w:pStyle w:val="EstilodePrrafoNormal1RdeC"/>
      </w:pPr>
    </w:p>
    <w:p w14:paraId="443EDA24" w14:textId="77777777" w:rsidR="00BC27E9" w:rsidRPr="00954407" w:rsidRDefault="00BC27E9" w:rsidP="00BC27E9">
      <w:pPr>
        <w:pStyle w:val="EstilodePrrafoNormal1RdeC"/>
        <w:rPr>
          <w:spacing w:val="20"/>
        </w:rPr>
      </w:pPr>
      <w:bookmarkStart w:id="267" w:name="_Toc186924399"/>
      <w:r w:rsidRPr="00954407">
        <w:rPr>
          <w:spacing w:val="20"/>
        </w:rPr>
        <w:t>d)  Matriz índice de gestión presupuestaria anual (IGP)</w:t>
      </w:r>
      <w:bookmarkEnd w:id="267"/>
      <w:r w:rsidRPr="00954407">
        <w:rPr>
          <w:spacing w:val="20"/>
        </w:rPr>
        <w:t xml:space="preserve"> </w:t>
      </w:r>
    </w:p>
    <w:p w14:paraId="3A437749" w14:textId="77777777" w:rsidR="00BC27E9" w:rsidRPr="00954407" w:rsidRDefault="00BC27E9" w:rsidP="00BC27E9">
      <w:pPr>
        <w:pStyle w:val="EstilodePrrafoNormal1RdeC"/>
      </w:pPr>
      <w:r w:rsidRPr="00954407">
        <w:t>Desempeño de la Producción Institucional (enero - diciembre 2025)</w:t>
      </w:r>
    </w:p>
    <w:p w14:paraId="49440E0D" w14:textId="77777777" w:rsidR="00BC27E9" w:rsidRPr="00954407" w:rsidRDefault="00BC27E9" w:rsidP="00BC27E9">
      <w:pPr>
        <w:pStyle w:val="EstilodePrrafoNormal1RdeC"/>
      </w:pPr>
    </w:p>
    <w:p w14:paraId="57BDA96D" w14:textId="56F8092C" w:rsidR="00BC27E9" w:rsidRPr="00954407" w:rsidRDefault="00BC27E9" w:rsidP="00BC27E9">
      <w:pPr>
        <w:pStyle w:val="EstilodePrrafoNormal1RdeC"/>
        <w:sectPr w:rsidR="00BC27E9" w:rsidRPr="00954407" w:rsidSect="00BC27E9">
          <w:headerReference w:type="default" r:id="rId67"/>
          <w:footerReference w:type="default" r:id="rId68"/>
          <w:pgSz w:w="15840" w:h="12240" w:orient="landscape" w:code="1"/>
          <w:pgMar w:top="544" w:right="1440" w:bottom="1525" w:left="1985" w:header="448" w:footer="0" w:gutter="0"/>
          <w:cols w:space="708"/>
          <w:docGrid w:linePitch="360"/>
        </w:sectPr>
      </w:pPr>
      <w:r w:rsidRPr="00954407">
        <w:rPr>
          <w:noProof/>
          <w:lang w:eastAsia="es-DO"/>
        </w:rPr>
        <w:drawing>
          <wp:inline distT="0" distB="0" distL="0" distR="0" wp14:anchorId="18AF3F6A" wp14:editId="16208473">
            <wp:extent cx="7883525" cy="4678680"/>
            <wp:effectExtent l="0" t="0" r="3175" b="7620"/>
            <wp:docPr id="1877695308" name="Imagen 187769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7883525" cy="4678680"/>
                    </a:xfrm>
                    <a:prstGeom prst="rect">
                      <a:avLst/>
                    </a:prstGeom>
                  </pic:spPr>
                </pic:pic>
              </a:graphicData>
            </a:graphic>
          </wp:inline>
        </w:drawing>
      </w:r>
    </w:p>
    <w:p w14:paraId="016DDDE1" w14:textId="77777777" w:rsidR="00B07C78" w:rsidRDefault="00B07C78" w:rsidP="00755B5A">
      <w:pPr>
        <w:pStyle w:val="Heading3"/>
        <w:numPr>
          <w:ilvl w:val="0"/>
          <w:numId w:val="0"/>
        </w:numPr>
      </w:pPr>
    </w:p>
    <w:sectPr w:rsidR="00B07C78" w:rsidSect="00BC27E9">
      <w:headerReference w:type="default" r:id="rId70"/>
      <w:footerReference w:type="default" r:id="rId71"/>
      <w:pgSz w:w="12240" w:h="15840" w:code="1"/>
      <w:pgMar w:top="1440" w:right="2160" w:bottom="1699" w:left="2160" w:header="706" w:footer="176"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930E7" w14:textId="77777777" w:rsidR="000357F3" w:rsidRDefault="000357F3" w:rsidP="001308EC">
      <w:pPr>
        <w:spacing w:line="240" w:lineRule="auto"/>
      </w:pPr>
      <w:r>
        <w:separator/>
      </w:r>
    </w:p>
  </w:endnote>
  <w:endnote w:type="continuationSeparator" w:id="0">
    <w:p w14:paraId="67AE0E42" w14:textId="77777777" w:rsidR="000357F3" w:rsidRDefault="000357F3" w:rsidP="001308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man 10cpi">
    <w:altName w:val="Times New Roman"/>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A3C9" w14:textId="77777777" w:rsidR="00B22319" w:rsidRDefault="00B22319" w:rsidP="00F75C96">
    <w:pPr>
      <w:pStyle w:val="Footer"/>
    </w:pPr>
  </w:p>
  <w:p w14:paraId="501B4643" w14:textId="77777777" w:rsidR="00B22319" w:rsidRDefault="00B22319" w:rsidP="00F75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39EB" w14:textId="77777777" w:rsidR="00B22319" w:rsidRDefault="00B22319" w:rsidP="00F75C96">
    <w:pPr>
      <w:pStyle w:val="Footer"/>
    </w:pPr>
  </w:p>
  <w:p w14:paraId="408EB786" w14:textId="77777777" w:rsidR="00B22319" w:rsidRDefault="00B22319" w:rsidP="00F75C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C5EB" w14:textId="77777777" w:rsidR="00BC27E9" w:rsidRPr="007D6F37" w:rsidRDefault="00BC27E9" w:rsidP="00F75C96">
    <w:pPr>
      <w:pStyle w:val="Footer"/>
      <w:ind w:left="284"/>
      <w:jc w:val="center"/>
      <w:rPr>
        <w:rFonts w:cs="Times New Roman"/>
      </w:rPr>
    </w:pPr>
    <w:r>
      <w:rPr>
        <w:noProof/>
        <w:lang w:eastAsia="es-DO"/>
      </w:rPr>
      <w:drawing>
        <wp:anchor distT="0" distB="0" distL="114300" distR="114300" simplePos="0" relativeHeight="251657728" behindDoc="0" locked="0" layoutInCell="1" allowOverlap="1" wp14:anchorId="02A195B6" wp14:editId="0BF91DF8">
          <wp:simplePos x="0" y="0"/>
          <wp:positionH relativeFrom="column">
            <wp:posOffset>1408430</wp:posOffset>
          </wp:positionH>
          <wp:positionV relativeFrom="paragraph">
            <wp:posOffset>-325588</wp:posOffset>
          </wp:positionV>
          <wp:extent cx="2414270" cy="292735"/>
          <wp:effectExtent l="0" t="0" r="5080" b="0"/>
          <wp:wrapSquare wrapText="bothSides"/>
          <wp:docPr id="299952061"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857574585"/>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Pr>
            <w:rFonts w:cs="Times New Roman"/>
            <w:noProof/>
            <w:sz w:val="15"/>
            <w:szCs w:val="15"/>
            <w:lang w:val="es-ES"/>
          </w:rPr>
          <w:t>90</w:t>
        </w:r>
        <w:r w:rsidRPr="007D6F37">
          <w:rPr>
            <w:rFonts w:cs="Times New Roman"/>
            <w:noProof/>
            <w:sz w:val="15"/>
            <w:szCs w:val="15"/>
            <w:lang w:val="es-ES"/>
          </w:rPr>
          <w:fldChar w:fldCharType="end"/>
        </w:r>
      </w:sdtContent>
    </w:sdt>
  </w:p>
  <w:p w14:paraId="60BFC1AE" w14:textId="77777777" w:rsidR="00BC27E9" w:rsidRDefault="00BC27E9" w:rsidP="00F75C96"/>
  <w:p w14:paraId="37760D0C" w14:textId="77777777" w:rsidR="00BC27E9" w:rsidRDefault="00BC27E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F6512" w14:textId="77777777" w:rsidR="00BC27E9" w:rsidRPr="007D6F37" w:rsidRDefault="00BC27E9" w:rsidP="00F75C96">
    <w:pPr>
      <w:pStyle w:val="Footer"/>
      <w:ind w:left="284"/>
      <w:jc w:val="center"/>
      <w:rPr>
        <w:rFonts w:cs="Times New Roman"/>
      </w:rPr>
    </w:pPr>
    <w:r>
      <w:rPr>
        <w:noProof/>
        <w:lang w:eastAsia="es-DO"/>
      </w:rPr>
      <w:drawing>
        <wp:anchor distT="0" distB="0" distL="114300" distR="114300" simplePos="0" relativeHeight="251656704" behindDoc="0" locked="0" layoutInCell="1" allowOverlap="1" wp14:anchorId="30D19CEC" wp14:editId="40863622">
          <wp:simplePos x="0" y="0"/>
          <wp:positionH relativeFrom="column">
            <wp:posOffset>1408430</wp:posOffset>
          </wp:positionH>
          <wp:positionV relativeFrom="paragraph">
            <wp:posOffset>-299720</wp:posOffset>
          </wp:positionV>
          <wp:extent cx="2414270" cy="292735"/>
          <wp:effectExtent l="0" t="0" r="5080" b="0"/>
          <wp:wrapSquare wrapText="bothSides"/>
          <wp:docPr id="196969627"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1043711020"/>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Pr>
            <w:rFonts w:cs="Times New Roman"/>
            <w:noProof/>
            <w:sz w:val="15"/>
            <w:szCs w:val="15"/>
            <w:lang w:val="es-ES"/>
          </w:rPr>
          <w:t>90</w:t>
        </w:r>
        <w:r w:rsidRPr="007D6F37">
          <w:rPr>
            <w:rFonts w:cs="Times New Roman"/>
            <w:noProof/>
            <w:sz w:val="15"/>
            <w:szCs w:val="15"/>
            <w:lang w:val="es-ES"/>
          </w:rPr>
          <w:fldChar w:fldCharType="end"/>
        </w:r>
      </w:sdtContent>
    </w:sdt>
  </w:p>
  <w:p w14:paraId="56D55A4A" w14:textId="77777777" w:rsidR="00BC27E9" w:rsidRDefault="00BC27E9" w:rsidP="00F75C96"/>
  <w:p w14:paraId="51F5B60D" w14:textId="77777777" w:rsidR="00BC27E9" w:rsidRDefault="00BC27E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C408" w14:textId="77777777" w:rsidR="00BC27E9" w:rsidRPr="007D6F37" w:rsidRDefault="00BC27E9" w:rsidP="00F75C96">
    <w:pPr>
      <w:pStyle w:val="Footer"/>
      <w:ind w:left="284"/>
      <w:jc w:val="center"/>
      <w:rPr>
        <w:rFonts w:cs="Times New Roman"/>
      </w:rPr>
    </w:pPr>
    <w:r>
      <w:rPr>
        <w:noProof/>
        <w:lang w:eastAsia="es-DO"/>
      </w:rPr>
      <w:drawing>
        <wp:anchor distT="0" distB="0" distL="114300" distR="114300" simplePos="0" relativeHeight="251658752" behindDoc="0" locked="0" layoutInCell="1" allowOverlap="1" wp14:anchorId="4ADC59F3" wp14:editId="02738B09">
          <wp:simplePos x="0" y="0"/>
          <wp:positionH relativeFrom="column">
            <wp:posOffset>2835275</wp:posOffset>
          </wp:positionH>
          <wp:positionV relativeFrom="paragraph">
            <wp:posOffset>-349250</wp:posOffset>
          </wp:positionV>
          <wp:extent cx="2414270" cy="292735"/>
          <wp:effectExtent l="0" t="0" r="5080" b="0"/>
          <wp:wrapNone/>
          <wp:docPr id="1179131161"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4270" cy="292735"/>
                  </a:xfrm>
                  <a:prstGeom prst="rect">
                    <a:avLst/>
                  </a:prstGeom>
                  <a:noFill/>
                </pic:spPr>
              </pic:pic>
            </a:graphicData>
          </a:graphic>
          <wp14:sizeRelH relativeFrom="page">
            <wp14:pctWidth>0</wp14:pctWidth>
          </wp14:sizeRelH>
          <wp14:sizeRelV relativeFrom="page">
            <wp14:pctHeight>0</wp14:pctHeight>
          </wp14:sizeRelV>
        </wp:anchor>
      </w:drawing>
    </w:r>
    <w:sdt>
      <w:sdtPr>
        <w:id w:val="260029158"/>
        <w:docPartObj>
          <w:docPartGallery w:val="Page Numbers (Bottom of Page)"/>
          <w:docPartUnique/>
        </w:docPartObj>
      </w:sdtPr>
      <w:sdtEndPr>
        <w:rPr>
          <w:rFonts w:cs="Times New Roman"/>
        </w:rPr>
      </w:sdtEndPr>
      <w:sdtContent>
        <w:r w:rsidRPr="007D6F37">
          <w:rPr>
            <w:rFonts w:cs="Times New Roman"/>
            <w:noProof/>
            <w:sz w:val="15"/>
            <w:szCs w:val="15"/>
            <w:lang w:val="es-ES"/>
          </w:rPr>
          <w:fldChar w:fldCharType="begin"/>
        </w:r>
        <w:r w:rsidRPr="007D6F37">
          <w:rPr>
            <w:rFonts w:cs="Times New Roman"/>
            <w:noProof/>
            <w:sz w:val="15"/>
            <w:szCs w:val="15"/>
            <w:lang w:val="es-ES"/>
          </w:rPr>
          <w:instrText>PAGE   \* MERGEFORMAT</w:instrText>
        </w:r>
        <w:r w:rsidRPr="007D6F37">
          <w:rPr>
            <w:rFonts w:cs="Times New Roman"/>
            <w:noProof/>
            <w:sz w:val="15"/>
            <w:szCs w:val="15"/>
            <w:lang w:val="es-ES"/>
          </w:rPr>
          <w:fldChar w:fldCharType="separate"/>
        </w:r>
        <w:r>
          <w:rPr>
            <w:rFonts w:cs="Times New Roman"/>
            <w:noProof/>
            <w:sz w:val="15"/>
            <w:szCs w:val="15"/>
            <w:lang w:val="es-ES"/>
          </w:rPr>
          <w:t>219</w:t>
        </w:r>
        <w:r w:rsidRPr="007D6F37">
          <w:rPr>
            <w:rFonts w:cs="Times New Roman"/>
            <w:noProof/>
            <w:sz w:val="15"/>
            <w:szCs w:val="15"/>
            <w:lang w:val="es-ES"/>
          </w:rPr>
          <w:fldChar w:fldCharType="end"/>
        </w:r>
      </w:sdtContent>
    </w:sdt>
  </w:p>
  <w:p w14:paraId="71E04DA1" w14:textId="77777777" w:rsidR="00BC27E9" w:rsidRDefault="00BC27E9"/>
  <w:p w14:paraId="450F1AD1" w14:textId="77777777" w:rsidR="00BC27E9" w:rsidRDefault="00BC27E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3B131" w14:textId="77777777" w:rsidR="00BC27E9" w:rsidRDefault="00BC27E9" w:rsidP="00343727">
    <w:pPr>
      <w:pStyle w:val="Footer"/>
      <w:ind w:left="284"/>
      <w:jc w:val="center"/>
    </w:pPr>
  </w:p>
  <w:p w14:paraId="4A9177AC" w14:textId="77777777" w:rsidR="00BC27E9" w:rsidRDefault="00BC27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C853" w14:textId="77777777" w:rsidR="000357F3" w:rsidRDefault="000357F3" w:rsidP="001308EC">
      <w:pPr>
        <w:spacing w:line="240" w:lineRule="auto"/>
      </w:pPr>
      <w:r>
        <w:separator/>
      </w:r>
    </w:p>
  </w:footnote>
  <w:footnote w:type="continuationSeparator" w:id="0">
    <w:p w14:paraId="017851ED" w14:textId="77777777" w:rsidR="000357F3" w:rsidRDefault="000357F3" w:rsidP="001308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A3F0" w14:textId="77777777" w:rsidR="00BC27E9" w:rsidRDefault="00BC2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7DE3" w14:textId="77777777" w:rsidR="00BC27E9" w:rsidRDefault="00BC27E9">
    <w:pPr>
      <w:pStyle w:val="Header"/>
    </w:pPr>
  </w:p>
  <w:p w14:paraId="724F27FC" w14:textId="77777777" w:rsidR="00BC27E9" w:rsidRDefault="00BC27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2A5FA2"/>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8180933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E67CC2A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5E20F6"/>
    <w:multiLevelType w:val="hybridMultilevel"/>
    <w:tmpl w:val="8ADCBA0E"/>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E940C1"/>
    <w:multiLevelType w:val="multilevel"/>
    <w:tmpl w:val="BB74DD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212583"/>
    <w:multiLevelType w:val="hybridMultilevel"/>
    <w:tmpl w:val="98AEBD40"/>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0D1E8E"/>
    <w:multiLevelType w:val="hybridMultilevel"/>
    <w:tmpl w:val="B6BA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F0874"/>
    <w:multiLevelType w:val="hybridMultilevel"/>
    <w:tmpl w:val="F912C2D8"/>
    <w:lvl w:ilvl="0" w:tplc="46DE1C90">
      <w:start w:val="1"/>
      <w:numFmt w:val="bullet"/>
      <w:lvlText w:val=""/>
      <w:lvlJc w:val="left"/>
      <w:pPr>
        <w:ind w:left="630" w:hanging="360"/>
      </w:pPr>
      <w:rPr>
        <w:rFonts w:ascii="Symbol" w:hAnsi="Symbol" w:hint="default"/>
        <w:i/>
        <w:iCs/>
      </w:rPr>
    </w:lvl>
    <w:lvl w:ilvl="1" w:tplc="04090003" w:tentative="1">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05484A0E"/>
    <w:multiLevelType w:val="hybridMultilevel"/>
    <w:tmpl w:val="8DBCF2B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9C5DA7"/>
    <w:multiLevelType w:val="hybridMultilevel"/>
    <w:tmpl w:val="3A260F96"/>
    <w:lvl w:ilvl="0" w:tplc="51EE9EC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165645"/>
    <w:multiLevelType w:val="hybridMultilevel"/>
    <w:tmpl w:val="AA50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EB5701"/>
    <w:multiLevelType w:val="hybridMultilevel"/>
    <w:tmpl w:val="1FFE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8E493F"/>
    <w:multiLevelType w:val="hybridMultilevel"/>
    <w:tmpl w:val="513CF4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C02CBB"/>
    <w:multiLevelType w:val="hybridMultilevel"/>
    <w:tmpl w:val="765867AA"/>
    <w:lvl w:ilvl="0" w:tplc="580A0017">
      <w:start w:val="1"/>
      <w:numFmt w:val="lowerLetter"/>
      <w:lvlText w:val="%1)"/>
      <w:lvlJc w:val="left"/>
      <w:pPr>
        <w:ind w:left="1004" w:hanging="360"/>
      </w:pPr>
    </w:lvl>
    <w:lvl w:ilvl="1" w:tplc="580A0019">
      <w:start w:val="1"/>
      <w:numFmt w:val="lowerLetter"/>
      <w:lvlText w:val="%2."/>
      <w:lvlJc w:val="left"/>
      <w:pPr>
        <w:ind w:left="1724" w:hanging="360"/>
      </w:pPr>
    </w:lvl>
    <w:lvl w:ilvl="2" w:tplc="580A001B" w:tentative="1">
      <w:start w:val="1"/>
      <w:numFmt w:val="lowerRoman"/>
      <w:lvlText w:val="%3."/>
      <w:lvlJc w:val="right"/>
      <w:pPr>
        <w:ind w:left="2444" w:hanging="180"/>
      </w:pPr>
    </w:lvl>
    <w:lvl w:ilvl="3" w:tplc="580A000F" w:tentative="1">
      <w:start w:val="1"/>
      <w:numFmt w:val="decimal"/>
      <w:lvlText w:val="%4."/>
      <w:lvlJc w:val="left"/>
      <w:pPr>
        <w:ind w:left="3164" w:hanging="360"/>
      </w:pPr>
    </w:lvl>
    <w:lvl w:ilvl="4" w:tplc="580A0019" w:tentative="1">
      <w:start w:val="1"/>
      <w:numFmt w:val="lowerLetter"/>
      <w:lvlText w:val="%5."/>
      <w:lvlJc w:val="left"/>
      <w:pPr>
        <w:ind w:left="3884" w:hanging="360"/>
      </w:pPr>
    </w:lvl>
    <w:lvl w:ilvl="5" w:tplc="580A001B" w:tentative="1">
      <w:start w:val="1"/>
      <w:numFmt w:val="lowerRoman"/>
      <w:lvlText w:val="%6."/>
      <w:lvlJc w:val="right"/>
      <w:pPr>
        <w:ind w:left="4604" w:hanging="180"/>
      </w:pPr>
    </w:lvl>
    <w:lvl w:ilvl="6" w:tplc="580A000F" w:tentative="1">
      <w:start w:val="1"/>
      <w:numFmt w:val="decimal"/>
      <w:lvlText w:val="%7."/>
      <w:lvlJc w:val="left"/>
      <w:pPr>
        <w:ind w:left="5324" w:hanging="360"/>
      </w:pPr>
    </w:lvl>
    <w:lvl w:ilvl="7" w:tplc="580A0019" w:tentative="1">
      <w:start w:val="1"/>
      <w:numFmt w:val="lowerLetter"/>
      <w:lvlText w:val="%8."/>
      <w:lvlJc w:val="left"/>
      <w:pPr>
        <w:ind w:left="6044" w:hanging="360"/>
      </w:pPr>
    </w:lvl>
    <w:lvl w:ilvl="8" w:tplc="580A001B" w:tentative="1">
      <w:start w:val="1"/>
      <w:numFmt w:val="lowerRoman"/>
      <w:lvlText w:val="%9."/>
      <w:lvlJc w:val="right"/>
      <w:pPr>
        <w:ind w:left="6764" w:hanging="180"/>
      </w:pPr>
    </w:lvl>
  </w:abstractNum>
  <w:abstractNum w:abstractNumId="14" w15:restartNumberingAfterBreak="0">
    <w:nsid w:val="09C6188F"/>
    <w:multiLevelType w:val="multilevel"/>
    <w:tmpl w:val="C59438F8"/>
    <w:lvl w:ilvl="0">
      <w:start w:val="4"/>
      <w:numFmt w:val="decimal"/>
      <w:lvlText w:val="%1"/>
      <w:lvlJc w:val="left"/>
      <w:pPr>
        <w:ind w:left="555" w:hanging="555"/>
      </w:pPr>
      <w:rPr>
        <w:rFonts w:hint="default"/>
      </w:rPr>
    </w:lvl>
    <w:lvl w:ilvl="1">
      <w:start w:val="5"/>
      <w:numFmt w:val="decimal"/>
      <w:lvlText w:val="%1.%2"/>
      <w:lvlJc w:val="left"/>
      <w:pPr>
        <w:ind w:left="891" w:hanging="555"/>
      </w:pPr>
      <w:rPr>
        <w:rFonts w:hint="default"/>
      </w:rPr>
    </w:lvl>
    <w:lvl w:ilvl="2">
      <w:start w:val="1"/>
      <w:numFmt w:val="decimal"/>
      <w:lvlText w:val="%1.%2.%3"/>
      <w:lvlJc w:val="left"/>
      <w:pPr>
        <w:ind w:left="1392"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3120" w:hanging="144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4152" w:hanging="1800"/>
      </w:pPr>
      <w:rPr>
        <w:rFonts w:hint="default"/>
      </w:rPr>
    </w:lvl>
    <w:lvl w:ilvl="8">
      <w:start w:val="1"/>
      <w:numFmt w:val="decimal"/>
      <w:lvlText w:val="%1.%2.%3.%4.%5.%6.%7.%8.%9"/>
      <w:lvlJc w:val="left"/>
      <w:pPr>
        <w:ind w:left="4488" w:hanging="1800"/>
      </w:pPr>
      <w:rPr>
        <w:rFonts w:hint="default"/>
      </w:rPr>
    </w:lvl>
  </w:abstractNum>
  <w:abstractNum w:abstractNumId="15" w15:restartNumberingAfterBreak="0">
    <w:nsid w:val="0A1F7511"/>
    <w:multiLevelType w:val="hybridMultilevel"/>
    <w:tmpl w:val="B2027300"/>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A936C6"/>
    <w:multiLevelType w:val="hybridMultilevel"/>
    <w:tmpl w:val="2BD4A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B9097A"/>
    <w:multiLevelType w:val="hybridMultilevel"/>
    <w:tmpl w:val="985C8A7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15:restartNumberingAfterBreak="0">
    <w:nsid w:val="0B1C5399"/>
    <w:multiLevelType w:val="hybridMultilevel"/>
    <w:tmpl w:val="44DC2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B711D76"/>
    <w:multiLevelType w:val="multilevel"/>
    <w:tmpl w:val="660C6EC8"/>
    <w:lvl w:ilvl="0">
      <w:start w:val="2"/>
      <w:numFmt w:val="upperRoman"/>
      <w:lvlText w:val="%1."/>
      <w:lvlJc w:val="right"/>
      <w:pPr>
        <w:ind w:left="720" w:hanging="360"/>
      </w:pPr>
      <w:rPr>
        <w:rFonts w:hint="default"/>
      </w:rPr>
    </w:lvl>
    <w:lvl w:ilvl="1">
      <w:start w:val="1"/>
      <w:numFmt w:val="decimal"/>
      <w:isLgl/>
      <w:lvlText w:val="%1.%2"/>
      <w:lvlJc w:val="left"/>
      <w:pPr>
        <w:ind w:left="1800" w:hanging="1440"/>
      </w:pPr>
      <w:rPr>
        <w:rFonts w:hint="default"/>
      </w:rPr>
    </w:lvl>
    <w:lvl w:ilvl="2">
      <w:start w:val="5"/>
      <w:numFmt w:val="decimal"/>
      <w:isLgl/>
      <w:lvlText w:val="%1.%2.%3"/>
      <w:lvlJc w:val="left"/>
      <w:pPr>
        <w:ind w:left="1800" w:hanging="1440"/>
      </w:pPr>
      <w:rPr>
        <w:rFonts w:hint="default"/>
      </w:rPr>
    </w:lvl>
    <w:lvl w:ilvl="3">
      <w:start w:val="2"/>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0CD90664"/>
    <w:multiLevelType w:val="multilevel"/>
    <w:tmpl w:val="22E619E6"/>
    <w:lvl w:ilvl="0">
      <w:start w:val="1"/>
      <w:numFmt w:val="bullet"/>
      <w:lvlText w:val=""/>
      <w:lvlJc w:val="left"/>
      <w:pPr>
        <w:ind w:left="1706" w:hanging="360"/>
      </w:pPr>
      <w:rPr>
        <w:rFonts w:ascii="Symbol" w:hAnsi="Symbol" w:hint="default"/>
      </w:rPr>
    </w:lvl>
    <w:lvl w:ilvl="1">
      <w:start w:val="1"/>
      <w:numFmt w:val="decimal"/>
      <w:isLgl/>
      <w:lvlText w:val="%1.%2"/>
      <w:lvlJc w:val="left"/>
      <w:pPr>
        <w:ind w:left="1695" w:hanging="705"/>
      </w:pPr>
      <w:rPr>
        <w:rFonts w:hint="default"/>
        <w:sz w:val="24"/>
        <w:szCs w:val="24"/>
        <w:lang w:val="es-DO"/>
      </w:rPr>
    </w:lvl>
    <w:lvl w:ilvl="2">
      <w:start w:val="1"/>
      <w:numFmt w:val="decimal"/>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21" w15:restartNumberingAfterBreak="0">
    <w:nsid w:val="0CEC5EEF"/>
    <w:multiLevelType w:val="hybridMultilevel"/>
    <w:tmpl w:val="7964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CEF6AC3"/>
    <w:multiLevelType w:val="hybridMultilevel"/>
    <w:tmpl w:val="2E24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D6D462D"/>
    <w:multiLevelType w:val="multilevel"/>
    <w:tmpl w:val="DB607406"/>
    <w:lvl w:ilvl="0">
      <w:start w:val="3"/>
      <w:numFmt w:val="decimal"/>
      <w:lvlText w:val="%1"/>
      <w:lvlJc w:val="left"/>
      <w:pPr>
        <w:ind w:left="360" w:hanging="360"/>
      </w:pPr>
      <w:rPr>
        <w:rFonts w:hint="default"/>
      </w:rPr>
    </w:lvl>
    <w:lvl w:ilvl="1">
      <w:start w:val="4"/>
      <w:numFmt w:val="decimal"/>
      <w:lvlText w:val="%1.%2"/>
      <w:lvlJc w:val="left"/>
      <w:pPr>
        <w:ind w:left="2411" w:hanging="360"/>
      </w:pPr>
      <w:rPr>
        <w:rFonts w:hint="default"/>
      </w:rPr>
    </w:lvl>
    <w:lvl w:ilvl="2">
      <w:start w:val="1"/>
      <w:numFmt w:val="decimal"/>
      <w:lvlText w:val="%1.%2.%3"/>
      <w:lvlJc w:val="left"/>
      <w:pPr>
        <w:ind w:left="4822" w:hanging="720"/>
      </w:pPr>
      <w:rPr>
        <w:rFonts w:hint="default"/>
      </w:rPr>
    </w:lvl>
    <w:lvl w:ilvl="3">
      <w:start w:val="1"/>
      <w:numFmt w:val="decimal"/>
      <w:lvlText w:val="%1.%2.%3.%4"/>
      <w:lvlJc w:val="left"/>
      <w:pPr>
        <w:ind w:left="7233" w:hanging="1080"/>
      </w:pPr>
      <w:rPr>
        <w:rFonts w:hint="default"/>
      </w:rPr>
    </w:lvl>
    <w:lvl w:ilvl="4">
      <w:start w:val="1"/>
      <w:numFmt w:val="decimal"/>
      <w:lvlText w:val="%1.%2.%3.%4.%5"/>
      <w:lvlJc w:val="left"/>
      <w:pPr>
        <w:ind w:left="9284" w:hanging="1080"/>
      </w:pPr>
      <w:rPr>
        <w:rFonts w:hint="default"/>
      </w:rPr>
    </w:lvl>
    <w:lvl w:ilvl="5">
      <w:start w:val="1"/>
      <w:numFmt w:val="decimal"/>
      <w:lvlText w:val="%1.%2.%3.%4.%5.%6"/>
      <w:lvlJc w:val="left"/>
      <w:pPr>
        <w:ind w:left="11695" w:hanging="1440"/>
      </w:pPr>
      <w:rPr>
        <w:rFonts w:hint="default"/>
      </w:rPr>
    </w:lvl>
    <w:lvl w:ilvl="6">
      <w:start w:val="1"/>
      <w:numFmt w:val="decimal"/>
      <w:lvlText w:val="%1.%2.%3.%4.%5.%6.%7"/>
      <w:lvlJc w:val="left"/>
      <w:pPr>
        <w:ind w:left="13746" w:hanging="1440"/>
      </w:pPr>
      <w:rPr>
        <w:rFonts w:hint="default"/>
      </w:rPr>
    </w:lvl>
    <w:lvl w:ilvl="7">
      <w:start w:val="1"/>
      <w:numFmt w:val="decimal"/>
      <w:lvlText w:val="%1.%2.%3.%4.%5.%6.%7.%8"/>
      <w:lvlJc w:val="left"/>
      <w:pPr>
        <w:ind w:left="16157" w:hanging="1800"/>
      </w:pPr>
      <w:rPr>
        <w:rFonts w:hint="default"/>
      </w:rPr>
    </w:lvl>
    <w:lvl w:ilvl="8">
      <w:start w:val="1"/>
      <w:numFmt w:val="decimal"/>
      <w:lvlText w:val="%1.%2.%3.%4.%5.%6.%7.%8.%9"/>
      <w:lvlJc w:val="left"/>
      <w:pPr>
        <w:ind w:left="18208" w:hanging="1800"/>
      </w:pPr>
      <w:rPr>
        <w:rFonts w:hint="default"/>
      </w:rPr>
    </w:lvl>
  </w:abstractNum>
  <w:abstractNum w:abstractNumId="24" w15:restartNumberingAfterBreak="0">
    <w:nsid w:val="0D9B1389"/>
    <w:multiLevelType w:val="hybridMultilevel"/>
    <w:tmpl w:val="3B58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E603C8D"/>
    <w:multiLevelType w:val="hybridMultilevel"/>
    <w:tmpl w:val="487C1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B744C1"/>
    <w:multiLevelType w:val="hybridMultilevel"/>
    <w:tmpl w:val="AD484ED6"/>
    <w:lvl w:ilvl="0" w:tplc="04090003">
      <w:start w:val="1"/>
      <w:numFmt w:val="bullet"/>
      <w:lvlText w:val="o"/>
      <w:lvlJc w:val="left"/>
      <w:pPr>
        <w:ind w:left="1211"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7" w15:restartNumberingAfterBreak="0">
    <w:nsid w:val="103A2AF0"/>
    <w:multiLevelType w:val="hybridMultilevel"/>
    <w:tmpl w:val="CE3A351A"/>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1BB5DBA"/>
    <w:multiLevelType w:val="hybridMultilevel"/>
    <w:tmpl w:val="201C3CB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11C447C9"/>
    <w:multiLevelType w:val="multilevel"/>
    <w:tmpl w:val="7186AA1C"/>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11F80A0F"/>
    <w:multiLevelType w:val="multilevel"/>
    <w:tmpl w:val="0DF00CD2"/>
    <w:lvl w:ilvl="0">
      <w:start w:val="1"/>
      <w:numFmt w:val="decimal"/>
      <w:pStyle w:val="Heading1"/>
      <w:lvlText w:val="%1"/>
      <w:lvlJc w:val="left"/>
      <w:pPr>
        <w:ind w:left="432" w:hanging="432"/>
      </w:pPr>
    </w:lvl>
    <w:lvl w:ilvl="1">
      <w:start w:val="1"/>
      <w:numFmt w:val="decimal"/>
      <w:pStyle w:val="Heading2"/>
      <w:lvlText w:val="%1.%2"/>
      <w:lvlJc w:val="left"/>
      <w:pPr>
        <w:ind w:left="936" w:hanging="576"/>
      </w:pPr>
      <w:rPr>
        <w:b/>
        <w:bCs/>
        <w:color w:val="767171"/>
        <w:sz w:val="24"/>
        <w:szCs w:val="24"/>
      </w:rPr>
    </w:lvl>
    <w:lvl w:ilvl="2">
      <w:start w:val="1"/>
      <w:numFmt w:val="decimal"/>
      <w:pStyle w:val="Heading3"/>
      <w:lvlText w:val="%1.%2.%3"/>
      <w:lvlJc w:val="left"/>
      <w:pPr>
        <w:ind w:left="720" w:hanging="720"/>
      </w:pPr>
      <w:rPr>
        <w:color w:val="808080" w:themeColor="background1" w:themeShade="80"/>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12370A55"/>
    <w:multiLevelType w:val="hybridMultilevel"/>
    <w:tmpl w:val="3A72B696"/>
    <w:lvl w:ilvl="0" w:tplc="46DE1C90">
      <w:start w:val="1"/>
      <w:numFmt w:val="bullet"/>
      <w:lvlText w:val=""/>
      <w:lvlJc w:val="left"/>
      <w:pPr>
        <w:ind w:left="630" w:hanging="360"/>
      </w:pPr>
      <w:rPr>
        <w:rFonts w:ascii="Symbol" w:hAnsi="Symbol" w:hint="default"/>
        <w:i/>
        <w:iCs/>
      </w:rPr>
    </w:lvl>
    <w:lvl w:ilvl="1" w:tplc="04090003" w:tentative="1">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15:restartNumberingAfterBreak="0">
    <w:nsid w:val="12590615"/>
    <w:multiLevelType w:val="hybridMultilevel"/>
    <w:tmpl w:val="0706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8A4E50"/>
    <w:multiLevelType w:val="hybridMultilevel"/>
    <w:tmpl w:val="3AC021C4"/>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49847DA"/>
    <w:multiLevelType w:val="hybridMultilevel"/>
    <w:tmpl w:val="7AC680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4F1C45"/>
    <w:multiLevelType w:val="hybridMultilevel"/>
    <w:tmpl w:val="919A2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5935714"/>
    <w:multiLevelType w:val="hybridMultilevel"/>
    <w:tmpl w:val="E0105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5D072B1"/>
    <w:multiLevelType w:val="hybridMultilevel"/>
    <w:tmpl w:val="64FA46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5E938D0"/>
    <w:multiLevelType w:val="hybridMultilevel"/>
    <w:tmpl w:val="6978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693417A"/>
    <w:multiLevelType w:val="hybridMultilevel"/>
    <w:tmpl w:val="3BB85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6BD0FD5"/>
    <w:multiLevelType w:val="hybridMultilevel"/>
    <w:tmpl w:val="3498FC94"/>
    <w:lvl w:ilvl="0" w:tplc="04090017">
      <w:start w:val="1"/>
      <w:numFmt w:val="low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15:restartNumberingAfterBreak="0">
    <w:nsid w:val="17D87AE3"/>
    <w:multiLevelType w:val="hybridMultilevel"/>
    <w:tmpl w:val="6610E85E"/>
    <w:lvl w:ilvl="0" w:tplc="F92EE56A">
      <w:start w:val="3"/>
      <w:numFmt w:val="lowerLetter"/>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42" w15:restartNumberingAfterBreak="0">
    <w:nsid w:val="18BD3CD8"/>
    <w:multiLevelType w:val="hybridMultilevel"/>
    <w:tmpl w:val="F5486B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9DD583C"/>
    <w:multiLevelType w:val="hybridMultilevel"/>
    <w:tmpl w:val="7342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B3E56E7"/>
    <w:multiLevelType w:val="hybridMultilevel"/>
    <w:tmpl w:val="3F4A68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BB65C06"/>
    <w:multiLevelType w:val="hybridMultilevel"/>
    <w:tmpl w:val="2004B35C"/>
    <w:lvl w:ilvl="0" w:tplc="86922C9E">
      <w:start w:val="1"/>
      <w:numFmt w:val="bullet"/>
      <w:lvlText w:val="o"/>
      <w:lvlJc w:val="left"/>
      <w:pPr>
        <w:ind w:left="630" w:hanging="360"/>
      </w:pPr>
      <w:rPr>
        <w:rFonts w:ascii="Courier New" w:hAnsi="Courier New" w:cs="Courier New" w:hint="default"/>
        <w:i/>
        <w:i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C290488"/>
    <w:multiLevelType w:val="hybridMultilevel"/>
    <w:tmpl w:val="8C72774C"/>
    <w:lvl w:ilvl="0" w:tplc="04DA885C">
      <w:start w:val="1"/>
      <w:numFmt w:val="bullet"/>
      <w:pStyle w:val="Estilo-Vieta-1"/>
      <w:lvlText w:val=""/>
      <w:lvlJc w:val="left"/>
      <w:pPr>
        <w:ind w:left="1068" w:hanging="360"/>
      </w:pPr>
      <w:rPr>
        <w:rFonts w:ascii="Symbol" w:hAnsi="Symbol" w:hint="default"/>
      </w:rPr>
    </w:lvl>
    <w:lvl w:ilvl="1" w:tplc="08923766">
      <w:start w:val="2"/>
      <w:numFmt w:val="bullet"/>
      <w:lvlText w:val="•"/>
      <w:lvlJc w:val="left"/>
      <w:pPr>
        <w:ind w:left="2133" w:hanging="705"/>
      </w:pPr>
      <w:rPr>
        <w:rFonts w:ascii="Times New Roman" w:eastAsia="Calibri" w:hAnsi="Times New Roman" w:cs="Times New Roman"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7" w15:restartNumberingAfterBreak="0">
    <w:nsid w:val="1C5C1A31"/>
    <w:multiLevelType w:val="hybridMultilevel"/>
    <w:tmpl w:val="9F806F64"/>
    <w:lvl w:ilvl="0" w:tplc="86922C9E">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D5C14A4"/>
    <w:multiLevelType w:val="hybridMultilevel"/>
    <w:tmpl w:val="5292FCEA"/>
    <w:lvl w:ilvl="0" w:tplc="46DE1C90">
      <w:start w:val="1"/>
      <w:numFmt w:val="bullet"/>
      <w:lvlText w:val=""/>
      <w:lvlJc w:val="left"/>
      <w:pPr>
        <w:ind w:left="630" w:hanging="360"/>
      </w:pPr>
      <w:rPr>
        <w:rFonts w:ascii="Symbol" w:hAnsi="Symbol" w:hint="default"/>
        <w:i/>
        <w:iCs/>
      </w:rPr>
    </w:lvl>
    <w:lvl w:ilvl="1" w:tplc="86922C9E">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1DA20B98"/>
    <w:multiLevelType w:val="hybridMultilevel"/>
    <w:tmpl w:val="F0881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E583A86"/>
    <w:multiLevelType w:val="hybridMultilevel"/>
    <w:tmpl w:val="B69C0A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E682674"/>
    <w:multiLevelType w:val="multilevel"/>
    <w:tmpl w:val="BEA2BFDA"/>
    <w:lvl w:ilvl="0">
      <w:start w:val="3"/>
      <w:numFmt w:val="decimal"/>
      <w:lvlText w:val="%1"/>
      <w:lvlJc w:val="left"/>
      <w:pPr>
        <w:ind w:left="360" w:hanging="360"/>
      </w:pPr>
      <w:rPr>
        <w:rFonts w:hint="default"/>
      </w:rPr>
    </w:lvl>
    <w:lvl w:ilvl="1">
      <w:start w:val="2"/>
      <w:numFmt w:val="decimal"/>
      <w:lvlText w:val="%1.%2"/>
      <w:lvlJc w:val="left"/>
      <w:pPr>
        <w:ind w:left="1032" w:hanging="360"/>
      </w:pPr>
      <w:rPr>
        <w:rFonts w:hint="default"/>
      </w:rPr>
    </w:lvl>
    <w:lvl w:ilvl="2">
      <w:start w:val="1"/>
      <w:numFmt w:val="decimal"/>
      <w:lvlText w:val="%1.%2.%3"/>
      <w:lvlJc w:val="left"/>
      <w:pPr>
        <w:ind w:left="2064" w:hanging="720"/>
      </w:pPr>
      <w:rPr>
        <w:rFonts w:hint="default"/>
      </w:rPr>
    </w:lvl>
    <w:lvl w:ilvl="3">
      <w:start w:val="1"/>
      <w:numFmt w:val="decimal"/>
      <w:lvlText w:val="%1.%2.%3.%4"/>
      <w:lvlJc w:val="left"/>
      <w:pPr>
        <w:ind w:left="3096" w:hanging="108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800" w:hanging="144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504" w:hanging="1800"/>
      </w:pPr>
      <w:rPr>
        <w:rFonts w:hint="default"/>
      </w:rPr>
    </w:lvl>
    <w:lvl w:ilvl="8">
      <w:start w:val="1"/>
      <w:numFmt w:val="decimal"/>
      <w:lvlText w:val="%1.%2.%3.%4.%5.%6.%7.%8.%9"/>
      <w:lvlJc w:val="left"/>
      <w:pPr>
        <w:ind w:left="7176" w:hanging="1800"/>
      </w:pPr>
      <w:rPr>
        <w:rFonts w:hint="default"/>
      </w:rPr>
    </w:lvl>
  </w:abstractNum>
  <w:abstractNum w:abstractNumId="52" w15:restartNumberingAfterBreak="0">
    <w:nsid w:val="1EBC42A9"/>
    <w:multiLevelType w:val="hybridMultilevel"/>
    <w:tmpl w:val="0C846C8C"/>
    <w:lvl w:ilvl="0" w:tplc="04090013">
      <w:start w:val="1"/>
      <w:numFmt w:val="upp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3" w15:restartNumberingAfterBreak="0">
    <w:nsid w:val="1FB06367"/>
    <w:multiLevelType w:val="hybridMultilevel"/>
    <w:tmpl w:val="CF348EA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07E3A07"/>
    <w:multiLevelType w:val="hybridMultilevel"/>
    <w:tmpl w:val="9BC459FC"/>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55" w15:restartNumberingAfterBreak="0">
    <w:nsid w:val="20AA4316"/>
    <w:multiLevelType w:val="hybridMultilevel"/>
    <w:tmpl w:val="A5AE6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25849E8"/>
    <w:multiLevelType w:val="hybridMultilevel"/>
    <w:tmpl w:val="2168F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25853BE"/>
    <w:multiLevelType w:val="hybridMultilevel"/>
    <w:tmpl w:val="B6D6B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2846D71"/>
    <w:multiLevelType w:val="hybridMultilevel"/>
    <w:tmpl w:val="A93C0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35A6EA3"/>
    <w:multiLevelType w:val="multilevel"/>
    <w:tmpl w:val="B68CD162"/>
    <w:lvl w:ilvl="0">
      <w:start w:val="4"/>
      <w:numFmt w:val="decimal"/>
      <w:lvlText w:val="%1"/>
      <w:lvlJc w:val="left"/>
      <w:pPr>
        <w:ind w:left="555" w:hanging="555"/>
      </w:pPr>
      <w:rPr>
        <w:rFonts w:hint="default"/>
      </w:rPr>
    </w:lvl>
    <w:lvl w:ilvl="1">
      <w:start w:val="5"/>
      <w:numFmt w:val="decimal"/>
      <w:lvlText w:val="%1.%2"/>
      <w:lvlJc w:val="left"/>
      <w:pPr>
        <w:ind w:left="891" w:hanging="555"/>
      </w:pPr>
      <w:rPr>
        <w:rFonts w:hint="default"/>
      </w:rPr>
    </w:lvl>
    <w:lvl w:ilvl="2">
      <w:start w:val="1"/>
      <w:numFmt w:val="decimal"/>
      <w:pStyle w:val="Ttulo3RdeC"/>
      <w:lvlText w:val="%1.%2.%3"/>
      <w:lvlJc w:val="left"/>
      <w:pPr>
        <w:ind w:left="1392" w:hanging="720"/>
      </w:pPr>
      <w:rPr>
        <w:rFonts w:hint="default"/>
      </w:rPr>
    </w:lvl>
    <w:lvl w:ilvl="3">
      <w:start w:val="1"/>
      <w:numFmt w:val="decimal"/>
      <w:lvlText w:val="%1.%2.%3.%4"/>
      <w:lvlJc w:val="left"/>
      <w:pPr>
        <w:ind w:left="2088" w:hanging="1080"/>
      </w:pPr>
      <w:rPr>
        <w:rFonts w:hint="default"/>
      </w:rPr>
    </w:lvl>
    <w:lvl w:ilvl="4">
      <w:start w:val="1"/>
      <w:numFmt w:val="decimal"/>
      <w:lvlText w:val="%1.%2.%3.%4.%5"/>
      <w:lvlJc w:val="left"/>
      <w:pPr>
        <w:ind w:left="2424" w:hanging="1080"/>
      </w:pPr>
      <w:rPr>
        <w:rFonts w:hint="default"/>
      </w:rPr>
    </w:lvl>
    <w:lvl w:ilvl="5">
      <w:start w:val="1"/>
      <w:numFmt w:val="decimal"/>
      <w:lvlText w:val="%1.%2.%3.%4.%5.%6"/>
      <w:lvlJc w:val="left"/>
      <w:pPr>
        <w:ind w:left="3120" w:hanging="1440"/>
      </w:pPr>
      <w:rPr>
        <w:rFonts w:hint="default"/>
      </w:rPr>
    </w:lvl>
    <w:lvl w:ilvl="6">
      <w:start w:val="1"/>
      <w:numFmt w:val="decimal"/>
      <w:lvlText w:val="%1.%2.%3.%4.%5.%6.%7"/>
      <w:lvlJc w:val="left"/>
      <w:pPr>
        <w:ind w:left="3456" w:hanging="1440"/>
      </w:pPr>
      <w:rPr>
        <w:rFonts w:hint="default"/>
      </w:rPr>
    </w:lvl>
    <w:lvl w:ilvl="7">
      <w:start w:val="1"/>
      <w:numFmt w:val="decimal"/>
      <w:lvlText w:val="%1.%2.%3.%4.%5.%6.%7.%8"/>
      <w:lvlJc w:val="left"/>
      <w:pPr>
        <w:ind w:left="4152" w:hanging="1800"/>
      </w:pPr>
      <w:rPr>
        <w:rFonts w:hint="default"/>
      </w:rPr>
    </w:lvl>
    <w:lvl w:ilvl="8">
      <w:start w:val="1"/>
      <w:numFmt w:val="decimal"/>
      <w:lvlText w:val="%1.%2.%3.%4.%5.%6.%7.%8.%9"/>
      <w:lvlJc w:val="left"/>
      <w:pPr>
        <w:ind w:left="4488" w:hanging="1800"/>
      </w:pPr>
      <w:rPr>
        <w:rFonts w:hint="default"/>
      </w:rPr>
    </w:lvl>
  </w:abstractNum>
  <w:abstractNum w:abstractNumId="60" w15:restartNumberingAfterBreak="0">
    <w:nsid w:val="23F51BFF"/>
    <w:multiLevelType w:val="hybridMultilevel"/>
    <w:tmpl w:val="6E46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41206BD"/>
    <w:multiLevelType w:val="hybridMultilevel"/>
    <w:tmpl w:val="610439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47F4625"/>
    <w:multiLevelType w:val="hybridMultilevel"/>
    <w:tmpl w:val="2EE46622"/>
    <w:lvl w:ilvl="0" w:tplc="C4B2806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263D1DA2"/>
    <w:multiLevelType w:val="multilevel"/>
    <w:tmpl w:val="2EFE4134"/>
    <w:lvl w:ilvl="0">
      <w:start w:val="3"/>
      <w:numFmt w:val="decimal"/>
      <w:lvlText w:val="%1"/>
      <w:lvlJc w:val="left"/>
      <w:pPr>
        <w:ind w:left="360" w:hanging="360"/>
      </w:pPr>
      <w:rPr>
        <w:rFonts w:hint="default"/>
      </w:rPr>
    </w:lvl>
    <w:lvl w:ilvl="1">
      <w:start w:val="4"/>
      <w:numFmt w:val="decimal"/>
      <w:lvlText w:val="%1.%2"/>
      <w:lvlJc w:val="left"/>
      <w:pPr>
        <w:ind w:left="1706" w:hanging="360"/>
      </w:pPr>
      <w:rPr>
        <w:rFonts w:hint="default"/>
      </w:rPr>
    </w:lvl>
    <w:lvl w:ilvl="2">
      <w:start w:val="1"/>
      <w:numFmt w:val="decimal"/>
      <w:lvlText w:val="%1.%2.%3"/>
      <w:lvlJc w:val="left"/>
      <w:pPr>
        <w:ind w:left="3412" w:hanging="720"/>
      </w:pPr>
      <w:rPr>
        <w:rFonts w:hint="default"/>
      </w:rPr>
    </w:lvl>
    <w:lvl w:ilvl="3">
      <w:start w:val="1"/>
      <w:numFmt w:val="decimal"/>
      <w:lvlText w:val="%1.%2.%3.%4"/>
      <w:lvlJc w:val="left"/>
      <w:pPr>
        <w:ind w:left="5118" w:hanging="1080"/>
      </w:pPr>
      <w:rPr>
        <w:rFonts w:hint="default"/>
      </w:rPr>
    </w:lvl>
    <w:lvl w:ilvl="4">
      <w:start w:val="1"/>
      <w:numFmt w:val="decimal"/>
      <w:lvlText w:val="%1.%2.%3.%4.%5"/>
      <w:lvlJc w:val="left"/>
      <w:pPr>
        <w:ind w:left="6464" w:hanging="1080"/>
      </w:pPr>
      <w:rPr>
        <w:rFonts w:hint="default"/>
      </w:rPr>
    </w:lvl>
    <w:lvl w:ilvl="5">
      <w:start w:val="1"/>
      <w:numFmt w:val="decimal"/>
      <w:lvlText w:val="%1.%2.%3.%4.%5.%6"/>
      <w:lvlJc w:val="left"/>
      <w:pPr>
        <w:ind w:left="8170" w:hanging="1440"/>
      </w:pPr>
      <w:rPr>
        <w:rFonts w:hint="default"/>
      </w:rPr>
    </w:lvl>
    <w:lvl w:ilvl="6">
      <w:start w:val="1"/>
      <w:numFmt w:val="decimal"/>
      <w:lvlText w:val="%1.%2.%3.%4.%5.%6.%7"/>
      <w:lvlJc w:val="left"/>
      <w:pPr>
        <w:ind w:left="9516" w:hanging="1440"/>
      </w:pPr>
      <w:rPr>
        <w:rFonts w:hint="default"/>
      </w:rPr>
    </w:lvl>
    <w:lvl w:ilvl="7">
      <w:start w:val="1"/>
      <w:numFmt w:val="decimal"/>
      <w:lvlText w:val="%1.%2.%3.%4.%5.%6.%7.%8"/>
      <w:lvlJc w:val="left"/>
      <w:pPr>
        <w:ind w:left="11222" w:hanging="1800"/>
      </w:pPr>
      <w:rPr>
        <w:rFonts w:hint="default"/>
      </w:rPr>
    </w:lvl>
    <w:lvl w:ilvl="8">
      <w:start w:val="1"/>
      <w:numFmt w:val="decimal"/>
      <w:lvlText w:val="%1.%2.%3.%4.%5.%6.%7.%8.%9"/>
      <w:lvlJc w:val="left"/>
      <w:pPr>
        <w:ind w:left="12568" w:hanging="1800"/>
      </w:pPr>
      <w:rPr>
        <w:rFonts w:hint="default"/>
      </w:rPr>
    </w:lvl>
  </w:abstractNum>
  <w:abstractNum w:abstractNumId="64" w15:restartNumberingAfterBreak="0">
    <w:nsid w:val="28754D4E"/>
    <w:multiLevelType w:val="hybridMultilevel"/>
    <w:tmpl w:val="F378F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93461A9"/>
    <w:multiLevelType w:val="hybridMultilevel"/>
    <w:tmpl w:val="B74A2C24"/>
    <w:lvl w:ilvl="0" w:tplc="86922C9E">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9590075"/>
    <w:multiLevelType w:val="hybridMultilevel"/>
    <w:tmpl w:val="8C74DC5E"/>
    <w:lvl w:ilvl="0" w:tplc="86922C9E">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7" w15:restartNumberingAfterBreak="0">
    <w:nsid w:val="298457C0"/>
    <w:multiLevelType w:val="hybridMultilevel"/>
    <w:tmpl w:val="CDB667C0"/>
    <w:lvl w:ilvl="0" w:tplc="86922C9E">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AA10CBD"/>
    <w:multiLevelType w:val="multilevel"/>
    <w:tmpl w:val="E85E2276"/>
    <w:lvl w:ilvl="0">
      <w:start w:val="4"/>
      <w:numFmt w:val="decimal"/>
      <w:lvlText w:val="%1"/>
      <w:lvlJc w:val="left"/>
      <w:pPr>
        <w:ind w:left="480" w:hanging="480"/>
      </w:pPr>
      <w:rPr>
        <w:rFonts w:hint="default"/>
        <w:b w:val="0"/>
        <w:lang w:val="es-DO"/>
      </w:rPr>
    </w:lvl>
    <w:lvl w:ilvl="1">
      <w:start w:val="4"/>
      <w:numFmt w:val="decimal"/>
      <w:lvlText w:val="%1.%2"/>
      <w:lvlJc w:val="left"/>
      <w:pPr>
        <w:ind w:left="1153" w:hanging="480"/>
      </w:pPr>
      <w:rPr>
        <w:rFonts w:hint="default"/>
      </w:rPr>
    </w:lvl>
    <w:lvl w:ilvl="2">
      <w:start w:val="5"/>
      <w:numFmt w:val="decimal"/>
      <w:lvlText w:val="%1.%2.%3"/>
      <w:lvlJc w:val="left"/>
      <w:pPr>
        <w:ind w:left="2066"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69" w15:restartNumberingAfterBreak="0">
    <w:nsid w:val="2B395B19"/>
    <w:multiLevelType w:val="multilevel"/>
    <w:tmpl w:val="1D9C55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2DF4136D"/>
    <w:multiLevelType w:val="hybridMultilevel"/>
    <w:tmpl w:val="D4185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EA106A1"/>
    <w:multiLevelType w:val="hybridMultilevel"/>
    <w:tmpl w:val="1C681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F9E0096"/>
    <w:multiLevelType w:val="hybridMultilevel"/>
    <w:tmpl w:val="3A16C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FF03F11"/>
    <w:multiLevelType w:val="hybridMultilevel"/>
    <w:tmpl w:val="363AC780"/>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74" w15:restartNumberingAfterBreak="0">
    <w:nsid w:val="30C11800"/>
    <w:multiLevelType w:val="hybridMultilevel"/>
    <w:tmpl w:val="E8E2B3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6A35B3A"/>
    <w:multiLevelType w:val="hybridMultilevel"/>
    <w:tmpl w:val="1B805D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84901DA"/>
    <w:multiLevelType w:val="hybridMultilevel"/>
    <w:tmpl w:val="8E583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87E066E"/>
    <w:multiLevelType w:val="hybridMultilevel"/>
    <w:tmpl w:val="B0424A60"/>
    <w:lvl w:ilvl="0" w:tplc="04090003">
      <w:start w:val="1"/>
      <w:numFmt w:val="bullet"/>
      <w:lvlText w:val="o"/>
      <w:lvlJc w:val="left"/>
      <w:pPr>
        <w:ind w:left="990" w:hanging="360"/>
      </w:pPr>
      <w:rPr>
        <w:rFonts w:ascii="Courier New" w:hAnsi="Courier New" w:cs="Courier New" w:hint="default"/>
      </w:rPr>
    </w:lvl>
    <w:lvl w:ilvl="1" w:tplc="1C0A0003" w:tentative="1">
      <w:start w:val="1"/>
      <w:numFmt w:val="bullet"/>
      <w:lvlText w:val="o"/>
      <w:lvlJc w:val="left"/>
      <w:pPr>
        <w:ind w:left="2070" w:hanging="360"/>
      </w:pPr>
      <w:rPr>
        <w:rFonts w:ascii="Courier New" w:hAnsi="Courier New" w:cs="Courier New" w:hint="default"/>
      </w:rPr>
    </w:lvl>
    <w:lvl w:ilvl="2" w:tplc="1C0A0005" w:tentative="1">
      <w:start w:val="1"/>
      <w:numFmt w:val="bullet"/>
      <w:lvlText w:val=""/>
      <w:lvlJc w:val="left"/>
      <w:pPr>
        <w:ind w:left="2790" w:hanging="360"/>
      </w:pPr>
      <w:rPr>
        <w:rFonts w:ascii="Wingdings" w:hAnsi="Wingdings" w:hint="default"/>
      </w:rPr>
    </w:lvl>
    <w:lvl w:ilvl="3" w:tplc="1C0A0001" w:tentative="1">
      <w:start w:val="1"/>
      <w:numFmt w:val="bullet"/>
      <w:lvlText w:val=""/>
      <w:lvlJc w:val="left"/>
      <w:pPr>
        <w:ind w:left="3510" w:hanging="360"/>
      </w:pPr>
      <w:rPr>
        <w:rFonts w:ascii="Symbol" w:hAnsi="Symbol" w:hint="default"/>
      </w:rPr>
    </w:lvl>
    <w:lvl w:ilvl="4" w:tplc="1C0A0003" w:tentative="1">
      <w:start w:val="1"/>
      <w:numFmt w:val="bullet"/>
      <w:lvlText w:val="o"/>
      <w:lvlJc w:val="left"/>
      <w:pPr>
        <w:ind w:left="4230" w:hanging="360"/>
      </w:pPr>
      <w:rPr>
        <w:rFonts w:ascii="Courier New" w:hAnsi="Courier New" w:cs="Courier New" w:hint="default"/>
      </w:rPr>
    </w:lvl>
    <w:lvl w:ilvl="5" w:tplc="1C0A0005" w:tentative="1">
      <w:start w:val="1"/>
      <w:numFmt w:val="bullet"/>
      <w:lvlText w:val=""/>
      <w:lvlJc w:val="left"/>
      <w:pPr>
        <w:ind w:left="4950" w:hanging="360"/>
      </w:pPr>
      <w:rPr>
        <w:rFonts w:ascii="Wingdings" w:hAnsi="Wingdings" w:hint="default"/>
      </w:rPr>
    </w:lvl>
    <w:lvl w:ilvl="6" w:tplc="1C0A0001" w:tentative="1">
      <w:start w:val="1"/>
      <w:numFmt w:val="bullet"/>
      <w:lvlText w:val=""/>
      <w:lvlJc w:val="left"/>
      <w:pPr>
        <w:ind w:left="5670" w:hanging="360"/>
      </w:pPr>
      <w:rPr>
        <w:rFonts w:ascii="Symbol" w:hAnsi="Symbol" w:hint="default"/>
      </w:rPr>
    </w:lvl>
    <w:lvl w:ilvl="7" w:tplc="1C0A0003" w:tentative="1">
      <w:start w:val="1"/>
      <w:numFmt w:val="bullet"/>
      <w:lvlText w:val="o"/>
      <w:lvlJc w:val="left"/>
      <w:pPr>
        <w:ind w:left="6390" w:hanging="360"/>
      </w:pPr>
      <w:rPr>
        <w:rFonts w:ascii="Courier New" w:hAnsi="Courier New" w:cs="Courier New" w:hint="default"/>
      </w:rPr>
    </w:lvl>
    <w:lvl w:ilvl="8" w:tplc="1C0A0005" w:tentative="1">
      <w:start w:val="1"/>
      <w:numFmt w:val="bullet"/>
      <w:lvlText w:val=""/>
      <w:lvlJc w:val="left"/>
      <w:pPr>
        <w:ind w:left="7110" w:hanging="360"/>
      </w:pPr>
      <w:rPr>
        <w:rFonts w:ascii="Wingdings" w:hAnsi="Wingdings" w:hint="default"/>
      </w:rPr>
    </w:lvl>
  </w:abstractNum>
  <w:abstractNum w:abstractNumId="78" w15:restartNumberingAfterBreak="0">
    <w:nsid w:val="389F791A"/>
    <w:multiLevelType w:val="hybridMultilevel"/>
    <w:tmpl w:val="3FA0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B486EDB"/>
    <w:multiLevelType w:val="hybridMultilevel"/>
    <w:tmpl w:val="3EDE1E62"/>
    <w:lvl w:ilvl="0" w:tplc="0409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0" w15:restartNumberingAfterBreak="0">
    <w:nsid w:val="3C1D6753"/>
    <w:multiLevelType w:val="multilevel"/>
    <w:tmpl w:val="70944E0C"/>
    <w:lvl w:ilvl="0">
      <w:start w:val="5"/>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1" w15:restartNumberingAfterBreak="0">
    <w:nsid w:val="3D2577A0"/>
    <w:multiLevelType w:val="hybridMultilevel"/>
    <w:tmpl w:val="0194F4A0"/>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D3C68D3"/>
    <w:multiLevelType w:val="hybridMultilevel"/>
    <w:tmpl w:val="48B6E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D93793E"/>
    <w:multiLevelType w:val="hybridMultilevel"/>
    <w:tmpl w:val="17847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D9B3440"/>
    <w:multiLevelType w:val="hybridMultilevel"/>
    <w:tmpl w:val="7722E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DE943C9"/>
    <w:multiLevelType w:val="hybridMultilevel"/>
    <w:tmpl w:val="BBC05E8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3F846315"/>
    <w:multiLevelType w:val="hybridMultilevel"/>
    <w:tmpl w:val="F4C836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0511FCB"/>
    <w:multiLevelType w:val="hybridMultilevel"/>
    <w:tmpl w:val="C7161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05D6F5F"/>
    <w:multiLevelType w:val="multilevel"/>
    <w:tmpl w:val="22E619E6"/>
    <w:lvl w:ilvl="0">
      <w:start w:val="1"/>
      <w:numFmt w:val="bullet"/>
      <w:lvlText w:val=""/>
      <w:lvlJc w:val="left"/>
      <w:pPr>
        <w:ind w:left="1706" w:hanging="360"/>
      </w:pPr>
      <w:rPr>
        <w:rFonts w:ascii="Symbol" w:hAnsi="Symbol" w:hint="default"/>
      </w:rPr>
    </w:lvl>
    <w:lvl w:ilvl="1">
      <w:start w:val="1"/>
      <w:numFmt w:val="decimal"/>
      <w:isLgl/>
      <w:lvlText w:val="%1.%2"/>
      <w:lvlJc w:val="left"/>
      <w:pPr>
        <w:ind w:left="1695" w:hanging="705"/>
      </w:pPr>
      <w:rPr>
        <w:rFonts w:hint="default"/>
        <w:sz w:val="24"/>
        <w:szCs w:val="24"/>
        <w:lang w:val="es-DO"/>
      </w:rPr>
    </w:lvl>
    <w:lvl w:ilvl="2">
      <w:start w:val="1"/>
      <w:numFmt w:val="decimal"/>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89" w15:restartNumberingAfterBreak="0">
    <w:nsid w:val="41C56AF4"/>
    <w:multiLevelType w:val="hybridMultilevel"/>
    <w:tmpl w:val="64FA4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213236A"/>
    <w:multiLevelType w:val="multilevel"/>
    <w:tmpl w:val="08EA491C"/>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1" w15:restartNumberingAfterBreak="0">
    <w:nsid w:val="42F44D8C"/>
    <w:multiLevelType w:val="hybridMultilevel"/>
    <w:tmpl w:val="923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5080A9A"/>
    <w:multiLevelType w:val="multilevel"/>
    <w:tmpl w:val="7E4482A6"/>
    <w:lvl w:ilvl="0">
      <w:start w:val="6"/>
      <w:numFmt w:val="upperRoman"/>
      <w:lvlText w:val="%1."/>
      <w:lvlJc w:val="left"/>
      <w:pPr>
        <w:ind w:left="2430" w:hanging="72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1987" w:hanging="720"/>
      </w:pPr>
      <w:rPr>
        <w:rFonts w:hint="default"/>
      </w:rPr>
    </w:lvl>
    <w:lvl w:ilvl="3">
      <w:start w:val="1"/>
      <w:numFmt w:val="decimal"/>
      <w:isLgl/>
      <w:lvlText w:val="%1.%2.%3.%4"/>
      <w:lvlJc w:val="left"/>
      <w:pPr>
        <w:ind w:left="2053" w:hanging="720"/>
      </w:pPr>
      <w:rPr>
        <w:rFonts w:hint="default"/>
      </w:rPr>
    </w:lvl>
    <w:lvl w:ilvl="4">
      <w:start w:val="1"/>
      <w:numFmt w:val="decimal"/>
      <w:isLgl/>
      <w:lvlText w:val="%1.%2.%3.%4.%5"/>
      <w:lvlJc w:val="left"/>
      <w:pPr>
        <w:ind w:left="2479" w:hanging="1080"/>
      </w:pPr>
      <w:rPr>
        <w:rFonts w:hint="default"/>
      </w:rPr>
    </w:lvl>
    <w:lvl w:ilvl="5">
      <w:start w:val="1"/>
      <w:numFmt w:val="decimal"/>
      <w:isLgl/>
      <w:lvlText w:val="%1.%2.%3.%4.%5.%6"/>
      <w:lvlJc w:val="left"/>
      <w:pPr>
        <w:ind w:left="2545" w:hanging="1080"/>
      </w:pPr>
      <w:rPr>
        <w:rFonts w:hint="default"/>
      </w:rPr>
    </w:lvl>
    <w:lvl w:ilvl="6">
      <w:start w:val="1"/>
      <w:numFmt w:val="decimal"/>
      <w:isLgl/>
      <w:lvlText w:val="%1.%2.%3.%4.%5.%6.%7"/>
      <w:lvlJc w:val="left"/>
      <w:pPr>
        <w:ind w:left="2971" w:hanging="1440"/>
      </w:pPr>
      <w:rPr>
        <w:rFonts w:hint="default"/>
      </w:rPr>
    </w:lvl>
    <w:lvl w:ilvl="7">
      <w:start w:val="1"/>
      <w:numFmt w:val="decimal"/>
      <w:isLgl/>
      <w:lvlText w:val="%1.%2.%3.%4.%5.%6.%7.%8"/>
      <w:lvlJc w:val="left"/>
      <w:pPr>
        <w:ind w:left="3037" w:hanging="1440"/>
      </w:pPr>
      <w:rPr>
        <w:rFonts w:hint="default"/>
      </w:rPr>
    </w:lvl>
    <w:lvl w:ilvl="8">
      <w:start w:val="1"/>
      <w:numFmt w:val="decimal"/>
      <w:isLgl/>
      <w:lvlText w:val="%1.%2.%3.%4.%5.%6.%7.%8.%9"/>
      <w:lvlJc w:val="left"/>
      <w:pPr>
        <w:ind w:left="3463" w:hanging="1800"/>
      </w:pPr>
      <w:rPr>
        <w:rFonts w:hint="default"/>
      </w:rPr>
    </w:lvl>
  </w:abstractNum>
  <w:abstractNum w:abstractNumId="93" w15:restartNumberingAfterBreak="0">
    <w:nsid w:val="452F6665"/>
    <w:multiLevelType w:val="hybridMultilevel"/>
    <w:tmpl w:val="0EFE8E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65E57F6"/>
    <w:multiLevelType w:val="hybridMultilevel"/>
    <w:tmpl w:val="86C487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7A72216"/>
    <w:multiLevelType w:val="hybridMultilevel"/>
    <w:tmpl w:val="1884D5EE"/>
    <w:lvl w:ilvl="0" w:tplc="C13A5EB2">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7BF1F3C"/>
    <w:multiLevelType w:val="multilevel"/>
    <w:tmpl w:val="F5543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8616C04"/>
    <w:multiLevelType w:val="hybridMultilevel"/>
    <w:tmpl w:val="26060BD4"/>
    <w:lvl w:ilvl="0" w:tplc="04090001">
      <w:start w:val="1"/>
      <w:numFmt w:val="bullet"/>
      <w:lvlText w:val=""/>
      <w:lvlJc w:val="left"/>
      <w:pPr>
        <w:ind w:left="2880" w:hanging="360"/>
      </w:pPr>
      <w:rPr>
        <w:rFonts w:ascii="Symbol" w:hAnsi="Symbol" w:hint="default"/>
      </w:rPr>
    </w:lvl>
    <w:lvl w:ilvl="1" w:tplc="86922C9E">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8" w15:restartNumberingAfterBreak="0">
    <w:nsid w:val="48BC145C"/>
    <w:multiLevelType w:val="hybridMultilevel"/>
    <w:tmpl w:val="A848527A"/>
    <w:lvl w:ilvl="0" w:tplc="580A0017">
      <w:start w:val="1"/>
      <w:numFmt w:val="lowerLetter"/>
      <w:lvlText w:val="%1)"/>
      <w:lvlJc w:val="left"/>
      <w:pPr>
        <w:ind w:left="81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9" w15:restartNumberingAfterBreak="0">
    <w:nsid w:val="48CA32A0"/>
    <w:multiLevelType w:val="hybridMultilevel"/>
    <w:tmpl w:val="B148A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9685150"/>
    <w:multiLevelType w:val="hybridMultilevel"/>
    <w:tmpl w:val="474A33C4"/>
    <w:lvl w:ilvl="0" w:tplc="1C0A000B">
      <w:start w:val="1"/>
      <w:numFmt w:val="bullet"/>
      <w:lvlText w:val=""/>
      <w:lvlJc w:val="left"/>
      <w:pPr>
        <w:ind w:left="990" w:hanging="360"/>
      </w:pPr>
      <w:rPr>
        <w:rFonts w:ascii="Wingdings" w:hAnsi="Wingdings" w:hint="default"/>
      </w:rPr>
    </w:lvl>
    <w:lvl w:ilvl="1" w:tplc="1C0A0003" w:tentative="1">
      <w:start w:val="1"/>
      <w:numFmt w:val="bullet"/>
      <w:lvlText w:val="o"/>
      <w:lvlJc w:val="left"/>
      <w:pPr>
        <w:ind w:left="1710" w:hanging="360"/>
      </w:pPr>
      <w:rPr>
        <w:rFonts w:ascii="Courier New" w:hAnsi="Courier New" w:cs="Courier New" w:hint="default"/>
      </w:rPr>
    </w:lvl>
    <w:lvl w:ilvl="2" w:tplc="1C0A0005" w:tentative="1">
      <w:start w:val="1"/>
      <w:numFmt w:val="bullet"/>
      <w:lvlText w:val=""/>
      <w:lvlJc w:val="left"/>
      <w:pPr>
        <w:ind w:left="2430" w:hanging="360"/>
      </w:pPr>
      <w:rPr>
        <w:rFonts w:ascii="Wingdings" w:hAnsi="Wingdings" w:hint="default"/>
      </w:rPr>
    </w:lvl>
    <w:lvl w:ilvl="3" w:tplc="1C0A0001" w:tentative="1">
      <w:start w:val="1"/>
      <w:numFmt w:val="bullet"/>
      <w:lvlText w:val=""/>
      <w:lvlJc w:val="left"/>
      <w:pPr>
        <w:ind w:left="3150" w:hanging="360"/>
      </w:pPr>
      <w:rPr>
        <w:rFonts w:ascii="Symbol" w:hAnsi="Symbol" w:hint="default"/>
      </w:rPr>
    </w:lvl>
    <w:lvl w:ilvl="4" w:tplc="1C0A0003" w:tentative="1">
      <w:start w:val="1"/>
      <w:numFmt w:val="bullet"/>
      <w:lvlText w:val="o"/>
      <w:lvlJc w:val="left"/>
      <w:pPr>
        <w:ind w:left="3870" w:hanging="360"/>
      </w:pPr>
      <w:rPr>
        <w:rFonts w:ascii="Courier New" w:hAnsi="Courier New" w:cs="Courier New" w:hint="default"/>
      </w:rPr>
    </w:lvl>
    <w:lvl w:ilvl="5" w:tplc="1C0A0005" w:tentative="1">
      <w:start w:val="1"/>
      <w:numFmt w:val="bullet"/>
      <w:lvlText w:val=""/>
      <w:lvlJc w:val="left"/>
      <w:pPr>
        <w:ind w:left="4590" w:hanging="360"/>
      </w:pPr>
      <w:rPr>
        <w:rFonts w:ascii="Wingdings" w:hAnsi="Wingdings" w:hint="default"/>
      </w:rPr>
    </w:lvl>
    <w:lvl w:ilvl="6" w:tplc="1C0A0001" w:tentative="1">
      <w:start w:val="1"/>
      <w:numFmt w:val="bullet"/>
      <w:lvlText w:val=""/>
      <w:lvlJc w:val="left"/>
      <w:pPr>
        <w:ind w:left="5310" w:hanging="360"/>
      </w:pPr>
      <w:rPr>
        <w:rFonts w:ascii="Symbol" w:hAnsi="Symbol" w:hint="default"/>
      </w:rPr>
    </w:lvl>
    <w:lvl w:ilvl="7" w:tplc="1C0A0003" w:tentative="1">
      <w:start w:val="1"/>
      <w:numFmt w:val="bullet"/>
      <w:lvlText w:val="o"/>
      <w:lvlJc w:val="left"/>
      <w:pPr>
        <w:ind w:left="6030" w:hanging="360"/>
      </w:pPr>
      <w:rPr>
        <w:rFonts w:ascii="Courier New" w:hAnsi="Courier New" w:cs="Courier New" w:hint="default"/>
      </w:rPr>
    </w:lvl>
    <w:lvl w:ilvl="8" w:tplc="1C0A0005" w:tentative="1">
      <w:start w:val="1"/>
      <w:numFmt w:val="bullet"/>
      <w:lvlText w:val=""/>
      <w:lvlJc w:val="left"/>
      <w:pPr>
        <w:ind w:left="6750" w:hanging="360"/>
      </w:pPr>
      <w:rPr>
        <w:rFonts w:ascii="Wingdings" w:hAnsi="Wingdings" w:hint="default"/>
      </w:rPr>
    </w:lvl>
  </w:abstractNum>
  <w:abstractNum w:abstractNumId="101" w15:restartNumberingAfterBreak="0">
    <w:nsid w:val="4A084872"/>
    <w:multiLevelType w:val="multilevel"/>
    <w:tmpl w:val="DE5ABE8C"/>
    <w:lvl w:ilvl="0">
      <w:start w:val="6"/>
      <w:numFmt w:val="decimal"/>
      <w:lvlText w:val="%1"/>
      <w:lvlJc w:val="left"/>
      <w:pPr>
        <w:ind w:left="540" w:hanging="540"/>
      </w:pPr>
      <w:rPr>
        <w:rFonts w:hint="default"/>
      </w:rPr>
    </w:lvl>
    <w:lvl w:ilvl="1">
      <w:start w:val="12"/>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480" w:hanging="144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980" w:hanging="2160"/>
      </w:pPr>
      <w:rPr>
        <w:rFonts w:hint="default"/>
      </w:rPr>
    </w:lvl>
    <w:lvl w:ilvl="8">
      <w:start w:val="1"/>
      <w:numFmt w:val="decimal"/>
      <w:lvlText w:val="%1.%2.%3.%4.%5.%6.%7.%8.%9"/>
      <w:lvlJc w:val="left"/>
      <w:pPr>
        <w:ind w:left="12240" w:hanging="2160"/>
      </w:pPr>
      <w:rPr>
        <w:rFonts w:hint="default"/>
      </w:rPr>
    </w:lvl>
  </w:abstractNum>
  <w:abstractNum w:abstractNumId="102" w15:restartNumberingAfterBreak="0">
    <w:nsid w:val="4BD15BA4"/>
    <w:multiLevelType w:val="hybridMultilevel"/>
    <w:tmpl w:val="DB3C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C1F0C56"/>
    <w:multiLevelType w:val="hybridMultilevel"/>
    <w:tmpl w:val="44DC2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D310EFB"/>
    <w:multiLevelType w:val="hybridMultilevel"/>
    <w:tmpl w:val="BD260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D4516F7"/>
    <w:multiLevelType w:val="hybridMultilevel"/>
    <w:tmpl w:val="821603BE"/>
    <w:lvl w:ilvl="0" w:tplc="A840406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F5C46C8"/>
    <w:multiLevelType w:val="hybridMultilevel"/>
    <w:tmpl w:val="CF4E9C7A"/>
    <w:lvl w:ilvl="0" w:tplc="956CD9AC">
      <w:start w:val="1"/>
      <w:numFmt w:val="lowerLetter"/>
      <w:lvlText w:val="%1)"/>
      <w:lvlJc w:val="left"/>
      <w:pPr>
        <w:ind w:left="928"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7" w15:restartNumberingAfterBreak="0">
    <w:nsid w:val="4FE708CA"/>
    <w:multiLevelType w:val="hybridMultilevel"/>
    <w:tmpl w:val="D4CC2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144687A"/>
    <w:multiLevelType w:val="multilevel"/>
    <w:tmpl w:val="E7A8AFB8"/>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9" w15:restartNumberingAfterBreak="0">
    <w:nsid w:val="51E92F7F"/>
    <w:multiLevelType w:val="multilevel"/>
    <w:tmpl w:val="BEFC3FAC"/>
    <w:lvl w:ilvl="0">
      <w:start w:val="1"/>
      <w:numFmt w:val="decimal"/>
      <w:lvlText w:val="%1."/>
      <w:lvlJc w:val="left"/>
      <w:pPr>
        <w:ind w:left="786"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51FB5EDA"/>
    <w:multiLevelType w:val="hybridMultilevel"/>
    <w:tmpl w:val="14B4C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22760B3"/>
    <w:multiLevelType w:val="hybridMultilevel"/>
    <w:tmpl w:val="E0F8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2512837"/>
    <w:multiLevelType w:val="hybridMultilevel"/>
    <w:tmpl w:val="EEF02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38E4620"/>
    <w:multiLevelType w:val="hybridMultilevel"/>
    <w:tmpl w:val="0AD63720"/>
    <w:lvl w:ilvl="0" w:tplc="04090003">
      <w:start w:val="1"/>
      <w:numFmt w:val="bullet"/>
      <w:lvlText w:val="o"/>
      <w:lvlJc w:val="left"/>
      <w:pPr>
        <w:ind w:left="1800" w:hanging="360"/>
      </w:pPr>
      <w:rPr>
        <w:rFonts w:ascii="Courier New" w:hAnsi="Courier New" w:cs="Courier New"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14" w15:restartNumberingAfterBreak="0">
    <w:nsid w:val="53DA07E1"/>
    <w:multiLevelType w:val="multilevel"/>
    <w:tmpl w:val="C61CCC66"/>
    <w:lvl w:ilvl="0">
      <w:start w:val="3"/>
      <w:numFmt w:val="decimal"/>
      <w:lvlText w:val="%1"/>
      <w:lvlJc w:val="left"/>
      <w:pPr>
        <w:ind w:left="660" w:hanging="660"/>
      </w:pPr>
      <w:rPr>
        <w:rFonts w:hint="default"/>
      </w:rPr>
    </w:lvl>
    <w:lvl w:ilvl="1">
      <w:start w:val="11"/>
      <w:numFmt w:val="decimal"/>
      <w:lvlText w:val="%1.%2"/>
      <w:lvlJc w:val="left"/>
      <w:pPr>
        <w:ind w:left="1692" w:hanging="660"/>
      </w:pPr>
      <w:rPr>
        <w:rFonts w:hint="default"/>
      </w:rPr>
    </w:lvl>
    <w:lvl w:ilvl="2">
      <w:start w:val="1"/>
      <w:numFmt w:val="decimal"/>
      <w:lvlText w:val="%1.%2.%3"/>
      <w:lvlJc w:val="left"/>
      <w:pPr>
        <w:ind w:left="2784" w:hanging="720"/>
      </w:pPr>
      <w:rPr>
        <w:rFonts w:hint="default"/>
      </w:rPr>
    </w:lvl>
    <w:lvl w:ilvl="3">
      <w:start w:val="1"/>
      <w:numFmt w:val="decimal"/>
      <w:lvlText w:val="%1.%2.%3.%4"/>
      <w:lvlJc w:val="left"/>
      <w:pPr>
        <w:ind w:left="4176" w:hanging="1080"/>
      </w:pPr>
      <w:rPr>
        <w:rFonts w:hint="default"/>
      </w:rPr>
    </w:lvl>
    <w:lvl w:ilvl="4">
      <w:start w:val="1"/>
      <w:numFmt w:val="decimal"/>
      <w:lvlText w:val="%1.%2.%3.%4.%5"/>
      <w:lvlJc w:val="left"/>
      <w:pPr>
        <w:ind w:left="5208" w:hanging="1080"/>
      </w:pPr>
      <w:rPr>
        <w:rFonts w:hint="default"/>
      </w:rPr>
    </w:lvl>
    <w:lvl w:ilvl="5">
      <w:start w:val="1"/>
      <w:numFmt w:val="decimal"/>
      <w:lvlText w:val="%1.%2.%3.%4.%5.%6"/>
      <w:lvlJc w:val="left"/>
      <w:pPr>
        <w:ind w:left="6600" w:hanging="1440"/>
      </w:pPr>
      <w:rPr>
        <w:rFonts w:hint="default"/>
      </w:rPr>
    </w:lvl>
    <w:lvl w:ilvl="6">
      <w:start w:val="1"/>
      <w:numFmt w:val="decimal"/>
      <w:lvlText w:val="%1.%2.%3.%4.%5.%6.%7"/>
      <w:lvlJc w:val="left"/>
      <w:pPr>
        <w:ind w:left="7632" w:hanging="1440"/>
      </w:pPr>
      <w:rPr>
        <w:rFonts w:hint="default"/>
      </w:rPr>
    </w:lvl>
    <w:lvl w:ilvl="7">
      <w:start w:val="1"/>
      <w:numFmt w:val="decimal"/>
      <w:lvlText w:val="%1.%2.%3.%4.%5.%6.%7.%8"/>
      <w:lvlJc w:val="left"/>
      <w:pPr>
        <w:ind w:left="9024" w:hanging="1800"/>
      </w:pPr>
      <w:rPr>
        <w:rFonts w:hint="default"/>
      </w:rPr>
    </w:lvl>
    <w:lvl w:ilvl="8">
      <w:start w:val="1"/>
      <w:numFmt w:val="decimal"/>
      <w:lvlText w:val="%1.%2.%3.%4.%5.%6.%7.%8.%9"/>
      <w:lvlJc w:val="left"/>
      <w:pPr>
        <w:ind w:left="10056" w:hanging="1800"/>
      </w:pPr>
      <w:rPr>
        <w:rFonts w:hint="default"/>
      </w:rPr>
    </w:lvl>
  </w:abstractNum>
  <w:abstractNum w:abstractNumId="115" w15:restartNumberingAfterBreak="0">
    <w:nsid w:val="54C37A20"/>
    <w:multiLevelType w:val="hybridMultilevel"/>
    <w:tmpl w:val="FA7E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5EF6984"/>
    <w:multiLevelType w:val="hybridMultilevel"/>
    <w:tmpl w:val="6622865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56C170EA"/>
    <w:multiLevelType w:val="hybridMultilevel"/>
    <w:tmpl w:val="09BEFE06"/>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8" w15:restartNumberingAfterBreak="0">
    <w:nsid w:val="59456369"/>
    <w:multiLevelType w:val="hybridMultilevel"/>
    <w:tmpl w:val="E628449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95B3AEB"/>
    <w:multiLevelType w:val="hybridMultilevel"/>
    <w:tmpl w:val="2C2E3458"/>
    <w:lvl w:ilvl="0" w:tplc="1C0A0003">
      <w:start w:val="1"/>
      <w:numFmt w:val="bullet"/>
      <w:lvlText w:val="o"/>
      <w:lvlJc w:val="left"/>
      <w:pPr>
        <w:ind w:left="1620" w:hanging="360"/>
      </w:pPr>
      <w:rPr>
        <w:rFonts w:ascii="Courier New" w:hAnsi="Courier New" w:cs="Courier New" w:hint="default"/>
      </w:rPr>
    </w:lvl>
    <w:lvl w:ilvl="1" w:tplc="1C0A0003" w:tentative="1">
      <w:start w:val="1"/>
      <w:numFmt w:val="bullet"/>
      <w:lvlText w:val="o"/>
      <w:lvlJc w:val="left"/>
      <w:pPr>
        <w:ind w:left="2340" w:hanging="360"/>
      </w:pPr>
      <w:rPr>
        <w:rFonts w:ascii="Courier New" w:hAnsi="Courier New" w:cs="Courier New" w:hint="default"/>
      </w:rPr>
    </w:lvl>
    <w:lvl w:ilvl="2" w:tplc="1C0A0005" w:tentative="1">
      <w:start w:val="1"/>
      <w:numFmt w:val="bullet"/>
      <w:lvlText w:val=""/>
      <w:lvlJc w:val="left"/>
      <w:pPr>
        <w:ind w:left="3060" w:hanging="360"/>
      </w:pPr>
      <w:rPr>
        <w:rFonts w:ascii="Wingdings" w:hAnsi="Wingdings" w:hint="default"/>
      </w:rPr>
    </w:lvl>
    <w:lvl w:ilvl="3" w:tplc="1C0A0001" w:tentative="1">
      <w:start w:val="1"/>
      <w:numFmt w:val="bullet"/>
      <w:lvlText w:val=""/>
      <w:lvlJc w:val="left"/>
      <w:pPr>
        <w:ind w:left="3780" w:hanging="360"/>
      </w:pPr>
      <w:rPr>
        <w:rFonts w:ascii="Symbol" w:hAnsi="Symbol" w:hint="default"/>
      </w:rPr>
    </w:lvl>
    <w:lvl w:ilvl="4" w:tplc="1C0A0003" w:tentative="1">
      <w:start w:val="1"/>
      <w:numFmt w:val="bullet"/>
      <w:lvlText w:val="o"/>
      <w:lvlJc w:val="left"/>
      <w:pPr>
        <w:ind w:left="4500" w:hanging="360"/>
      </w:pPr>
      <w:rPr>
        <w:rFonts w:ascii="Courier New" w:hAnsi="Courier New" w:cs="Courier New" w:hint="default"/>
      </w:rPr>
    </w:lvl>
    <w:lvl w:ilvl="5" w:tplc="1C0A0005" w:tentative="1">
      <w:start w:val="1"/>
      <w:numFmt w:val="bullet"/>
      <w:lvlText w:val=""/>
      <w:lvlJc w:val="left"/>
      <w:pPr>
        <w:ind w:left="5220" w:hanging="360"/>
      </w:pPr>
      <w:rPr>
        <w:rFonts w:ascii="Wingdings" w:hAnsi="Wingdings" w:hint="default"/>
      </w:rPr>
    </w:lvl>
    <w:lvl w:ilvl="6" w:tplc="1C0A0001" w:tentative="1">
      <w:start w:val="1"/>
      <w:numFmt w:val="bullet"/>
      <w:lvlText w:val=""/>
      <w:lvlJc w:val="left"/>
      <w:pPr>
        <w:ind w:left="5940" w:hanging="360"/>
      </w:pPr>
      <w:rPr>
        <w:rFonts w:ascii="Symbol" w:hAnsi="Symbol" w:hint="default"/>
      </w:rPr>
    </w:lvl>
    <w:lvl w:ilvl="7" w:tplc="1C0A0003" w:tentative="1">
      <w:start w:val="1"/>
      <w:numFmt w:val="bullet"/>
      <w:lvlText w:val="o"/>
      <w:lvlJc w:val="left"/>
      <w:pPr>
        <w:ind w:left="6660" w:hanging="360"/>
      </w:pPr>
      <w:rPr>
        <w:rFonts w:ascii="Courier New" w:hAnsi="Courier New" w:cs="Courier New" w:hint="default"/>
      </w:rPr>
    </w:lvl>
    <w:lvl w:ilvl="8" w:tplc="1C0A0005" w:tentative="1">
      <w:start w:val="1"/>
      <w:numFmt w:val="bullet"/>
      <w:lvlText w:val=""/>
      <w:lvlJc w:val="left"/>
      <w:pPr>
        <w:ind w:left="7380" w:hanging="360"/>
      </w:pPr>
      <w:rPr>
        <w:rFonts w:ascii="Wingdings" w:hAnsi="Wingdings" w:hint="default"/>
      </w:rPr>
    </w:lvl>
  </w:abstractNum>
  <w:abstractNum w:abstractNumId="120" w15:restartNumberingAfterBreak="0">
    <w:nsid w:val="59BB1C54"/>
    <w:multiLevelType w:val="hybridMultilevel"/>
    <w:tmpl w:val="D9B455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B214DA1"/>
    <w:multiLevelType w:val="multilevel"/>
    <w:tmpl w:val="C5FAB1F2"/>
    <w:lvl w:ilvl="0">
      <w:start w:val="7"/>
      <w:numFmt w:val="decimal"/>
      <w:lvlText w:val="%1"/>
      <w:lvlJc w:val="left"/>
      <w:pPr>
        <w:ind w:left="390" w:hanging="390"/>
      </w:pPr>
      <w:rPr>
        <w:rFonts w:hint="default"/>
      </w:rPr>
    </w:lvl>
    <w:lvl w:ilvl="1">
      <w:start w:val="2"/>
      <w:numFmt w:val="decimal"/>
      <w:lvlText w:val="%1.%2"/>
      <w:lvlJc w:val="left"/>
      <w:pPr>
        <w:ind w:left="2563" w:hanging="72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812" w:hanging="144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858" w:hanging="1800"/>
      </w:pPr>
      <w:rPr>
        <w:rFonts w:hint="default"/>
      </w:rPr>
    </w:lvl>
    <w:lvl w:ilvl="7">
      <w:start w:val="1"/>
      <w:numFmt w:val="decimal"/>
      <w:lvlText w:val="%1.%2.%3.%4.%5.%6.%7.%8"/>
      <w:lvlJc w:val="left"/>
      <w:pPr>
        <w:ind w:left="15061" w:hanging="2160"/>
      </w:pPr>
      <w:rPr>
        <w:rFonts w:hint="default"/>
      </w:rPr>
    </w:lvl>
    <w:lvl w:ilvl="8">
      <w:start w:val="1"/>
      <w:numFmt w:val="decimal"/>
      <w:lvlText w:val="%1.%2.%3.%4.%5.%6.%7.%8.%9"/>
      <w:lvlJc w:val="left"/>
      <w:pPr>
        <w:ind w:left="16904" w:hanging="2160"/>
      </w:pPr>
      <w:rPr>
        <w:rFonts w:hint="default"/>
      </w:rPr>
    </w:lvl>
  </w:abstractNum>
  <w:abstractNum w:abstractNumId="122" w15:restartNumberingAfterBreak="0">
    <w:nsid w:val="5BAD503B"/>
    <w:multiLevelType w:val="hybridMultilevel"/>
    <w:tmpl w:val="44D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C0F6CA2"/>
    <w:multiLevelType w:val="hybridMultilevel"/>
    <w:tmpl w:val="53344FE4"/>
    <w:lvl w:ilvl="0" w:tplc="0C0A0001">
      <w:numFmt w:val="bullet"/>
      <w:lvlText w:val=""/>
      <w:lvlJc w:val="left"/>
      <w:pPr>
        <w:ind w:left="720" w:hanging="360"/>
      </w:pPr>
      <w:rPr>
        <w:rFonts w:ascii="Symbol" w:eastAsia="Times New Roman" w:hAnsi="Symbol" w:cs="Times New Roman"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15:restartNumberingAfterBreak="0">
    <w:nsid w:val="5D8D3098"/>
    <w:multiLevelType w:val="hybridMultilevel"/>
    <w:tmpl w:val="0DACFC82"/>
    <w:lvl w:ilvl="0" w:tplc="86922C9E">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E4E1B01"/>
    <w:multiLevelType w:val="hybridMultilevel"/>
    <w:tmpl w:val="74042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EA9528C"/>
    <w:multiLevelType w:val="hybridMultilevel"/>
    <w:tmpl w:val="F60CF1C8"/>
    <w:lvl w:ilvl="0" w:tplc="1C0A0003">
      <w:start w:val="1"/>
      <w:numFmt w:val="bullet"/>
      <w:lvlText w:val="o"/>
      <w:lvlJc w:val="left"/>
      <w:pPr>
        <w:ind w:left="2520" w:hanging="360"/>
      </w:pPr>
      <w:rPr>
        <w:rFonts w:ascii="Courier New" w:hAnsi="Courier New" w:cs="Courier New" w:hint="default"/>
      </w:rPr>
    </w:lvl>
    <w:lvl w:ilvl="1" w:tplc="1C0A0003" w:tentative="1">
      <w:start w:val="1"/>
      <w:numFmt w:val="bullet"/>
      <w:lvlText w:val="o"/>
      <w:lvlJc w:val="left"/>
      <w:pPr>
        <w:ind w:left="3240" w:hanging="360"/>
      </w:pPr>
      <w:rPr>
        <w:rFonts w:ascii="Courier New" w:hAnsi="Courier New" w:cs="Courier New" w:hint="default"/>
      </w:rPr>
    </w:lvl>
    <w:lvl w:ilvl="2" w:tplc="1C0A0005" w:tentative="1">
      <w:start w:val="1"/>
      <w:numFmt w:val="bullet"/>
      <w:lvlText w:val=""/>
      <w:lvlJc w:val="left"/>
      <w:pPr>
        <w:ind w:left="3960" w:hanging="360"/>
      </w:pPr>
      <w:rPr>
        <w:rFonts w:ascii="Wingdings" w:hAnsi="Wingdings" w:hint="default"/>
      </w:rPr>
    </w:lvl>
    <w:lvl w:ilvl="3" w:tplc="1C0A0001" w:tentative="1">
      <w:start w:val="1"/>
      <w:numFmt w:val="bullet"/>
      <w:lvlText w:val=""/>
      <w:lvlJc w:val="left"/>
      <w:pPr>
        <w:ind w:left="4680" w:hanging="360"/>
      </w:pPr>
      <w:rPr>
        <w:rFonts w:ascii="Symbol" w:hAnsi="Symbol" w:hint="default"/>
      </w:rPr>
    </w:lvl>
    <w:lvl w:ilvl="4" w:tplc="1C0A0003" w:tentative="1">
      <w:start w:val="1"/>
      <w:numFmt w:val="bullet"/>
      <w:lvlText w:val="o"/>
      <w:lvlJc w:val="left"/>
      <w:pPr>
        <w:ind w:left="5400" w:hanging="360"/>
      </w:pPr>
      <w:rPr>
        <w:rFonts w:ascii="Courier New" w:hAnsi="Courier New" w:cs="Courier New" w:hint="default"/>
      </w:rPr>
    </w:lvl>
    <w:lvl w:ilvl="5" w:tplc="1C0A0005" w:tentative="1">
      <w:start w:val="1"/>
      <w:numFmt w:val="bullet"/>
      <w:lvlText w:val=""/>
      <w:lvlJc w:val="left"/>
      <w:pPr>
        <w:ind w:left="6120" w:hanging="360"/>
      </w:pPr>
      <w:rPr>
        <w:rFonts w:ascii="Wingdings" w:hAnsi="Wingdings" w:hint="default"/>
      </w:rPr>
    </w:lvl>
    <w:lvl w:ilvl="6" w:tplc="1C0A0001" w:tentative="1">
      <w:start w:val="1"/>
      <w:numFmt w:val="bullet"/>
      <w:lvlText w:val=""/>
      <w:lvlJc w:val="left"/>
      <w:pPr>
        <w:ind w:left="6840" w:hanging="360"/>
      </w:pPr>
      <w:rPr>
        <w:rFonts w:ascii="Symbol" w:hAnsi="Symbol" w:hint="default"/>
      </w:rPr>
    </w:lvl>
    <w:lvl w:ilvl="7" w:tplc="1C0A0003" w:tentative="1">
      <w:start w:val="1"/>
      <w:numFmt w:val="bullet"/>
      <w:lvlText w:val="o"/>
      <w:lvlJc w:val="left"/>
      <w:pPr>
        <w:ind w:left="7560" w:hanging="360"/>
      </w:pPr>
      <w:rPr>
        <w:rFonts w:ascii="Courier New" w:hAnsi="Courier New" w:cs="Courier New" w:hint="default"/>
      </w:rPr>
    </w:lvl>
    <w:lvl w:ilvl="8" w:tplc="1C0A0005" w:tentative="1">
      <w:start w:val="1"/>
      <w:numFmt w:val="bullet"/>
      <w:lvlText w:val=""/>
      <w:lvlJc w:val="left"/>
      <w:pPr>
        <w:ind w:left="8280" w:hanging="360"/>
      </w:pPr>
      <w:rPr>
        <w:rFonts w:ascii="Wingdings" w:hAnsi="Wingdings" w:hint="default"/>
      </w:rPr>
    </w:lvl>
  </w:abstractNum>
  <w:abstractNum w:abstractNumId="127" w15:restartNumberingAfterBreak="0">
    <w:nsid w:val="5F5053E9"/>
    <w:multiLevelType w:val="hybridMultilevel"/>
    <w:tmpl w:val="33A6D0F4"/>
    <w:lvl w:ilvl="0" w:tplc="C5968662">
      <w:start w:val="1"/>
      <w:numFmt w:val="decimal"/>
      <w:lvlText w:val="%1."/>
      <w:lvlJc w:val="left"/>
      <w:pPr>
        <w:ind w:left="1068" w:hanging="360"/>
      </w:pPr>
      <w:rPr>
        <w:rFonts w:ascii="Times New Roman" w:hAnsi="Times New Roman" w:hint="default"/>
        <w:b/>
        <w:i w:val="0"/>
        <w:sz w:val="20"/>
      </w:rPr>
    </w:lvl>
    <w:lvl w:ilvl="1" w:tplc="1C0A0019">
      <w:start w:val="1"/>
      <w:numFmt w:val="lowerLetter"/>
      <w:lvlText w:val="%2."/>
      <w:lvlJc w:val="left"/>
      <w:pPr>
        <w:ind w:left="1788" w:hanging="360"/>
      </w:pPr>
    </w:lvl>
    <w:lvl w:ilvl="2" w:tplc="1C0A001B">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28" w15:restartNumberingAfterBreak="0">
    <w:nsid w:val="613D1BA4"/>
    <w:multiLevelType w:val="multilevel"/>
    <w:tmpl w:val="22E619E6"/>
    <w:lvl w:ilvl="0">
      <w:start w:val="1"/>
      <w:numFmt w:val="bullet"/>
      <w:lvlText w:val=""/>
      <w:lvlJc w:val="left"/>
      <w:pPr>
        <w:ind w:left="1706" w:hanging="360"/>
      </w:pPr>
      <w:rPr>
        <w:rFonts w:ascii="Symbol" w:hAnsi="Symbol" w:hint="default"/>
      </w:rPr>
    </w:lvl>
    <w:lvl w:ilvl="1">
      <w:start w:val="1"/>
      <w:numFmt w:val="decimal"/>
      <w:isLgl/>
      <w:lvlText w:val="%1.%2"/>
      <w:lvlJc w:val="left"/>
      <w:pPr>
        <w:ind w:left="1695" w:hanging="705"/>
      </w:pPr>
      <w:rPr>
        <w:rFonts w:hint="default"/>
        <w:sz w:val="24"/>
        <w:szCs w:val="24"/>
        <w:lang w:val="es-DO"/>
      </w:rPr>
    </w:lvl>
    <w:lvl w:ilvl="2">
      <w:start w:val="1"/>
      <w:numFmt w:val="decimal"/>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129" w15:restartNumberingAfterBreak="0">
    <w:nsid w:val="618D3B9D"/>
    <w:multiLevelType w:val="multilevel"/>
    <w:tmpl w:val="5B623BBC"/>
    <w:lvl w:ilvl="0">
      <w:start w:val="4"/>
      <w:numFmt w:val="decimal"/>
      <w:lvlText w:val="%1"/>
      <w:lvlJc w:val="left"/>
      <w:pPr>
        <w:ind w:left="480" w:hanging="480"/>
      </w:pPr>
      <w:rPr>
        <w:rFonts w:hint="default"/>
        <w:b w:val="0"/>
        <w:lang w:val="es-DO"/>
      </w:rPr>
    </w:lvl>
    <w:lvl w:ilvl="1">
      <w:start w:val="4"/>
      <w:numFmt w:val="decimal"/>
      <w:lvlText w:val="%1.%2"/>
      <w:lvlJc w:val="left"/>
      <w:pPr>
        <w:ind w:left="1153" w:hanging="480"/>
      </w:pPr>
      <w:rPr>
        <w:rFonts w:hint="default"/>
      </w:rPr>
    </w:lvl>
    <w:lvl w:ilvl="2">
      <w:start w:val="5"/>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130" w15:restartNumberingAfterBreak="0">
    <w:nsid w:val="619308CD"/>
    <w:multiLevelType w:val="hybridMultilevel"/>
    <w:tmpl w:val="BD888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1D91DB4"/>
    <w:multiLevelType w:val="hybridMultilevel"/>
    <w:tmpl w:val="7EFA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22B4455"/>
    <w:multiLevelType w:val="hybridMultilevel"/>
    <w:tmpl w:val="767276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4CF1FE3"/>
    <w:multiLevelType w:val="multilevel"/>
    <w:tmpl w:val="0E60DE7A"/>
    <w:lvl w:ilvl="0">
      <w:start w:val="1"/>
      <w:numFmt w:val="upperRoman"/>
      <w:lvlText w:val="%1."/>
      <w:lvlJc w:val="right"/>
      <w:pPr>
        <w:ind w:left="720" w:hanging="360"/>
      </w:pPr>
    </w:lvl>
    <w:lvl w:ilvl="1">
      <w:start w:val="1"/>
      <w:numFmt w:val="lowerLetter"/>
      <w:lvlText w:val="%2)"/>
      <w:lvlJc w:val="left"/>
      <w:pPr>
        <w:ind w:left="3270" w:hanging="48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659A1ADA"/>
    <w:multiLevelType w:val="multilevel"/>
    <w:tmpl w:val="4CDE336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59E2FB4"/>
    <w:multiLevelType w:val="hybridMultilevel"/>
    <w:tmpl w:val="8DE63A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5BC1CD1"/>
    <w:multiLevelType w:val="hybridMultilevel"/>
    <w:tmpl w:val="5C6E6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61334AA"/>
    <w:multiLevelType w:val="hybridMultilevel"/>
    <w:tmpl w:val="26B8E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67794B5F"/>
    <w:multiLevelType w:val="hybridMultilevel"/>
    <w:tmpl w:val="A6D49880"/>
    <w:lvl w:ilvl="0" w:tplc="E0B4FA18">
      <w:start w:val="1"/>
      <w:numFmt w:val="bullet"/>
      <w:lvlText w:val=""/>
      <w:lvlJc w:val="left"/>
      <w:pPr>
        <w:ind w:left="3289" w:hanging="79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7BD1438"/>
    <w:multiLevelType w:val="multilevel"/>
    <w:tmpl w:val="BEA2BFDA"/>
    <w:lvl w:ilvl="0">
      <w:start w:val="3"/>
      <w:numFmt w:val="decimal"/>
      <w:lvlText w:val="%1"/>
      <w:lvlJc w:val="left"/>
      <w:pPr>
        <w:ind w:left="360" w:hanging="360"/>
      </w:pPr>
      <w:rPr>
        <w:rFonts w:hint="default"/>
      </w:rPr>
    </w:lvl>
    <w:lvl w:ilvl="1">
      <w:start w:val="2"/>
      <w:numFmt w:val="decimal"/>
      <w:lvlText w:val="%1.%2"/>
      <w:lvlJc w:val="left"/>
      <w:pPr>
        <w:ind w:left="1032" w:hanging="360"/>
      </w:pPr>
      <w:rPr>
        <w:rFonts w:hint="default"/>
      </w:rPr>
    </w:lvl>
    <w:lvl w:ilvl="2">
      <w:start w:val="1"/>
      <w:numFmt w:val="decimal"/>
      <w:lvlText w:val="%1.%2.%3"/>
      <w:lvlJc w:val="left"/>
      <w:pPr>
        <w:ind w:left="2064" w:hanging="720"/>
      </w:pPr>
      <w:rPr>
        <w:rFonts w:hint="default"/>
      </w:rPr>
    </w:lvl>
    <w:lvl w:ilvl="3">
      <w:start w:val="1"/>
      <w:numFmt w:val="decimal"/>
      <w:lvlText w:val="%1.%2.%3.%4"/>
      <w:lvlJc w:val="left"/>
      <w:pPr>
        <w:ind w:left="3096" w:hanging="108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800" w:hanging="144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504" w:hanging="1800"/>
      </w:pPr>
      <w:rPr>
        <w:rFonts w:hint="default"/>
      </w:rPr>
    </w:lvl>
    <w:lvl w:ilvl="8">
      <w:start w:val="1"/>
      <w:numFmt w:val="decimal"/>
      <w:lvlText w:val="%1.%2.%3.%4.%5.%6.%7.%8.%9"/>
      <w:lvlJc w:val="left"/>
      <w:pPr>
        <w:ind w:left="7176" w:hanging="1800"/>
      </w:pPr>
      <w:rPr>
        <w:rFonts w:hint="default"/>
      </w:rPr>
    </w:lvl>
  </w:abstractNum>
  <w:abstractNum w:abstractNumId="140" w15:restartNumberingAfterBreak="0">
    <w:nsid w:val="687D4156"/>
    <w:multiLevelType w:val="hybridMultilevel"/>
    <w:tmpl w:val="74CE61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1" w15:restartNumberingAfterBreak="0">
    <w:nsid w:val="69093C61"/>
    <w:multiLevelType w:val="hybridMultilevel"/>
    <w:tmpl w:val="3698DE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9500036"/>
    <w:multiLevelType w:val="hybridMultilevel"/>
    <w:tmpl w:val="6FA0C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A8826DE"/>
    <w:multiLevelType w:val="multilevel"/>
    <w:tmpl w:val="9A46E120"/>
    <w:lvl w:ilvl="0">
      <w:start w:val="4"/>
      <w:numFmt w:val="decimal"/>
      <w:lvlText w:val="%1"/>
      <w:lvlJc w:val="left"/>
      <w:pPr>
        <w:ind w:left="530" w:hanging="530"/>
      </w:pPr>
      <w:rPr>
        <w:rFonts w:hint="default"/>
      </w:rPr>
    </w:lvl>
    <w:lvl w:ilvl="1">
      <w:start w:val="5"/>
      <w:numFmt w:val="decimal"/>
      <w:lvlText w:val="%1.%2"/>
      <w:lvlJc w:val="left"/>
      <w:pPr>
        <w:ind w:left="925" w:hanging="530"/>
      </w:pPr>
      <w:rPr>
        <w:rFonts w:hint="default"/>
      </w:rPr>
    </w:lvl>
    <w:lvl w:ilvl="2">
      <w:start w:val="6"/>
      <w:numFmt w:val="decimal"/>
      <w:lvlText w:val="%1.%2.%3"/>
      <w:lvlJc w:val="left"/>
      <w:pPr>
        <w:ind w:left="1510" w:hanging="720"/>
      </w:pPr>
      <w:rPr>
        <w:rFonts w:hint="default"/>
      </w:rPr>
    </w:lvl>
    <w:lvl w:ilvl="3">
      <w:start w:val="1"/>
      <w:numFmt w:val="decimal"/>
      <w:lvlText w:val="%1.%2.%3.%4"/>
      <w:lvlJc w:val="left"/>
      <w:pPr>
        <w:ind w:left="2265" w:hanging="1080"/>
      </w:pPr>
      <w:rPr>
        <w:rFonts w:hint="default"/>
      </w:rPr>
    </w:lvl>
    <w:lvl w:ilvl="4">
      <w:start w:val="1"/>
      <w:numFmt w:val="decimal"/>
      <w:lvlText w:val="%1.%2.%3.%4.%5"/>
      <w:lvlJc w:val="left"/>
      <w:pPr>
        <w:ind w:left="2660" w:hanging="1080"/>
      </w:pPr>
      <w:rPr>
        <w:rFonts w:hint="default"/>
      </w:rPr>
    </w:lvl>
    <w:lvl w:ilvl="5">
      <w:start w:val="1"/>
      <w:numFmt w:val="decimal"/>
      <w:lvlText w:val="%1.%2.%3.%4.%5.%6"/>
      <w:lvlJc w:val="left"/>
      <w:pPr>
        <w:ind w:left="3415" w:hanging="1440"/>
      </w:pPr>
      <w:rPr>
        <w:rFonts w:hint="default"/>
      </w:rPr>
    </w:lvl>
    <w:lvl w:ilvl="6">
      <w:start w:val="1"/>
      <w:numFmt w:val="decimal"/>
      <w:lvlText w:val="%1.%2.%3.%4.%5.%6.%7"/>
      <w:lvlJc w:val="left"/>
      <w:pPr>
        <w:ind w:left="3810" w:hanging="1440"/>
      </w:pPr>
      <w:rPr>
        <w:rFonts w:hint="default"/>
      </w:rPr>
    </w:lvl>
    <w:lvl w:ilvl="7">
      <w:start w:val="1"/>
      <w:numFmt w:val="decimal"/>
      <w:lvlText w:val="%1.%2.%3.%4.%5.%6.%7.%8"/>
      <w:lvlJc w:val="left"/>
      <w:pPr>
        <w:ind w:left="4565" w:hanging="1800"/>
      </w:pPr>
      <w:rPr>
        <w:rFonts w:hint="default"/>
      </w:rPr>
    </w:lvl>
    <w:lvl w:ilvl="8">
      <w:start w:val="1"/>
      <w:numFmt w:val="decimal"/>
      <w:lvlText w:val="%1.%2.%3.%4.%5.%6.%7.%8.%9"/>
      <w:lvlJc w:val="left"/>
      <w:pPr>
        <w:ind w:left="4960" w:hanging="1800"/>
      </w:pPr>
      <w:rPr>
        <w:rFonts w:hint="default"/>
      </w:rPr>
    </w:lvl>
  </w:abstractNum>
  <w:abstractNum w:abstractNumId="144" w15:restartNumberingAfterBreak="0">
    <w:nsid w:val="6AA046A2"/>
    <w:multiLevelType w:val="hybridMultilevel"/>
    <w:tmpl w:val="1694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842AE8"/>
    <w:multiLevelType w:val="hybridMultilevel"/>
    <w:tmpl w:val="C178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DAB0112"/>
    <w:multiLevelType w:val="multilevel"/>
    <w:tmpl w:val="95F2D99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E307518"/>
    <w:multiLevelType w:val="multilevel"/>
    <w:tmpl w:val="D8EC5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8" w15:restartNumberingAfterBreak="0">
    <w:nsid w:val="6FEB4B74"/>
    <w:multiLevelType w:val="hybridMultilevel"/>
    <w:tmpl w:val="6FB4A47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6FF85996"/>
    <w:multiLevelType w:val="hybridMultilevel"/>
    <w:tmpl w:val="4314AC1E"/>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0692A3E"/>
    <w:multiLevelType w:val="multilevel"/>
    <w:tmpl w:val="5B623BBC"/>
    <w:lvl w:ilvl="0">
      <w:start w:val="4"/>
      <w:numFmt w:val="decimal"/>
      <w:lvlText w:val="%1"/>
      <w:lvlJc w:val="left"/>
      <w:pPr>
        <w:ind w:left="480" w:hanging="480"/>
      </w:pPr>
      <w:rPr>
        <w:rFonts w:hint="default"/>
        <w:b w:val="0"/>
      </w:rPr>
    </w:lvl>
    <w:lvl w:ilvl="1">
      <w:start w:val="4"/>
      <w:numFmt w:val="decimal"/>
      <w:lvlText w:val="%1.%2"/>
      <w:lvlJc w:val="left"/>
      <w:pPr>
        <w:ind w:left="1153" w:hanging="480"/>
      </w:pPr>
      <w:rPr>
        <w:rFonts w:hint="default"/>
      </w:rPr>
    </w:lvl>
    <w:lvl w:ilvl="2">
      <w:start w:val="5"/>
      <w:numFmt w:val="decimal"/>
      <w:lvlText w:val="%1.%2.%3"/>
      <w:lvlJc w:val="left"/>
      <w:pPr>
        <w:ind w:left="2066" w:hanging="720"/>
      </w:pPr>
      <w:rPr>
        <w:rFonts w:hint="default"/>
      </w:rPr>
    </w:lvl>
    <w:lvl w:ilvl="3">
      <w:start w:val="1"/>
      <w:numFmt w:val="decimal"/>
      <w:lvlText w:val="%1.%2.%3.%4"/>
      <w:lvlJc w:val="left"/>
      <w:pPr>
        <w:ind w:left="2739" w:hanging="72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478" w:hanging="144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7184" w:hanging="1800"/>
      </w:pPr>
      <w:rPr>
        <w:rFonts w:hint="default"/>
      </w:rPr>
    </w:lvl>
  </w:abstractNum>
  <w:abstractNum w:abstractNumId="151" w15:restartNumberingAfterBreak="0">
    <w:nsid w:val="714B26FA"/>
    <w:multiLevelType w:val="hybridMultilevel"/>
    <w:tmpl w:val="C80AAF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1AF2898"/>
    <w:multiLevelType w:val="hybridMultilevel"/>
    <w:tmpl w:val="2D406852"/>
    <w:lvl w:ilvl="0" w:tplc="46DE1C90">
      <w:start w:val="1"/>
      <w:numFmt w:val="bullet"/>
      <w:lvlText w:val=""/>
      <w:lvlJc w:val="left"/>
      <w:pPr>
        <w:ind w:left="630" w:hanging="360"/>
      </w:pPr>
      <w:rPr>
        <w:rFonts w:ascii="Symbol" w:hAnsi="Symbol" w:hint="default"/>
        <w:i/>
        <w:iCs/>
      </w:rPr>
    </w:lvl>
    <w:lvl w:ilvl="1" w:tplc="04090003" w:tentative="1">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3" w15:restartNumberingAfterBreak="0">
    <w:nsid w:val="71E36AB3"/>
    <w:multiLevelType w:val="hybridMultilevel"/>
    <w:tmpl w:val="889AE948"/>
    <w:lvl w:ilvl="0" w:tplc="2AE61F8E">
      <w:start w:val="1"/>
      <w:numFmt w:val="bullet"/>
      <w:lvlText w:val=""/>
      <w:lvlJc w:val="left"/>
      <w:pPr>
        <w:ind w:left="1778" w:hanging="360"/>
      </w:pPr>
      <w:rPr>
        <w:rFonts w:ascii="Symbol" w:hAnsi="Symbol" w:hint="default"/>
      </w:rPr>
    </w:lvl>
    <w:lvl w:ilvl="1" w:tplc="08923766">
      <w:start w:val="2"/>
      <w:numFmt w:val="bullet"/>
      <w:lvlText w:val="•"/>
      <w:lvlJc w:val="left"/>
      <w:pPr>
        <w:ind w:left="2843" w:hanging="705"/>
      </w:pPr>
      <w:rPr>
        <w:rFonts w:ascii="Times New Roman" w:eastAsia="Calibri" w:hAnsi="Times New Roman" w:cs="Times New Roman"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54" w15:restartNumberingAfterBreak="0">
    <w:nsid w:val="72811E4A"/>
    <w:multiLevelType w:val="hybridMultilevel"/>
    <w:tmpl w:val="461A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28808DF"/>
    <w:multiLevelType w:val="hybridMultilevel"/>
    <w:tmpl w:val="41A00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3A60B5A"/>
    <w:multiLevelType w:val="hybridMultilevel"/>
    <w:tmpl w:val="586C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3E9126E"/>
    <w:multiLevelType w:val="multilevel"/>
    <w:tmpl w:val="F0628D0C"/>
    <w:lvl w:ilvl="0">
      <w:start w:val="1"/>
      <w:numFmt w:val="upperRoman"/>
      <w:lvlText w:val="%1."/>
      <w:lvlJc w:val="right"/>
      <w:pPr>
        <w:ind w:left="1706" w:hanging="360"/>
      </w:pPr>
      <w:rPr>
        <w:rFonts w:hint="default"/>
      </w:rPr>
    </w:lvl>
    <w:lvl w:ilvl="1">
      <w:start w:val="1"/>
      <w:numFmt w:val="decimal"/>
      <w:isLgl/>
      <w:lvlText w:val="%1.%2"/>
      <w:lvlJc w:val="left"/>
      <w:pPr>
        <w:ind w:left="2051" w:hanging="705"/>
      </w:pPr>
      <w:rPr>
        <w:rFonts w:hint="default"/>
        <w:sz w:val="24"/>
        <w:szCs w:val="24"/>
      </w:rPr>
    </w:lvl>
    <w:lvl w:ilvl="2">
      <w:start w:val="1"/>
      <w:numFmt w:val="decimal"/>
      <w:isLgl/>
      <w:lvlText w:val="%1.%2.%3"/>
      <w:lvlJc w:val="left"/>
      <w:pPr>
        <w:ind w:left="2066" w:hanging="720"/>
      </w:pPr>
      <w:rPr>
        <w:rFonts w:hint="default"/>
      </w:rPr>
    </w:lvl>
    <w:lvl w:ilvl="3">
      <w:start w:val="1"/>
      <w:numFmt w:val="decimal"/>
      <w:isLgl/>
      <w:lvlText w:val="%1.%2.%3.%4"/>
      <w:lvlJc w:val="left"/>
      <w:pPr>
        <w:ind w:left="2066" w:hanging="720"/>
      </w:pPr>
      <w:rPr>
        <w:rFonts w:hint="default"/>
      </w:rPr>
    </w:lvl>
    <w:lvl w:ilvl="4">
      <w:start w:val="1"/>
      <w:numFmt w:val="decimal"/>
      <w:isLgl/>
      <w:lvlText w:val="%1.%2.%3.%4.%5"/>
      <w:lvlJc w:val="left"/>
      <w:pPr>
        <w:ind w:left="2426" w:hanging="1080"/>
      </w:pPr>
      <w:rPr>
        <w:rFonts w:hint="default"/>
      </w:rPr>
    </w:lvl>
    <w:lvl w:ilvl="5">
      <w:start w:val="1"/>
      <w:numFmt w:val="decimal"/>
      <w:isLgl/>
      <w:lvlText w:val="%1.%2.%3.%4.%5.%6"/>
      <w:lvlJc w:val="left"/>
      <w:pPr>
        <w:ind w:left="2426" w:hanging="1080"/>
      </w:pPr>
      <w:rPr>
        <w:rFonts w:hint="default"/>
      </w:rPr>
    </w:lvl>
    <w:lvl w:ilvl="6">
      <w:start w:val="1"/>
      <w:numFmt w:val="decimal"/>
      <w:isLgl/>
      <w:lvlText w:val="%1.%2.%3.%4.%5.%6.%7"/>
      <w:lvlJc w:val="left"/>
      <w:pPr>
        <w:ind w:left="2786" w:hanging="1440"/>
      </w:pPr>
      <w:rPr>
        <w:rFonts w:hint="default"/>
      </w:rPr>
    </w:lvl>
    <w:lvl w:ilvl="7">
      <w:start w:val="1"/>
      <w:numFmt w:val="decimal"/>
      <w:isLgl/>
      <w:lvlText w:val="%1.%2.%3.%4.%5.%6.%7.%8"/>
      <w:lvlJc w:val="left"/>
      <w:pPr>
        <w:ind w:left="2786" w:hanging="1440"/>
      </w:pPr>
      <w:rPr>
        <w:rFonts w:hint="default"/>
      </w:rPr>
    </w:lvl>
    <w:lvl w:ilvl="8">
      <w:start w:val="1"/>
      <w:numFmt w:val="decimal"/>
      <w:isLgl/>
      <w:lvlText w:val="%1.%2.%3.%4.%5.%6.%7.%8.%9"/>
      <w:lvlJc w:val="left"/>
      <w:pPr>
        <w:ind w:left="3146" w:hanging="1800"/>
      </w:pPr>
      <w:rPr>
        <w:rFonts w:hint="default"/>
      </w:rPr>
    </w:lvl>
  </w:abstractNum>
  <w:abstractNum w:abstractNumId="158" w15:restartNumberingAfterBreak="0">
    <w:nsid w:val="74193031"/>
    <w:multiLevelType w:val="hybridMultilevel"/>
    <w:tmpl w:val="1944AA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4873435"/>
    <w:multiLevelType w:val="hybridMultilevel"/>
    <w:tmpl w:val="10F614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612530C"/>
    <w:multiLevelType w:val="hybridMultilevel"/>
    <w:tmpl w:val="8D10395E"/>
    <w:lvl w:ilvl="0" w:tplc="0FFA45DC">
      <w:start w:val="1"/>
      <w:numFmt w:val="bullet"/>
      <w:lvlText w:val="o"/>
      <w:lvlJc w:val="left"/>
      <w:pPr>
        <w:ind w:left="79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6A91592"/>
    <w:multiLevelType w:val="hybridMultilevel"/>
    <w:tmpl w:val="878468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7747226F"/>
    <w:multiLevelType w:val="hybridMultilevel"/>
    <w:tmpl w:val="57B88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78A4AA9"/>
    <w:multiLevelType w:val="hybridMultilevel"/>
    <w:tmpl w:val="6ECA9D92"/>
    <w:lvl w:ilvl="0" w:tplc="8FD45C1C">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pStyle w:val="PrrafoNumerado"/>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64" w15:restartNumberingAfterBreak="0">
    <w:nsid w:val="789409F1"/>
    <w:multiLevelType w:val="hybridMultilevel"/>
    <w:tmpl w:val="238AA8D0"/>
    <w:lvl w:ilvl="0" w:tplc="1C0A0001">
      <w:start w:val="1"/>
      <w:numFmt w:val="bullet"/>
      <w:lvlText w:val=""/>
      <w:lvlJc w:val="left"/>
      <w:pPr>
        <w:ind w:left="2771" w:hanging="360"/>
      </w:pPr>
      <w:rPr>
        <w:rFonts w:ascii="Symbol" w:hAnsi="Symbol" w:hint="default"/>
      </w:rPr>
    </w:lvl>
    <w:lvl w:ilvl="1" w:tplc="1C0A0003" w:tentative="1">
      <w:start w:val="1"/>
      <w:numFmt w:val="bullet"/>
      <w:lvlText w:val="o"/>
      <w:lvlJc w:val="left"/>
      <w:pPr>
        <w:ind w:left="3491" w:hanging="360"/>
      </w:pPr>
      <w:rPr>
        <w:rFonts w:ascii="Courier New" w:hAnsi="Courier New" w:cs="Courier New" w:hint="default"/>
      </w:rPr>
    </w:lvl>
    <w:lvl w:ilvl="2" w:tplc="1C0A0005" w:tentative="1">
      <w:start w:val="1"/>
      <w:numFmt w:val="bullet"/>
      <w:lvlText w:val=""/>
      <w:lvlJc w:val="left"/>
      <w:pPr>
        <w:ind w:left="4211" w:hanging="360"/>
      </w:pPr>
      <w:rPr>
        <w:rFonts w:ascii="Wingdings" w:hAnsi="Wingdings" w:hint="default"/>
      </w:rPr>
    </w:lvl>
    <w:lvl w:ilvl="3" w:tplc="1C0A0001" w:tentative="1">
      <w:start w:val="1"/>
      <w:numFmt w:val="bullet"/>
      <w:lvlText w:val=""/>
      <w:lvlJc w:val="left"/>
      <w:pPr>
        <w:ind w:left="4931" w:hanging="360"/>
      </w:pPr>
      <w:rPr>
        <w:rFonts w:ascii="Symbol" w:hAnsi="Symbol" w:hint="default"/>
      </w:rPr>
    </w:lvl>
    <w:lvl w:ilvl="4" w:tplc="1C0A0003" w:tentative="1">
      <w:start w:val="1"/>
      <w:numFmt w:val="bullet"/>
      <w:lvlText w:val="o"/>
      <w:lvlJc w:val="left"/>
      <w:pPr>
        <w:ind w:left="5651" w:hanging="360"/>
      </w:pPr>
      <w:rPr>
        <w:rFonts w:ascii="Courier New" w:hAnsi="Courier New" w:cs="Courier New" w:hint="default"/>
      </w:rPr>
    </w:lvl>
    <w:lvl w:ilvl="5" w:tplc="1C0A0005" w:tentative="1">
      <w:start w:val="1"/>
      <w:numFmt w:val="bullet"/>
      <w:lvlText w:val=""/>
      <w:lvlJc w:val="left"/>
      <w:pPr>
        <w:ind w:left="6371" w:hanging="360"/>
      </w:pPr>
      <w:rPr>
        <w:rFonts w:ascii="Wingdings" w:hAnsi="Wingdings" w:hint="default"/>
      </w:rPr>
    </w:lvl>
    <w:lvl w:ilvl="6" w:tplc="1C0A0001" w:tentative="1">
      <w:start w:val="1"/>
      <w:numFmt w:val="bullet"/>
      <w:lvlText w:val=""/>
      <w:lvlJc w:val="left"/>
      <w:pPr>
        <w:ind w:left="7091" w:hanging="360"/>
      </w:pPr>
      <w:rPr>
        <w:rFonts w:ascii="Symbol" w:hAnsi="Symbol" w:hint="default"/>
      </w:rPr>
    </w:lvl>
    <w:lvl w:ilvl="7" w:tplc="1C0A0003" w:tentative="1">
      <w:start w:val="1"/>
      <w:numFmt w:val="bullet"/>
      <w:lvlText w:val="o"/>
      <w:lvlJc w:val="left"/>
      <w:pPr>
        <w:ind w:left="7811" w:hanging="360"/>
      </w:pPr>
      <w:rPr>
        <w:rFonts w:ascii="Courier New" w:hAnsi="Courier New" w:cs="Courier New" w:hint="default"/>
      </w:rPr>
    </w:lvl>
    <w:lvl w:ilvl="8" w:tplc="1C0A0005" w:tentative="1">
      <w:start w:val="1"/>
      <w:numFmt w:val="bullet"/>
      <w:lvlText w:val=""/>
      <w:lvlJc w:val="left"/>
      <w:pPr>
        <w:ind w:left="8531" w:hanging="360"/>
      </w:pPr>
      <w:rPr>
        <w:rFonts w:ascii="Wingdings" w:hAnsi="Wingdings" w:hint="default"/>
      </w:rPr>
    </w:lvl>
  </w:abstractNum>
  <w:abstractNum w:abstractNumId="165" w15:restartNumberingAfterBreak="0">
    <w:nsid w:val="78A2304C"/>
    <w:multiLevelType w:val="hybridMultilevel"/>
    <w:tmpl w:val="0536436C"/>
    <w:lvl w:ilvl="0" w:tplc="051EC916">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7A916BBC"/>
    <w:multiLevelType w:val="multilevel"/>
    <w:tmpl w:val="C5D03A6C"/>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7" w15:restartNumberingAfterBreak="0">
    <w:nsid w:val="7E683A3D"/>
    <w:multiLevelType w:val="hybridMultilevel"/>
    <w:tmpl w:val="E0EAE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EDF0A3D"/>
    <w:multiLevelType w:val="hybridMultilevel"/>
    <w:tmpl w:val="0FB6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F1D5895"/>
    <w:multiLevelType w:val="multilevel"/>
    <w:tmpl w:val="29C6EC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38053998">
    <w:abstractNumId w:val="163"/>
  </w:num>
  <w:num w:numId="2" w16cid:durableId="949821865">
    <w:abstractNumId w:val="157"/>
    <w:lvlOverride w:ilvl="0">
      <w:startOverride w:val="3"/>
    </w:lvlOverride>
  </w:num>
  <w:num w:numId="3" w16cid:durableId="1986886439">
    <w:abstractNumId w:val="127"/>
  </w:num>
  <w:num w:numId="4" w16cid:durableId="163447177">
    <w:abstractNumId w:val="98"/>
  </w:num>
  <w:num w:numId="5" w16cid:durableId="1505045884">
    <w:abstractNumId w:val="133"/>
  </w:num>
  <w:num w:numId="6" w16cid:durableId="337006765">
    <w:abstractNumId w:val="48"/>
  </w:num>
  <w:num w:numId="7" w16cid:durableId="1668551752">
    <w:abstractNumId w:val="9"/>
  </w:num>
  <w:num w:numId="8" w16cid:durableId="1559434168">
    <w:abstractNumId w:val="153"/>
  </w:num>
  <w:num w:numId="9" w16cid:durableId="1605459127">
    <w:abstractNumId w:val="92"/>
  </w:num>
  <w:num w:numId="10" w16cid:durableId="1531794088">
    <w:abstractNumId w:val="134"/>
  </w:num>
  <w:num w:numId="11" w16cid:durableId="962152248">
    <w:abstractNumId w:val="68"/>
  </w:num>
  <w:num w:numId="12" w16cid:durableId="1395473312">
    <w:abstractNumId w:val="59"/>
  </w:num>
  <w:num w:numId="13" w16cid:durableId="315036721">
    <w:abstractNumId w:val="2"/>
  </w:num>
  <w:num w:numId="14" w16cid:durableId="1453743948">
    <w:abstractNumId w:val="1"/>
  </w:num>
  <w:num w:numId="15" w16cid:durableId="87432267">
    <w:abstractNumId w:val="0"/>
  </w:num>
  <w:num w:numId="16" w16cid:durableId="274755278">
    <w:abstractNumId w:val="139"/>
  </w:num>
  <w:num w:numId="17" w16cid:durableId="1488009212">
    <w:abstractNumId w:val="14"/>
  </w:num>
  <w:num w:numId="18" w16cid:durableId="1620724416">
    <w:abstractNumId w:val="26"/>
  </w:num>
  <w:num w:numId="19" w16cid:durableId="1426419972">
    <w:abstractNumId w:val="97"/>
  </w:num>
  <w:num w:numId="20" w16cid:durableId="1658992723">
    <w:abstractNumId w:val="46"/>
  </w:num>
  <w:num w:numId="21" w16cid:durableId="1363288903">
    <w:abstractNumId w:val="96"/>
  </w:num>
  <w:num w:numId="22" w16cid:durableId="1229880617">
    <w:abstractNumId w:val="169"/>
  </w:num>
  <w:num w:numId="23" w16cid:durableId="1404715990">
    <w:abstractNumId w:val="147"/>
  </w:num>
  <w:num w:numId="24" w16cid:durableId="2014524710">
    <w:abstractNumId w:val="69"/>
  </w:num>
  <w:num w:numId="25" w16cid:durableId="725567003">
    <w:abstractNumId w:val="109"/>
  </w:num>
  <w:num w:numId="26" w16cid:durableId="686294158">
    <w:abstractNumId w:val="77"/>
  </w:num>
  <w:num w:numId="27" w16cid:durableId="37945852">
    <w:abstractNumId w:val="113"/>
  </w:num>
  <w:num w:numId="28" w16cid:durableId="76709235">
    <w:abstractNumId w:val="13"/>
  </w:num>
  <w:num w:numId="29" w16cid:durableId="1280721321">
    <w:abstractNumId w:val="80"/>
  </w:num>
  <w:num w:numId="30" w16cid:durableId="994532510">
    <w:abstractNumId w:val="117"/>
  </w:num>
  <w:num w:numId="31" w16cid:durableId="1915314504">
    <w:abstractNumId w:val="100"/>
  </w:num>
  <w:num w:numId="32" w16cid:durableId="1618172671">
    <w:abstractNumId w:val="66"/>
  </w:num>
  <w:num w:numId="33" w16cid:durableId="379717171">
    <w:abstractNumId w:val="106"/>
  </w:num>
  <w:num w:numId="34" w16cid:durableId="758674261">
    <w:abstractNumId w:val="9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0324612">
    <w:abstractNumId w:val="49"/>
  </w:num>
  <w:num w:numId="36" w16cid:durableId="1572082774">
    <w:abstractNumId w:val="141"/>
  </w:num>
  <w:num w:numId="37" w16cid:durableId="1850218186">
    <w:abstractNumId w:val="4"/>
  </w:num>
  <w:num w:numId="38" w16cid:durableId="5406679">
    <w:abstractNumId w:val="62"/>
  </w:num>
  <w:num w:numId="39" w16cid:durableId="334771939">
    <w:abstractNumId w:val="105"/>
  </w:num>
  <w:num w:numId="40" w16cid:durableId="58525663">
    <w:abstractNumId w:val="40"/>
  </w:num>
  <w:num w:numId="41" w16cid:durableId="1671565299">
    <w:abstractNumId w:val="123"/>
  </w:num>
  <w:num w:numId="42" w16cid:durableId="707921878">
    <w:abstractNumId w:val="29"/>
  </w:num>
  <w:num w:numId="43" w16cid:durableId="746414900">
    <w:abstractNumId w:val="166"/>
  </w:num>
  <w:num w:numId="44" w16cid:durableId="59522060">
    <w:abstractNumId w:val="90"/>
  </w:num>
  <w:num w:numId="45" w16cid:durableId="1922175678">
    <w:abstractNumId w:val="140"/>
  </w:num>
  <w:num w:numId="46" w16cid:durableId="1182358038">
    <w:abstractNumId w:val="119"/>
  </w:num>
  <w:num w:numId="47" w16cid:durableId="308677650">
    <w:abstractNumId w:val="84"/>
  </w:num>
  <w:num w:numId="48" w16cid:durableId="2140831287">
    <w:abstractNumId w:val="157"/>
    <w:lvlOverride w:ilvl="0">
      <w:startOverride w:val="3"/>
    </w:lvlOverride>
  </w:num>
  <w:num w:numId="49" w16cid:durableId="1815682835">
    <w:abstractNumId w:val="79"/>
  </w:num>
  <w:num w:numId="50" w16cid:durableId="1444037857">
    <w:abstractNumId w:val="126"/>
  </w:num>
  <w:num w:numId="51" w16cid:durableId="269550914">
    <w:abstractNumId w:val="28"/>
  </w:num>
  <w:num w:numId="52" w16cid:durableId="1552502948">
    <w:abstractNumId w:val="165"/>
  </w:num>
  <w:num w:numId="53" w16cid:durableId="112866552">
    <w:abstractNumId w:val="17"/>
  </w:num>
  <w:num w:numId="54" w16cid:durableId="504053839">
    <w:abstractNumId w:val="138"/>
  </w:num>
  <w:num w:numId="55" w16cid:durableId="2134708163">
    <w:abstractNumId w:val="150"/>
  </w:num>
  <w:num w:numId="56" w16cid:durableId="1808890968">
    <w:abstractNumId w:val="44"/>
  </w:num>
  <w:num w:numId="57" w16cid:durableId="825510289">
    <w:abstractNumId w:val="21"/>
  </w:num>
  <w:num w:numId="58" w16cid:durableId="1495534243">
    <w:abstractNumId w:val="148"/>
  </w:num>
  <w:num w:numId="59" w16cid:durableId="185951546">
    <w:abstractNumId w:val="61"/>
  </w:num>
  <w:num w:numId="60" w16cid:durableId="486870426">
    <w:abstractNumId w:val="159"/>
  </w:num>
  <w:num w:numId="61" w16cid:durableId="600797618">
    <w:abstractNumId w:val="34"/>
  </w:num>
  <w:num w:numId="62" w16cid:durableId="847446501">
    <w:abstractNumId w:val="104"/>
  </w:num>
  <w:num w:numId="63" w16cid:durableId="426538261">
    <w:abstractNumId w:val="8"/>
  </w:num>
  <w:num w:numId="64" w16cid:durableId="335160304">
    <w:abstractNumId w:val="151"/>
  </w:num>
  <w:num w:numId="65" w16cid:durableId="1959945906">
    <w:abstractNumId w:val="51"/>
  </w:num>
  <w:num w:numId="66" w16cid:durableId="1747528255">
    <w:abstractNumId w:val="122"/>
  </w:num>
  <w:num w:numId="67" w16cid:durableId="2080129235">
    <w:abstractNumId w:val="103"/>
  </w:num>
  <w:num w:numId="68" w16cid:durableId="1680736661">
    <w:abstractNumId w:val="18"/>
  </w:num>
  <w:num w:numId="69" w16cid:durableId="1913419995">
    <w:abstractNumId w:val="93"/>
  </w:num>
  <w:num w:numId="70" w16cid:durableId="112408269">
    <w:abstractNumId w:val="157"/>
    <w:lvlOverride w:ilvl="0">
      <w:startOverride w:val="3"/>
    </w:lvlOverride>
  </w:num>
  <w:num w:numId="71" w16cid:durableId="2032292375">
    <w:abstractNumId w:val="164"/>
  </w:num>
  <w:num w:numId="72" w16cid:durableId="215548197">
    <w:abstractNumId w:val="157"/>
    <w:lvlOverride w:ilvl="0">
      <w:startOverride w:val="3"/>
    </w:lvlOverride>
  </w:num>
  <w:num w:numId="73" w16cid:durableId="236017056">
    <w:abstractNumId w:val="45"/>
  </w:num>
  <w:num w:numId="74" w16cid:durableId="1310133276">
    <w:abstractNumId w:val="107"/>
  </w:num>
  <w:num w:numId="75" w16cid:durableId="731197138">
    <w:abstractNumId w:val="67"/>
  </w:num>
  <w:num w:numId="76" w16cid:durableId="1473257575">
    <w:abstractNumId w:val="99"/>
  </w:num>
  <w:num w:numId="77" w16cid:durableId="171772082">
    <w:abstractNumId w:val="47"/>
  </w:num>
  <w:num w:numId="78" w16cid:durableId="1074356970">
    <w:abstractNumId w:val="53"/>
  </w:num>
  <w:num w:numId="79" w16cid:durableId="1431316456">
    <w:abstractNumId w:val="74"/>
  </w:num>
  <w:num w:numId="80" w16cid:durableId="1819032673">
    <w:abstractNumId w:val="41"/>
  </w:num>
  <w:num w:numId="81" w16cid:durableId="260575437">
    <w:abstractNumId w:val="95"/>
  </w:num>
  <w:num w:numId="82" w16cid:durableId="762192130">
    <w:abstractNumId w:val="95"/>
    <w:lvlOverride w:ilvl="0">
      <w:startOverride w:val="1"/>
    </w:lvlOverride>
  </w:num>
  <w:num w:numId="83" w16cid:durableId="1905681281">
    <w:abstractNumId w:val="114"/>
  </w:num>
  <w:num w:numId="84" w16cid:durableId="946814437">
    <w:abstractNumId w:val="23"/>
  </w:num>
  <w:num w:numId="85" w16cid:durableId="1712656163">
    <w:abstractNumId w:val="63"/>
  </w:num>
  <w:num w:numId="86" w16cid:durableId="1571188424">
    <w:abstractNumId w:val="108"/>
  </w:num>
  <w:num w:numId="87" w16cid:durableId="1173036409">
    <w:abstractNumId w:val="111"/>
  </w:num>
  <w:num w:numId="88" w16cid:durableId="744575928">
    <w:abstractNumId w:val="31"/>
  </w:num>
  <w:num w:numId="89" w16cid:durableId="65693202">
    <w:abstractNumId w:val="7"/>
  </w:num>
  <w:num w:numId="90" w16cid:durableId="2033913172">
    <w:abstractNumId w:val="152"/>
  </w:num>
  <w:num w:numId="91" w16cid:durableId="1191182934">
    <w:abstractNumId w:val="124"/>
  </w:num>
  <w:num w:numId="92" w16cid:durableId="1851724846">
    <w:abstractNumId w:val="129"/>
  </w:num>
  <w:num w:numId="93" w16cid:durableId="940261164">
    <w:abstractNumId w:val="65"/>
  </w:num>
  <w:num w:numId="94" w16cid:durableId="482814916">
    <w:abstractNumId w:val="73"/>
  </w:num>
  <w:num w:numId="95" w16cid:durableId="151916532">
    <w:abstractNumId w:val="143"/>
  </w:num>
  <w:num w:numId="96" w16cid:durableId="1898778494">
    <w:abstractNumId w:val="33"/>
  </w:num>
  <w:num w:numId="97" w16cid:durableId="1439252029">
    <w:abstractNumId w:val="160"/>
  </w:num>
  <w:num w:numId="98" w16cid:durableId="1894460079">
    <w:abstractNumId w:val="81"/>
  </w:num>
  <w:num w:numId="99" w16cid:durableId="573786219">
    <w:abstractNumId w:val="149"/>
  </w:num>
  <w:num w:numId="100" w16cid:durableId="1573351017">
    <w:abstractNumId w:val="27"/>
  </w:num>
  <w:num w:numId="101" w16cid:durableId="2065985416">
    <w:abstractNumId w:val="15"/>
  </w:num>
  <w:num w:numId="102" w16cid:durableId="1456366972">
    <w:abstractNumId w:val="5"/>
  </w:num>
  <w:num w:numId="103" w16cid:durableId="912663443">
    <w:abstractNumId w:val="3"/>
  </w:num>
  <w:num w:numId="104" w16cid:durableId="347147611">
    <w:abstractNumId w:val="68"/>
    <w:lvlOverride w:ilvl="0">
      <w:startOverride w:val="4"/>
    </w:lvlOverride>
    <w:lvlOverride w:ilvl="1">
      <w:startOverride w:val="5"/>
    </w:lvlOverride>
  </w:num>
  <w:num w:numId="105" w16cid:durableId="913121959">
    <w:abstractNumId w:val="54"/>
  </w:num>
  <w:num w:numId="106" w16cid:durableId="1112362779">
    <w:abstractNumId w:val="101"/>
  </w:num>
  <w:num w:numId="107" w16cid:durableId="369843965">
    <w:abstractNumId w:val="121"/>
  </w:num>
  <w:num w:numId="108" w16cid:durableId="1632400428">
    <w:abstractNumId w:val="19"/>
  </w:num>
  <w:num w:numId="109" w16cid:durableId="1376925132">
    <w:abstractNumId w:val="52"/>
  </w:num>
  <w:num w:numId="110" w16cid:durableId="569776362">
    <w:abstractNumId w:val="161"/>
  </w:num>
  <w:num w:numId="111" w16cid:durableId="712730202">
    <w:abstractNumId w:val="118"/>
  </w:num>
  <w:num w:numId="112" w16cid:durableId="637027651">
    <w:abstractNumId w:val="146"/>
  </w:num>
  <w:num w:numId="113" w16cid:durableId="875237840">
    <w:abstractNumId w:val="128"/>
  </w:num>
  <w:num w:numId="114" w16cid:durableId="1704280411">
    <w:abstractNumId w:val="88"/>
  </w:num>
  <w:num w:numId="115" w16cid:durableId="150798382">
    <w:abstractNumId w:val="20"/>
  </w:num>
  <w:num w:numId="116" w16cid:durableId="1782609824">
    <w:abstractNumId w:val="30"/>
  </w:num>
  <w:num w:numId="117" w16cid:durableId="696275093">
    <w:abstractNumId w:val="30"/>
  </w:num>
  <w:num w:numId="118" w16cid:durableId="1509633661">
    <w:abstractNumId w:val="30"/>
  </w:num>
  <w:num w:numId="119" w16cid:durableId="592788538">
    <w:abstractNumId w:val="30"/>
  </w:num>
  <w:num w:numId="120" w16cid:durableId="1158496156">
    <w:abstractNumId w:val="30"/>
  </w:num>
  <w:num w:numId="121" w16cid:durableId="389809434">
    <w:abstractNumId w:val="30"/>
  </w:num>
  <w:num w:numId="122" w16cid:durableId="475024810">
    <w:abstractNumId w:val="30"/>
  </w:num>
  <w:num w:numId="123" w16cid:durableId="1118834121">
    <w:abstractNumId w:val="30"/>
  </w:num>
  <w:num w:numId="124" w16cid:durableId="1665473766">
    <w:abstractNumId w:val="30"/>
  </w:num>
  <w:num w:numId="125" w16cid:durableId="2106071162">
    <w:abstractNumId w:val="30"/>
  </w:num>
  <w:num w:numId="126" w16cid:durableId="851990020">
    <w:abstractNumId w:val="30"/>
  </w:num>
  <w:num w:numId="127" w16cid:durableId="1397435735">
    <w:abstractNumId w:val="30"/>
  </w:num>
  <w:num w:numId="128" w16cid:durableId="1818721959">
    <w:abstractNumId w:val="30"/>
  </w:num>
  <w:num w:numId="129" w16cid:durableId="660277511">
    <w:abstractNumId w:val="30"/>
  </w:num>
  <w:num w:numId="130" w16cid:durableId="846598106">
    <w:abstractNumId w:val="30"/>
  </w:num>
  <w:num w:numId="131" w16cid:durableId="394469295">
    <w:abstractNumId w:val="30"/>
  </w:num>
  <w:num w:numId="132" w16cid:durableId="2067678454">
    <w:abstractNumId w:val="30"/>
  </w:num>
  <w:num w:numId="133" w16cid:durableId="1247610441">
    <w:abstractNumId w:val="30"/>
  </w:num>
  <w:num w:numId="134" w16cid:durableId="1599215441">
    <w:abstractNumId w:val="30"/>
  </w:num>
  <w:num w:numId="135" w16cid:durableId="1834449610">
    <w:abstractNumId w:val="30"/>
  </w:num>
  <w:num w:numId="136" w16cid:durableId="1318456120">
    <w:abstractNumId w:val="30"/>
  </w:num>
  <w:num w:numId="137" w16cid:durableId="941960799">
    <w:abstractNumId w:val="30"/>
  </w:num>
  <w:num w:numId="138" w16cid:durableId="974868399">
    <w:abstractNumId w:val="30"/>
  </w:num>
  <w:num w:numId="139" w16cid:durableId="992610457">
    <w:abstractNumId w:val="30"/>
  </w:num>
  <w:num w:numId="140" w16cid:durableId="1834564255">
    <w:abstractNumId w:val="30"/>
  </w:num>
  <w:num w:numId="141" w16cid:durableId="2092652263">
    <w:abstractNumId w:val="30"/>
  </w:num>
  <w:num w:numId="142" w16cid:durableId="523711927">
    <w:abstractNumId w:val="30"/>
  </w:num>
  <w:num w:numId="143" w16cid:durableId="1332565170">
    <w:abstractNumId w:val="30"/>
  </w:num>
  <w:num w:numId="144" w16cid:durableId="352810110">
    <w:abstractNumId w:val="30"/>
  </w:num>
  <w:num w:numId="145" w16cid:durableId="1779056529">
    <w:abstractNumId w:val="30"/>
  </w:num>
  <w:num w:numId="146" w16cid:durableId="536426903">
    <w:abstractNumId w:val="30"/>
  </w:num>
  <w:num w:numId="147" w16cid:durableId="401375003">
    <w:abstractNumId w:val="30"/>
  </w:num>
  <w:num w:numId="148" w16cid:durableId="1199397193">
    <w:abstractNumId w:val="30"/>
  </w:num>
  <w:num w:numId="149" w16cid:durableId="1612661608">
    <w:abstractNumId w:val="30"/>
  </w:num>
  <w:num w:numId="150" w16cid:durableId="424889326">
    <w:abstractNumId w:val="30"/>
  </w:num>
  <w:num w:numId="151" w16cid:durableId="1848591199">
    <w:abstractNumId w:val="30"/>
  </w:num>
  <w:num w:numId="152" w16cid:durableId="463355398">
    <w:abstractNumId w:val="30"/>
  </w:num>
  <w:num w:numId="153" w16cid:durableId="423186431">
    <w:abstractNumId w:val="30"/>
  </w:num>
  <w:num w:numId="154" w16cid:durableId="945432232">
    <w:abstractNumId w:val="30"/>
  </w:num>
  <w:num w:numId="155" w16cid:durableId="1663389335">
    <w:abstractNumId w:val="30"/>
  </w:num>
  <w:num w:numId="156" w16cid:durableId="1676608273">
    <w:abstractNumId w:val="30"/>
  </w:num>
  <w:num w:numId="157" w16cid:durableId="1547528814">
    <w:abstractNumId w:val="30"/>
  </w:num>
  <w:num w:numId="158" w16cid:durableId="904802687">
    <w:abstractNumId w:val="30"/>
  </w:num>
  <w:num w:numId="159" w16cid:durableId="882837208">
    <w:abstractNumId w:val="30"/>
  </w:num>
  <w:num w:numId="160" w16cid:durableId="722951713">
    <w:abstractNumId w:val="30"/>
  </w:num>
  <w:num w:numId="161" w16cid:durableId="2113167303">
    <w:abstractNumId w:val="30"/>
  </w:num>
  <w:num w:numId="162" w16cid:durableId="1439570431">
    <w:abstractNumId w:val="30"/>
  </w:num>
  <w:num w:numId="163" w16cid:durableId="1841652303">
    <w:abstractNumId w:val="30"/>
  </w:num>
  <w:num w:numId="164" w16cid:durableId="806120970">
    <w:abstractNumId w:val="30"/>
  </w:num>
  <w:num w:numId="165" w16cid:durableId="1705641305">
    <w:abstractNumId w:val="30"/>
  </w:num>
  <w:num w:numId="166" w16cid:durableId="755786801">
    <w:abstractNumId w:val="30"/>
  </w:num>
  <w:num w:numId="167" w16cid:durableId="662976138">
    <w:abstractNumId w:val="30"/>
  </w:num>
  <w:num w:numId="168" w16cid:durableId="165750202">
    <w:abstractNumId w:val="30"/>
  </w:num>
  <w:num w:numId="169" w16cid:durableId="926692071">
    <w:abstractNumId w:val="30"/>
  </w:num>
  <w:num w:numId="170" w16cid:durableId="675807389">
    <w:abstractNumId w:val="30"/>
  </w:num>
  <w:num w:numId="171" w16cid:durableId="348914012">
    <w:abstractNumId w:val="30"/>
  </w:num>
  <w:num w:numId="172" w16cid:durableId="978147727">
    <w:abstractNumId w:val="30"/>
  </w:num>
  <w:num w:numId="173" w16cid:durableId="1502893702">
    <w:abstractNumId w:val="30"/>
  </w:num>
  <w:num w:numId="174" w16cid:durableId="1462529544">
    <w:abstractNumId w:val="30"/>
  </w:num>
  <w:num w:numId="175" w16cid:durableId="1150832809">
    <w:abstractNumId w:val="30"/>
  </w:num>
  <w:num w:numId="176" w16cid:durableId="1360202973">
    <w:abstractNumId w:val="30"/>
  </w:num>
  <w:num w:numId="177" w16cid:durableId="597908062">
    <w:abstractNumId w:val="60"/>
  </w:num>
  <w:num w:numId="178" w16cid:durableId="1032807258">
    <w:abstractNumId w:val="91"/>
  </w:num>
  <w:num w:numId="179" w16cid:durableId="1253586384">
    <w:abstractNumId w:val="116"/>
  </w:num>
  <w:num w:numId="180" w16cid:durableId="629898525">
    <w:abstractNumId w:val="58"/>
  </w:num>
  <w:num w:numId="181" w16cid:durableId="41096103">
    <w:abstractNumId w:val="72"/>
  </w:num>
  <w:num w:numId="182" w16cid:durableId="742725912">
    <w:abstractNumId w:val="135"/>
  </w:num>
  <w:num w:numId="183" w16cid:durableId="660738277">
    <w:abstractNumId w:val="85"/>
  </w:num>
  <w:num w:numId="184" w16cid:durableId="2070111559">
    <w:abstractNumId w:val="57"/>
  </w:num>
  <w:num w:numId="185" w16cid:durableId="1810243352">
    <w:abstractNumId w:val="36"/>
  </w:num>
  <w:num w:numId="186" w16cid:durableId="496311051">
    <w:abstractNumId w:val="70"/>
  </w:num>
  <w:num w:numId="187" w16cid:durableId="144663537">
    <w:abstractNumId w:val="154"/>
  </w:num>
  <w:num w:numId="188" w16cid:durableId="352073093">
    <w:abstractNumId w:val="142"/>
  </w:num>
  <w:num w:numId="189" w16cid:durableId="1402874602">
    <w:abstractNumId w:val="16"/>
  </w:num>
  <w:num w:numId="190" w16cid:durableId="1243757549">
    <w:abstractNumId w:val="78"/>
  </w:num>
  <w:num w:numId="191" w16cid:durableId="972293883">
    <w:abstractNumId w:val="30"/>
  </w:num>
  <w:num w:numId="192" w16cid:durableId="284847617">
    <w:abstractNumId w:val="137"/>
  </w:num>
  <w:num w:numId="193" w16cid:durableId="399596808">
    <w:abstractNumId w:val="112"/>
  </w:num>
  <w:num w:numId="194" w16cid:durableId="1889871918">
    <w:abstractNumId w:val="76"/>
  </w:num>
  <w:num w:numId="195" w16cid:durableId="1245337383">
    <w:abstractNumId w:val="71"/>
  </w:num>
  <w:num w:numId="196" w16cid:durableId="743649282">
    <w:abstractNumId w:val="12"/>
  </w:num>
  <w:num w:numId="197" w16cid:durableId="1794471322">
    <w:abstractNumId w:val="155"/>
  </w:num>
  <w:num w:numId="198" w16cid:durableId="910194094">
    <w:abstractNumId w:val="132"/>
  </w:num>
  <w:num w:numId="199" w16cid:durableId="2094543112">
    <w:abstractNumId w:val="83"/>
  </w:num>
  <w:num w:numId="200" w16cid:durableId="1669941170">
    <w:abstractNumId w:val="86"/>
  </w:num>
  <w:num w:numId="201" w16cid:durableId="1062631284">
    <w:abstractNumId w:val="167"/>
  </w:num>
  <w:num w:numId="202" w16cid:durableId="93013629">
    <w:abstractNumId w:val="168"/>
  </w:num>
  <w:num w:numId="203" w16cid:durableId="1646620590">
    <w:abstractNumId w:val="82"/>
  </w:num>
  <w:num w:numId="204" w16cid:durableId="252663997">
    <w:abstractNumId w:val="22"/>
  </w:num>
  <w:num w:numId="205" w16cid:durableId="1090781677">
    <w:abstractNumId w:val="39"/>
  </w:num>
  <w:num w:numId="206" w16cid:durableId="1516266752">
    <w:abstractNumId w:val="10"/>
  </w:num>
  <w:num w:numId="207" w16cid:durableId="848180825">
    <w:abstractNumId w:val="55"/>
  </w:num>
  <w:num w:numId="208" w16cid:durableId="2019504460">
    <w:abstractNumId w:val="130"/>
  </w:num>
  <w:num w:numId="209" w16cid:durableId="949438788">
    <w:abstractNumId w:val="145"/>
  </w:num>
  <w:num w:numId="210" w16cid:durableId="1806047086">
    <w:abstractNumId w:val="43"/>
  </w:num>
  <w:num w:numId="211" w16cid:durableId="979505533">
    <w:abstractNumId w:val="25"/>
  </w:num>
  <w:num w:numId="212" w16cid:durableId="1628201169">
    <w:abstractNumId w:val="144"/>
  </w:num>
  <w:num w:numId="213" w16cid:durableId="38670338">
    <w:abstractNumId w:val="89"/>
  </w:num>
  <w:num w:numId="214" w16cid:durableId="1054624920">
    <w:abstractNumId w:val="56"/>
  </w:num>
  <w:num w:numId="215" w16cid:durableId="1349746491">
    <w:abstractNumId w:val="120"/>
  </w:num>
  <w:num w:numId="216" w16cid:durableId="1011376312">
    <w:abstractNumId w:val="37"/>
  </w:num>
  <w:num w:numId="217" w16cid:durableId="333995957">
    <w:abstractNumId w:val="125"/>
  </w:num>
  <w:num w:numId="218" w16cid:durableId="1185169012">
    <w:abstractNumId w:val="50"/>
  </w:num>
  <w:num w:numId="219" w16cid:durableId="1218083668">
    <w:abstractNumId w:val="42"/>
  </w:num>
  <w:num w:numId="220" w16cid:durableId="802770038">
    <w:abstractNumId w:val="24"/>
  </w:num>
  <w:num w:numId="221" w16cid:durableId="504058321">
    <w:abstractNumId w:val="32"/>
  </w:num>
  <w:num w:numId="222" w16cid:durableId="413549888">
    <w:abstractNumId w:val="156"/>
  </w:num>
  <w:num w:numId="223" w16cid:durableId="884489675">
    <w:abstractNumId w:val="136"/>
  </w:num>
  <w:num w:numId="224" w16cid:durableId="1443720707">
    <w:abstractNumId w:val="64"/>
  </w:num>
  <w:num w:numId="225" w16cid:durableId="1025210980">
    <w:abstractNumId w:val="38"/>
  </w:num>
  <w:num w:numId="226" w16cid:durableId="470564134">
    <w:abstractNumId w:val="11"/>
  </w:num>
  <w:num w:numId="227" w16cid:durableId="87432152">
    <w:abstractNumId w:val="110"/>
  </w:num>
  <w:num w:numId="228" w16cid:durableId="1683162551">
    <w:abstractNumId w:val="30"/>
  </w:num>
  <w:num w:numId="229" w16cid:durableId="1050154184">
    <w:abstractNumId w:val="131"/>
  </w:num>
  <w:num w:numId="230" w16cid:durableId="109319530">
    <w:abstractNumId w:val="75"/>
  </w:num>
  <w:num w:numId="231" w16cid:durableId="1483624053">
    <w:abstractNumId w:val="35"/>
  </w:num>
  <w:num w:numId="232" w16cid:durableId="1810004846">
    <w:abstractNumId w:val="162"/>
  </w:num>
  <w:num w:numId="233" w16cid:durableId="1563757520">
    <w:abstractNumId w:val="115"/>
  </w:num>
  <w:num w:numId="234" w16cid:durableId="2033922362">
    <w:abstractNumId w:val="102"/>
  </w:num>
  <w:num w:numId="235" w16cid:durableId="573585789">
    <w:abstractNumId w:val="87"/>
  </w:num>
  <w:num w:numId="236" w16cid:durableId="1039621542">
    <w:abstractNumId w:val="6"/>
  </w:num>
  <w:num w:numId="237" w16cid:durableId="2140029387">
    <w:abstractNumId w:val="94"/>
  </w:num>
  <w:num w:numId="238" w16cid:durableId="1433282290">
    <w:abstractNumId w:val="158"/>
  </w:num>
  <w:num w:numId="239" w16cid:durableId="359861941">
    <w:abstractNumId w:val="30"/>
  </w:num>
  <w:num w:numId="240" w16cid:durableId="1592884876">
    <w:abstractNumId w:val="30"/>
  </w:num>
  <w:num w:numId="241" w16cid:durableId="2145006862">
    <w:abstractNumId w:val="30"/>
  </w:num>
  <w:num w:numId="242" w16cid:durableId="1496263866">
    <w:abstractNumId w:val="30"/>
  </w:num>
  <w:num w:numId="243" w16cid:durableId="1799906883">
    <w:abstractNumId w:val="30"/>
  </w:num>
  <w:num w:numId="244" w16cid:durableId="423497744">
    <w:abstractNumId w:val="30"/>
  </w:num>
  <w:num w:numId="245" w16cid:durableId="2039238388">
    <w:abstractNumId w:val="30"/>
  </w:num>
  <w:num w:numId="246" w16cid:durableId="1306198255">
    <w:abstractNumId w:val="30"/>
  </w:num>
  <w:num w:numId="247" w16cid:durableId="1230771519">
    <w:abstractNumId w:val="30"/>
  </w:num>
  <w:num w:numId="248" w16cid:durableId="1669290275">
    <w:abstractNumId w:val="30"/>
  </w:num>
  <w:num w:numId="249" w16cid:durableId="1254052134">
    <w:abstractNumId w:val="30"/>
  </w:num>
  <w:num w:numId="250" w16cid:durableId="372730739">
    <w:abstractNumId w:val="30"/>
  </w:num>
  <w:num w:numId="251" w16cid:durableId="677391499">
    <w:abstractNumId w:val="30"/>
  </w:num>
  <w:num w:numId="252" w16cid:durableId="888492734">
    <w:abstractNumId w:val="30"/>
  </w:num>
  <w:num w:numId="253" w16cid:durableId="1817839482">
    <w:abstractNumId w:val="30"/>
  </w:num>
  <w:num w:numId="254" w16cid:durableId="2089766883">
    <w:abstractNumId w:val="30"/>
  </w:num>
  <w:num w:numId="255" w16cid:durableId="205679127">
    <w:abstractNumId w:val="30"/>
  </w:num>
  <w:num w:numId="256" w16cid:durableId="902445771">
    <w:abstractNumId w:val="30"/>
  </w:num>
  <w:num w:numId="257" w16cid:durableId="667250066">
    <w:abstractNumId w:val="30"/>
  </w:num>
  <w:num w:numId="258" w16cid:durableId="1749299979">
    <w:abstractNumId w:val="30"/>
  </w:num>
  <w:num w:numId="259" w16cid:durableId="1072125300">
    <w:abstractNumId w:val="30"/>
  </w:num>
  <w:num w:numId="260" w16cid:durableId="837113086">
    <w:abstractNumId w:val="30"/>
  </w:num>
  <w:num w:numId="261" w16cid:durableId="987171813">
    <w:abstractNumId w:val="30"/>
  </w:num>
  <w:num w:numId="262" w16cid:durableId="46495912">
    <w:abstractNumId w:val="30"/>
  </w:num>
  <w:num w:numId="263" w16cid:durableId="768356596">
    <w:abstractNumId w:val="30"/>
  </w:num>
  <w:num w:numId="264" w16cid:durableId="1612130983">
    <w:abstractNumId w:val="30"/>
  </w:num>
  <w:num w:numId="265" w16cid:durableId="600799541">
    <w:abstractNumId w:val="30"/>
  </w:num>
  <w:num w:numId="266" w16cid:durableId="353387465">
    <w:abstractNumId w:val="30"/>
  </w:num>
  <w:num w:numId="267" w16cid:durableId="1230115474">
    <w:abstractNumId w:val="30"/>
  </w:num>
  <w:num w:numId="268" w16cid:durableId="186526925">
    <w:abstractNumId w:val="30"/>
  </w:num>
  <w:num w:numId="269" w16cid:durableId="1278214605">
    <w:abstractNumId w:val="30"/>
  </w:num>
  <w:num w:numId="270" w16cid:durableId="1085030198">
    <w:abstractNumId w:val="30"/>
  </w:num>
  <w:num w:numId="271" w16cid:durableId="1276712581">
    <w:abstractNumId w:val="30"/>
  </w:num>
  <w:num w:numId="272" w16cid:durableId="1295595172">
    <w:abstractNumId w:val="30"/>
  </w:num>
  <w:num w:numId="273" w16cid:durableId="165368410">
    <w:abstractNumId w:val="30"/>
  </w:num>
  <w:num w:numId="274" w16cid:durableId="1798067806">
    <w:abstractNumId w:val="30"/>
  </w:num>
  <w:num w:numId="275" w16cid:durableId="2053192535">
    <w:abstractNumId w:val="30"/>
  </w:num>
  <w:num w:numId="276" w16cid:durableId="1498576997">
    <w:abstractNumId w:val="30"/>
  </w:num>
  <w:num w:numId="277" w16cid:durableId="1452745227">
    <w:abstractNumId w:val="30"/>
  </w:num>
  <w:num w:numId="278" w16cid:durableId="1873373259">
    <w:abstractNumId w:val="30"/>
  </w:num>
  <w:num w:numId="279" w16cid:durableId="1967077102">
    <w:abstractNumId w:val="30"/>
  </w:num>
  <w:num w:numId="280" w16cid:durableId="219246823">
    <w:abstractNumId w:val="30"/>
  </w:num>
  <w:num w:numId="281" w16cid:durableId="856576979">
    <w:abstractNumId w:val="30"/>
  </w:num>
  <w:num w:numId="282" w16cid:durableId="424421126">
    <w:abstractNumId w:val="30"/>
  </w:num>
  <w:num w:numId="283" w16cid:durableId="1783770096">
    <w:abstractNumId w:val="30"/>
  </w:num>
  <w:num w:numId="284" w16cid:durableId="740175959">
    <w:abstractNumId w:val="30"/>
  </w:num>
  <w:num w:numId="285" w16cid:durableId="1000818660">
    <w:abstractNumId w:val="30"/>
  </w:num>
  <w:num w:numId="286" w16cid:durableId="1072048522">
    <w:abstractNumId w:val="30"/>
  </w:num>
  <w:num w:numId="287" w16cid:durableId="1551723896">
    <w:abstractNumId w:val="30"/>
  </w:num>
  <w:num w:numId="288" w16cid:durableId="125517087">
    <w:abstractNumId w:val="30"/>
  </w:num>
  <w:num w:numId="289" w16cid:durableId="447890553">
    <w:abstractNumId w:val="30"/>
  </w:num>
  <w:num w:numId="290" w16cid:durableId="19616418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7E9"/>
    <w:rsid w:val="000357F3"/>
    <w:rsid w:val="000B1728"/>
    <w:rsid w:val="000F012D"/>
    <w:rsid w:val="00114764"/>
    <w:rsid w:val="001308EC"/>
    <w:rsid w:val="0017630C"/>
    <w:rsid w:val="001D634A"/>
    <w:rsid w:val="002208F1"/>
    <w:rsid w:val="002D6CD5"/>
    <w:rsid w:val="00302A45"/>
    <w:rsid w:val="003969B9"/>
    <w:rsid w:val="003E7418"/>
    <w:rsid w:val="003F2C62"/>
    <w:rsid w:val="00414EA3"/>
    <w:rsid w:val="004C2ADB"/>
    <w:rsid w:val="004E3208"/>
    <w:rsid w:val="004F4463"/>
    <w:rsid w:val="00542ADB"/>
    <w:rsid w:val="00571D3D"/>
    <w:rsid w:val="005C00EF"/>
    <w:rsid w:val="005D6D6C"/>
    <w:rsid w:val="00634A56"/>
    <w:rsid w:val="006371D9"/>
    <w:rsid w:val="00713E3F"/>
    <w:rsid w:val="00755B5A"/>
    <w:rsid w:val="00755C02"/>
    <w:rsid w:val="00821774"/>
    <w:rsid w:val="00872076"/>
    <w:rsid w:val="009D6135"/>
    <w:rsid w:val="009E5280"/>
    <w:rsid w:val="00A360E6"/>
    <w:rsid w:val="00A47C98"/>
    <w:rsid w:val="00B07C78"/>
    <w:rsid w:val="00B22319"/>
    <w:rsid w:val="00B75A1C"/>
    <w:rsid w:val="00B84A23"/>
    <w:rsid w:val="00BC27E9"/>
    <w:rsid w:val="00C13197"/>
    <w:rsid w:val="00C970B8"/>
    <w:rsid w:val="00CF3199"/>
    <w:rsid w:val="00D914F3"/>
    <w:rsid w:val="00DD3C36"/>
    <w:rsid w:val="00E11C10"/>
    <w:rsid w:val="00E43B25"/>
    <w:rsid w:val="00E81F11"/>
    <w:rsid w:val="00EC1848"/>
    <w:rsid w:val="00EE4BB2"/>
    <w:rsid w:val="00F270A2"/>
    <w:rsid w:val="00F46B3F"/>
    <w:rsid w:val="00F51751"/>
    <w:rsid w:val="00F73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D4125"/>
  <w15:chartTrackingRefBased/>
  <w15:docId w15:val="{ADD8295C-3D8B-400E-A468-F3B6935E7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7E9"/>
    <w:pPr>
      <w:spacing w:after="0" w:line="360" w:lineRule="auto"/>
      <w:jc w:val="both"/>
    </w:pPr>
    <w:rPr>
      <w:rFonts w:ascii="Times New Roman" w:hAnsi="Times New Roman"/>
      <w:color w:val="767171"/>
      <w:spacing w:val="10"/>
      <w:kern w:val="0"/>
      <w:szCs w:val="22"/>
      <w:lang w:val="es-DO"/>
      <w14:ligatures w14:val="none"/>
    </w:rPr>
  </w:style>
  <w:style w:type="paragraph" w:styleId="Heading1">
    <w:name w:val="heading 1"/>
    <w:aliases w:val="Sub-título 1,Carol"/>
    <w:basedOn w:val="Normal"/>
    <w:next w:val="Normal"/>
    <w:link w:val="Heading1Char"/>
    <w:uiPriority w:val="9"/>
    <w:qFormat/>
    <w:rsid w:val="00BC27E9"/>
    <w:pPr>
      <w:keepNext/>
      <w:keepLines/>
      <w:numPr>
        <w:numId w:val="116"/>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Título 2 modificado"/>
    <w:basedOn w:val="Normal"/>
    <w:next w:val="Normal"/>
    <w:link w:val="Heading2Char"/>
    <w:unhideWhenUsed/>
    <w:qFormat/>
    <w:rsid w:val="00BC27E9"/>
    <w:pPr>
      <w:keepNext/>
      <w:keepLines/>
      <w:numPr>
        <w:ilvl w:val="1"/>
        <w:numId w:val="116"/>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C27E9"/>
    <w:pPr>
      <w:keepNext/>
      <w:keepLines/>
      <w:numPr>
        <w:ilvl w:val="2"/>
        <w:numId w:val="116"/>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C27E9"/>
    <w:pPr>
      <w:keepNext/>
      <w:keepLines/>
      <w:numPr>
        <w:ilvl w:val="3"/>
        <w:numId w:val="116"/>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C27E9"/>
    <w:pPr>
      <w:keepNext/>
      <w:keepLines/>
      <w:numPr>
        <w:ilvl w:val="4"/>
        <w:numId w:val="116"/>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C27E9"/>
    <w:pPr>
      <w:keepNext/>
      <w:keepLines/>
      <w:numPr>
        <w:ilvl w:val="5"/>
        <w:numId w:val="116"/>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7E9"/>
    <w:pPr>
      <w:keepNext/>
      <w:keepLines/>
      <w:numPr>
        <w:ilvl w:val="6"/>
        <w:numId w:val="116"/>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7E9"/>
    <w:pPr>
      <w:keepNext/>
      <w:keepLines/>
      <w:numPr>
        <w:ilvl w:val="7"/>
        <w:numId w:val="116"/>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7E9"/>
    <w:pPr>
      <w:keepNext/>
      <w:keepLines/>
      <w:numPr>
        <w:ilvl w:val="8"/>
        <w:numId w:val="116"/>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título 1 Char,Carol Char"/>
    <w:basedOn w:val="DefaultParagraphFont"/>
    <w:link w:val="Heading1"/>
    <w:uiPriority w:val="9"/>
    <w:rsid w:val="00BC27E9"/>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Título 2 modificado Char"/>
    <w:basedOn w:val="DefaultParagraphFont"/>
    <w:link w:val="Heading2"/>
    <w:rsid w:val="00BC27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C27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C27E9"/>
    <w:rPr>
      <w:rFonts w:eastAsiaTheme="majorEastAsia" w:cstheme="majorBidi"/>
      <w:i/>
      <w:iCs/>
      <w:color w:val="0F4761" w:themeColor="accent1" w:themeShade="BF"/>
    </w:rPr>
  </w:style>
  <w:style w:type="character" w:customStyle="1" w:styleId="Heading5Char">
    <w:name w:val="Heading 5 Char"/>
    <w:basedOn w:val="DefaultParagraphFont"/>
    <w:link w:val="Heading5"/>
    <w:rsid w:val="00BC27E9"/>
    <w:rPr>
      <w:rFonts w:eastAsiaTheme="majorEastAsia" w:cstheme="majorBidi"/>
      <w:color w:val="0F4761" w:themeColor="accent1" w:themeShade="BF"/>
    </w:rPr>
  </w:style>
  <w:style w:type="character" w:customStyle="1" w:styleId="Heading6Char">
    <w:name w:val="Heading 6 Char"/>
    <w:basedOn w:val="DefaultParagraphFont"/>
    <w:link w:val="Heading6"/>
    <w:rsid w:val="00BC2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7E9"/>
    <w:rPr>
      <w:rFonts w:eastAsiaTheme="majorEastAsia" w:cstheme="majorBidi"/>
      <w:color w:val="272727" w:themeColor="text1" w:themeTint="D8"/>
    </w:rPr>
  </w:style>
  <w:style w:type="paragraph" w:styleId="Title">
    <w:name w:val="Title"/>
    <w:basedOn w:val="Normal"/>
    <w:next w:val="Normal"/>
    <w:link w:val="TitleChar"/>
    <w:uiPriority w:val="10"/>
    <w:qFormat/>
    <w:rsid w:val="00BC2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7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7E9"/>
    <w:pPr>
      <w:spacing w:before="160"/>
      <w:jc w:val="center"/>
    </w:pPr>
    <w:rPr>
      <w:i/>
      <w:iCs/>
      <w:color w:val="404040" w:themeColor="text1" w:themeTint="BF"/>
    </w:rPr>
  </w:style>
  <w:style w:type="character" w:customStyle="1" w:styleId="QuoteChar">
    <w:name w:val="Quote Char"/>
    <w:basedOn w:val="DefaultParagraphFont"/>
    <w:link w:val="Quote"/>
    <w:uiPriority w:val="29"/>
    <w:rsid w:val="00BC27E9"/>
    <w:rPr>
      <w:i/>
      <w:iCs/>
      <w:color w:val="404040" w:themeColor="text1" w:themeTint="BF"/>
    </w:rPr>
  </w:style>
  <w:style w:type="paragraph" w:styleId="ListParagraph">
    <w:name w:val="List Paragraph"/>
    <w:basedOn w:val="Normal"/>
    <w:link w:val="ListParagraphChar"/>
    <w:uiPriority w:val="34"/>
    <w:qFormat/>
    <w:rsid w:val="00BC27E9"/>
    <w:pPr>
      <w:ind w:left="720"/>
      <w:contextualSpacing/>
    </w:pPr>
  </w:style>
  <w:style w:type="character" w:styleId="IntenseEmphasis">
    <w:name w:val="Intense Emphasis"/>
    <w:basedOn w:val="DefaultParagraphFont"/>
    <w:uiPriority w:val="21"/>
    <w:qFormat/>
    <w:rsid w:val="00BC27E9"/>
    <w:rPr>
      <w:i/>
      <w:iCs/>
      <w:color w:val="0F4761" w:themeColor="accent1" w:themeShade="BF"/>
    </w:rPr>
  </w:style>
  <w:style w:type="paragraph" w:styleId="IntenseQuote">
    <w:name w:val="Intense Quote"/>
    <w:basedOn w:val="Normal"/>
    <w:next w:val="Normal"/>
    <w:link w:val="IntenseQuoteChar"/>
    <w:uiPriority w:val="30"/>
    <w:qFormat/>
    <w:rsid w:val="00BC27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7E9"/>
    <w:rPr>
      <w:i/>
      <w:iCs/>
      <w:color w:val="0F4761" w:themeColor="accent1" w:themeShade="BF"/>
    </w:rPr>
  </w:style>
  <w:style w:type="character" w:styleId="IntenseReference">
    <w:name w:val="Intense Reference"/>
    <w:basedOn w:val="DefaultParagraphFont"/>
    <w:uiPriority w:val="32"/>
    <w:qFormat/>
    <w:rsid w:val="00BC27E9"/>
    <w:rPr>
      <w:b/>
      <w:bCs/>
      <w:smallCaps/>
      <w:color w:val="0F4761" w:themeColor="accent1" w:themeShade="BF"/>
      <w:spacing w:val="5"/>
    </w:rPr>
  </w:style>
  <w:style w:type="paragraph" w:styleId="Header">
    <w:name w:val="header"/>
    <w:basedOn w:val="Normal"/>
    <w:link w:val="HeaderChar"/>
    <w:uiPriority w:val="99"/>
    <w:unhideWhenUsed/>
    <w:rsid w:val="00BC27E9"/>
    <w:pPr>
      <w:tabs>
        <w:tab w:val="center" w:pos="4252"/>
        <w:tab w:val="right" w:pos="8504"/>
      </w:tabs>
      <w:spacing w:line="240" w:lineRule="auto"/>
    </w:pPr>
  </w:style>
  <w:style w:type="character" w:customStyle="1" w:styleId="HeaderChar">
    <w:name w:val="Header Char"/>
    <w:basedOn w:val="DefaultParagraphFont"/>
    <w:link w:val="Header"/>
    <w:uiPriority w:val="99"/>
    <w:rsid w:val="00BC27E9"/>
    <w:rPr>
      <w:rFonts w:ascii="Times New Roman" w:hAnsi="Times New Roman"/>
      <w:color w:val="767171"/>
      <w:spacing w:val="10"/>
      <w:kern w:val="0"/>
      <w:szCs w:val="22"/>
      <w:lang w:val="es-DO"/>
      <w14:ligatures w14:val="none"/>
    </w:rPr>
  </w:style>
  <w:style w:type="paragraph" w:styleId="Footer">
    <w:name w:val="footer"/>
    <w:basedOn w:val="Normal"/>
    <w:link w:val="FooterChar"/>
    <w:uiPriority w:val="99"/>
    <w:unhideWhenUsed/>
    <w:rsid w:val="00BC27E9"/>
    <w:pPr>
      <w:tabs>
        <w:tab w:val="center" w:pos="4252"/>
        <w:tab w:val="right" w:pos="8504"/>
      </w:tabs>
      <w:spacing w:line="240" w:lineRule="auto"/>
    </w:pPr>
  </w:style>
  <w:style w:type="character" w:customStyle="1" w:styleId="FooterChar">
    <w:name w:val="Footer Char"/>
    <w:basedOn w:val="DefaultParagraphFont"/>
    <w:link w:val="Footer"/>
    <w:uiPriority w:val="99"/>
    <w:rsid w:val="00BC27E9"/>
    <w:rPr>
      <w:rFonts w:ascii="Times New Roman" w:hAnsi="Times New Roman"/>
      <w:color w:val="767171"/>
      <w:spacing w:val="10"/>
      <w:kern w:val="0"/>
      <w:szCs w:val="22"/>
      <w:lang w:val="es-DO"/>
      <w14:ligatures w14:val="none"/>
    </w:rPr>
  </w:style>
  <w:style w:type="paragraph" w:styleId="NoSpacing">
    <w:name w:val="No Spacing"/>
    <w:link w:val="NoSpacingChar"/>
    <w:uiPriority w:val="1"/>
    <w:qFormat/>
    <w:rsid w:val="00BC27E9"/>
    <w:pPr>
      <w:spacing w:after="0" w:line="240" w:lineRule="auto"/>
    </w:pPr>
    <w:rPr>
      <w:rFonts w:eastAsiaTheme="minorEastAsia"/>
      <w:kern w:val="0"/>
      <w:sz w:val="22"/>
      <w:szCs w:val="22"/>
      <w:lang w:val="es-DO" w:eastAsia="es-DO"/>
      <w14:ligatures w14:val="none"/>
    </w:rPr>
  </w:style>
  <w:style w:type="character" w:customStyle="1" w:styleId="NoSpacingChar">
    <w:name w:val="No Spacing Char"/>
    <w:basedOn w:val="DefaultParagraphFont"/>
    <w:link w:val="NoSpacing"/>
    <w:uiPriority w:val="1"/>
    <w:rsid w:val="00BC27E9"/>
    <w:rPr>
      <w:rFonts w:eastAsiaTheme="minorEastAsia"/>
      <w:kern w:val="0"/>
      <w:sz w:val="22"/>
      <w:szCs w:val="22"/>
      <w:lang w:val="es-DO" w:eastAsia="es-DO"/>
      <w14:ligatures w14:val="none"/>
    </w:rPr>
  </w:style>
  <w:style w:type="paragraph" w:styleId="TOCHeading">
    <w:name w:val="TOC Heading"/>
    <w:basedOn w:val="Heading1"/>
    <w:next w:val="Normal"/>
    <w:uiPriority w:val="39"/>
    <w:unhideWhenUsed/>
    <w:qFormat/>
    <w:rsid w:val="00BC27E9"/>
    <w:pPr>
      <w:numPr>
        <w:numId w:val="0"/>
      </w:numPr>
      <w:spacing w:before="240" w:after="0"/>
      <w:outlineLvl w:val="9"/>
    </w:pPr>
    <w:rPr>
      <w:color w:val="767171"/>
      <w:sz w:val="32"/>
      <w:szCs w:val="32"/>
      <w:lang w:eastAsia="es-DO"/>
    </w:rPr>
  </w:style>
  <w:style w:type="paragraph" w:styleId="TOC1">
    <w:name w:val="toc 1"/>
    <w:basedOn w:val="Normal"/>
    <w:next w:val="Normal"/>
    <w:autoRedefine/>
    <w:uiPriority w:val="39"/>
    <w:unhideWhenUsed/>
    <w:rsid w:val="00BC27E9"/>
    <w:pPr>
      <w:tabs>
        <w:tab w:val="left" w:pos="600"/>
        <w:tab w:val="right" w:pos="7920"/>
      </w:tabs>
      <w:spacing w:after="100"/>
      <w:ind w:left="600" w:hanging="458"/>
      <w:jc w:val="left"/>
    </w:pPr>
    <w:rPr>
      <w:rFonts w:cs="Times New Roman"/>
      <w:b/>
      <w:bCs/>
      <w:noProof/>
      <w:spacing w:val="20"/>
      <w:position w:val="4"/>
      <w:sz w:val="22"/>
    </w:rPr>
  </w:style>
  <w:style w:type="character" w:styleId="Hyperlink">
    <w:name w:val="Hyperlink"/>
    <w:basedOn w:val="DefaultParagraphFont"/>
    <w:uiPriority w:val="99"/>
    <w:unhideWhenUsed/>
    <w:rsid w:val="00BC27E9"/>
    <w:rPr>
      <w:color w:val="467886" w:themeColor="hyperlink"/>
      <w:u w:val="single"/>
    </w:rPr>
  </w:style>
  <w:style w:type="paragraph" w:styleId="TOC2">
    <w:name w:val="toc 2"/>
    <w:basedOn w:val="Normal"/>
    <w:next w:val="Normal"/>
    <w:autoRedefine/>
    <w:uiPriority w:val="39"/>
    <w:unhideWhenUsed/>
    <w:rsid w:val="00BC27E9"/>
    <w:pPr>
      <w:tabs>
        <w:tab w:val="left" w:pos="600"/>
        <w:tab w:val="left" w:pos="1200"/>
        <w:tab w:val="right" w:pos="7910"/>
      </w:tabs>
      <w:spacing w:after="100"/>
      <w:ind w:left="142"/>
    </w:pPr>
  </w:style>
  <w:style w:type="character" w:customStyle="1" w:styleId="ListParagraphChar">
    <w:name w:val="List Paragraph Char"/>
    <w:basedOn w:val="DefaultParagraphFont"/>
    <w:link w:val="ListParagraph"/>
    <w:uiPriority w:val="34"/>
    <w:rsid w:val="00BC27E9"/>
  </w:style>
  <w:style w:type="paragraph" w:customStyle="1" w:styleId="Default">
    <w:name w:val="Default"/>
    <w:rsid w:val="00BC27E9"/>
    <w:pPr>
      <w:autoSpaceDE w:val="0"/>
      <w:autoSpaceDN w:val="0"/>
      <w:adjustRightInd w:val="0"/>
      <w:spacing w:after="0" w:line="240" w:lineRule="auto"/>
    </w:pPr>
    <w:rPr>
      <w:rFonts w:ascii="Calibri" w:hAnsi="Calibri" w:cs="Calibri"/>
      <w:color w:val="000000"/>
      <w:kern w:val="0"/>
      <w:lang w:val="es-DO"/>
      <w14:ligatures w14:val="none"/>
    </w:rPr>
  </w:style>
  <w:style w:type="paragraph" w:customStyle="1" w:styleId="xmsonormal">
    <w:name w:val="x_msonormal"/>
    <w:basedOn w:val="Normal"/>
    <w:rsid w:val="00BC27E9"/>
    <w:pPr>
      <w:spacing w:before="100" w:beforeAutospacing="1" w:after="100" w:afterAutospacing="1" w:line="240" w:lineRule="auto"/>
      <w:jc w:val="left"/>
    </w:pPr>
    <w:rPr>
      <w:rFonts w:eastAsia="Times New Roman" w:cs="Times New Roman"/>
      <w:color w:val="auto"/>
      <w:szCs w:val="24"/>
      <w:lang w:val="es-ES" w:eastAsia="es-ES"/>
    </w:rPr>
  </w:style>
  <w:style w:type="character" w:styleId="Strong">
    <w:name w:val="Strong"/>
    <w:basedOn w:val="DefaultParagraphFont"/>
    <w:uiPriority w:val="22"/>
    <w:qFormat/>
    <w:rsid w:val="00BC27E9"/>
    <w:rPr>
      <w:b/>
      <w:bCs/>
    </w:rPr>
  </w:style>
  <w:style w:type="paragraph" w:styleId="Caption">
    <w:name w:val="caption"/>
    <w:aliases w:val="Epígrafe"/>
    <w:basedOn w:val="Normal"/>
    <w:next w:val="Normal"/>
    <w:uiPriority w:val="35"/>
    <w:semiHidden/>
    <w:unhideWhenUsed/>
    <w:qFormat/>
    <w:rsid w:val="00BC27E9"/>
    <w:pPr>
      <w:spacing w:after="200" w:line="240" w:lineRule="auto"/>
    </w:pPr>
    <w:rPr>
      <w:i/>
      <w:iCs/>
      <w:color w:val="0E2841" w:themeColor="text2"/>
      <w:szCs w:val="18"/>
    </w:rPr>
  </w:style>
  <w:style w:type="paragraph" w:styleId="BodyText">
    <w:name w:val="Body Text"/>
    <w:basedOn w:val="Normal"/>
    <w:link w:val="BodyTextChar"/>
    <w:uiPriority w:val="1"/>
    <w:qFormat/>
    <w:rsid w:val="00BC27E9"/>
    <w:pPr>
      <w:widowControl w:val="0"/>
      <w:autoSpaceDE w:val="0"/>
      <w:autoSpaceDN w:val="0"/>
      <w:spacing w:line="240" w:lineRule="auto"/>
      <w:jc w:val="left"/>
    </w:pPr>
    <w:rPr>
      <w:rFonts w:eastAsia="Times New Roman" w:cs="Times New Roman"/>
      <w:color w:val="auto"/>
      <w:szCs w:val="24"/>
      <w:lang w:val="es-ES" w:eastAsia="es-ES" w:bidi="es-ES"/>
    </w:rPr>
  </w:style>
  <w:style w:type="character" w:customStyle="1" w:styleId="BodyTextChar">
    <w:name w:val="Body Text Char"/>
    <w:basedOn w:val="DefaultParagraphFont"/>
    <w:link w:val="BodyText"/>
    <w:uiPriority w:val="1"/>
    <w:rsid w:val="00BC27E9"/>
    <w:rPr>
      <w:rFonts w:ascii="Times New Roman" w:eastAsia="Times New Roman" w:hAnsi="Times New Roman" w:cs="Times New Roman"/>
      <w:spacing w:val="10"/>
      <w:kern w:val="0"/>
      <w:lang w:val="es-ES" w:eastAsia="es-ES" w:bidi="es-ES"/>
      <w14:ligatures w14:val="none"/>
    </w:rPr>
  </w:style>
  <w:style w:type="paragraph" w:styleId="TOC3">
    <w:name w:val="toc 3"/>
    <w:basedOn w:val="Normal"/>
    <w:next w:val="Normal"/>
    <w:autoRedefine/>
    <w:uiPriority w:val="39"/>
    <w:unhideWhenUsed/>
    <w:rsid w:val="00BC27E9"/>
    <w:pPr>
      <w:tabs>
        <w:tab w:val="right" w:pos="7910"/>
      </w:tabs>
      <w:spacing w:after="100"/>
      <w:ind w:left="440"/>
    </w:pPr>
    <w:rPr>
      <w:rFonts w:cs="Times New Roman"/>
      <w:b/>
      <w:noProof/>
    </w:rPr>
  </w:style>
  <w:style w:type="paragraph" w:styleId="FootnoteText">
    <w:name w:val="footnote text"/>
    <w:basedOn w:val="Normal"/>
    <w:link w:val="FootnoteTextChar"/>
    <w:uiPriority w:val="99"/>
    <w:semiHidden/>
    <w:unhideWhenUsed/>
    <w:rsid w:val="00BC27E9"/>
    <w:pPr>
      <w:spacing w:line="240" w:lineRule="auto"/>
    </w:pPr>
    <w:rPr>
      <w:szCs w:val="20"/>
    </w:rPr>
  </w:style>
  <w:style w:type="character" w:customStyle="1" w:styleId="FootnoteTextChar">
    <w:name w:val="Footnote Text Char"/>
    <w:basedOn w:val="DefaultParagraphFont"/>
    <w:link w:val="FootnoteText"/>
    <w:uiPriority w:val="99"/>
    <w:semiHidden/>
    <w:rsid w:val="00BC27E9"/>
    <w:rPr>
      <w:rFonts w:ascii="Times New Roman" w:hAnsi="Times New Roman"/>
      <w:color w:val="767171"/>
      <w:spacing w:val="10"/>
      <w:kern w:val="0"/>
      <w:szCs w:val="20"/>
      <w:lang w:val="es-DO"/>
      <w14:ligatures w14:val="none"/>
    </w:rPr>
  </w:style>
  <w:style w:type="character" w:styleId="FootnoteReference">
    <w:name w:val="footnote reference"/>
    <w:basedOn w:val="DefaultParagraphFont"/>
    <w:uiPriority w:val="99"/>
    <w:semiHidden/>
    <w:unhideWhenUsed/>
    <w:rsid w:val="00BC27E9"/>
    <w:rPr>
      <w:vertAlign w:val="superscript"/>
    </w:rPr>
  </w:style>
  <w:style w:type="paragraph" w:customStyle="1" w:styleId="Sinespaciado1">
    <w:name w:val="Sin espaciado1"/>
    <w:rsid w:val="00BC27E9"/>
    <w:pPr>
      <w:spacing w:after="200" w:line="276" w:lineRule="auto"/>
    </w:pPr>
    <w:rPr>
      <w:rFonts w:ascii="Calibri" w:eastAsia="Calibri" w:hAnsi="Calibri" w:cs="Times New Roman"/>
      <w:kern w:val="0"/>
      <w:sz w:val="22"/>
      <w:szCs w:val="22"/>
      <w:lang w:val="es-ES"/>
      <w14:ligatures w14:val="none"/>
    </w:rPr>
  </w:style>
  <w:style w:type="paragraph" w:customStyle="1" w:styleId="Prrafodelista1">
    <w:name w:val="Párrafo de lista1"/>
    <w:basedOn w:val="Normal"/>
    <w:uiPriority w:val="99"/>
    <w:rsid w:val="00BC27E9"/>
    <w:pPr>
      <w:widowControl w:val="0"/>
      <w:adjustRightInd w:val="0"/>
      <w:spacing w:line="360" w:lineRule="atLeast"/>
      <w:ind w:left="720"/>
      <w:textAlignment w:val="baseline"/>
    </w:pPr>
    <w:rPr>
      <w:rFonts w:ascii="Roman 10cpi" w:eastAsia="Calibri" w:hAnsi="Roman 10cpi" w:cs="Roman 10cpi"/>
      <w:color w:val="auto"/>
      <w:szCs w:val="20"/>
    </w:rPr>
  </w:style>
  <w:style w:type="paragraph" w:customStyle="1" w:styleId="Ttulo1">
    <w:name w:val="Título1"/>
    <w:aliases w:val="Puesto1"/>
    <w:basedOn w:val="Heading1"/>
    <w:next w:val="Normal"/>
    <w:uiPriority w:val="39"/>
    <w:unhideWhenUsed/>
    <w:qFormat/>
    <w:rsid w:val="00BC27E9"/>
    <w:pPr>
      <w:numPr>
        <w:numId w:val="0"/>
      </w:numPr>
      <w:spacing w:before="480" w:after="0" w:line="276" w:lineRule="auto"/>
      <w:outlineLvl w:val="9"/>
    </w:pPr>
    <w:rPr>
      <w:rFonts w:ascii="Cambria" w:eastAsia="Times New Roman" w:hAnsi="Cambria" w:cs="Times New Roman"/>
      <w:b/>
      <w:bCs/>
      <w:color w:val="365F91"/>
      <w:sz w:val="28"/>
      <w:szCs w:val="28"/>
      <w:lang w:eastAsia="es-DO"/>
      <w14:textFill>
        <w14:solidFill>
          <w14:srgbClr w14:val="365F91">
            <w14:lumMod w14:val="50000"/>
          </w14:srgbClr>
        </w14:solidFill>
      </w14:textFill>
    </w:rPr>
  </w:style>
  <w:style w:type="character" w:styleId="Emphasis">
    <w:name w:val="Emphasis"/>
    <w:uiPriority w:val="20"/>
    <w:qFormat/>
    <w:rsid w:val="00BC27E9"/>
    <w:rPr>
      <w:i/>
      <w:iCs/>
    </w:rPr>
  </w:style>
  <w:style w:type="paragraph" w:customStyle="1" w:styleId="Estilo1-2">
    <w:name w:val="Estilo1-2"/>
    <w:basedOn w:val="Normal"/>
    <w:link w:val="Estilo1-2Car"/>
    <w:qFormat/>
    <w:rsid w:val="00BC27E9"/>
    <w:pPr>
      <w:spacing w:line="240" w:lineRule="auto"/>
      <w:ind w:right="49"/>
    </w:pPr>
    <w:rPr>
      <w:rFonts w:eastAsia="Arial" w:cs="Times New Roman"/>
      <w:b/>
      <w:color w:val="auto"/>
      <w:spacing w:val="1"/>
      <w:szCs w:val="24"/>
    </w:rPr>
  </w:style>
  <w:style w:type="character" w:customStyle="1" w:styleId="Estilo1-2Car">
    <w:name w:val="Estilo1-2 Car"/>
    <w:link w:val="Estilo1-2"/>
    <w:rsid w:val="00BC27E9"/>
    <w:rPr>
      <w:rFonts w:ascii="Times New Roman" w:eastAsia="Arial" w:hAnsi="Times New Roman" w:cs="Times New Roman"/>
      <w:b/>
      <w:spacing w:val="1"/>
      <w:kern w:val="0"/>
      <w:lang w:val="es-DO"/>
      <w14:ligatures w14:val="none"/>
    </w:rPr>
  </w:style>
  <w:style w:type="paragraph" w:styleId="Index1">
    <w:name w:val="index 1"/>
    <w:basedOn w:val="Normal"/>
    <w:next w:val="Normal"/>
    <w:autoRedefine/>
    <w:uiPriority w:val="99"/>
    <w:unhideWhenUsed/>
    <w:rsid w:val="00BC27E9"/>
    <w:pPr>
      <w:widowControl w:val="0"/>
      <w:adjustRightInd w:val="0"/>
      <w:spacing w:line="360" w:lineRule="atLeast"/>
      <w:ind w:left="200" w:hanging="200"/>
      <w:jc w:val="left"/>
      <w:textAlignment w:val="baseline"/>
    </w:pPr>
    <w:rPr>
      <w:rFonts w:ascii="Calibri" w:eastAsia="Calibri" w:hAnsi="Calibri" w:cs="Calibri"/>
      <w:color w:val="auto"/>
      <w:szCs w:val="18"/>
    </w:rPr>
  </w:style>
  <w:style w:type="paragraph" w:styleId="Index2">
    <w:name w:val="index 2"/>
    <w:basedOn w:val="Normal"/>
    <w:next w:val="Normal"/>
    <w:autoRedefine/>
    <w:uiPriority w:val="99"/>
    <w:unhideWhenUsed/>
    <w:rsid w:val="00BC27E9"/>
    <w:pPr>
      <w:widowControl w:val="0"/>
      <w:adjustRightInd w:val="0"/>
      <w:spacing w:line="360" w:lineRule="atLeast"/>
      <w:ind w:left="400" w:hanging="200"/>
      <w:jc w:val="left"/>
      <w:textAlignment w:val="baseline"/>
    </w:pPr>
    <w:rPr>
      <w:rFonts w:ascii="Calibri" w:eastAsia="Calibri" w:hAnsi="Calibri" w:cs="Calibri"/>
      <w:color w:val="auto"/>
      <w:szCs w:val="18"/>
    </w:rPr>
  </w:style>
  <w:style w:type="paragraph" w:styleId="Index3">
    <w:name w:val="index 3"/>
    <w:basedOn w:val="Normal"/>
    <w:next w:val="Normal"/>
    <w:autoRedefine/>
    <w:uiPriority w:val="99"/>
    <w:unhideWhenUsed/>
    <w:rsid w:val="00BC27E9"/>
    <w:pPr>
      <w:widowControl w:val="0"/>
      <w:adjustRightInd w:val="0"/>
      <w:spacing w:line="360" w:lineRule="atLeast"/>
      <w:ind w:left="600" w:hanging="200"/>
      <w:jc w:val="left"/>
      <w:textAlignment w:val="baseline"/>
    </w:pPr>
    <w:rPr>
      <w:rFonts w:ascii="Calibri" w:eastAsia="Calibri" w:hAnsi="Calibri" w:cs="Calibri"/>
      <w:color w:val="auto"/>
      <w:szCs w:val="18"/>
    </w:rPr>
  </w:style>
  <w:style w:type="paragraph" w:styleId="Index4">
    <w:name w:val="index 4"/>
    <w:basedOn w:val="Normal"/>
    <w:next w:val="Normal"/>
    <w:autoRedefine/>
    <w:uiPriority w:val="99"/>
    <w:unhideWhenUsed/>
    <w:rsid w:val="00BC27E9"/>
    <w:pPr>
      <w:widowControl w:val="0"/>
      <w:adjustRightInd w:val="0"/>
      <w:spacing w:line="360" w:lineRule="atLeast"/>
      <w:ind w:left="800" w:hanging="200"/>
      <w:jc w:val="left"/>
      <w:textAlignment w:val="baseline"/>
    </w:pPr>
    <w:rPr>
      <w:rFonts w:ascii="Calibri" w:eastAsia="Calibri" w:hAnsi="Calibri" w:cs="Calibri"/>
      <w:color w:val="auto"/>
      <w:szCs w:val="18"/>
    </w:rPr>
  </w:style>
  <w:style w:type="paragraph" w:styleId="Index5">
    <w:name w:val="index 5"/>
    <w:basedOn w:val="Normal"/>
    <w:next w:val="Normal"/>
    <w:autoRedefine/>
    <w:uiPriority w:val="99"/>
    <w:unhideWhenUsed/>
    <w:rsid w:val="00BC27E9"/>
    <w:pPr>
      <w:widowControl w:val="0"/>
      <w:adjustRightInd w:val="0"/>
      <w:spacing w:line="360" w:lineRule="atLeast"/>
      <w:ind w:left="1000" w:hanging="200"/>
      <w:jc w:val="left"/>
      <w:textAlignment w:val="baseline"/>
    </w:pPr>
    <w:rPr>
      <w:rFonts w:ascii="Calibri" w:eastAsia="Calibri" w:hAnsi="Calibri" w:cs="Calibri"/>
      <w:color w:val="auto"/>
      <w:szCs w:val="18"/>
    </w:rPr>
  </w:style>
  <w:style w:type="paragraph" w:styleId="Index6">
    <w:name w:val="index 6"/>
    <w:basedOn w:val="Normal"/>
    <w:next w:val="Normal"/>
    <w:autoRedefine/>
    <w:uiPriority w:val="99"/>
    <w:unhideWhenUsed/>
    <w:rsid w:val="00BC27E9"/>
    <w:pPr>
      <w:widowControl w:val="0"/>
      <w:adjustRightInd w:val="0"/>
      <w:spacing w:line="360" w:lineRule="atLeast"/>
      <w:ind w:left="1200" w:hanging="200"/>
      <w:jc w:val="left"/>
      <w:textAlignment w:val="baseline"/>
    </w:pPr>
    <w:rPr>
      <w:rFonts w:ascii="Calibri" w:eastAsia="Calibri" w:hAnsi="Calibri" w:cs="Calibri"/>
      <w:color w:val="auto"/>
      <w:szCs w:val="18"/>
    </w:rPr>
  </w:style>
  <w:style w:type="paragraph" w:styleId="Index7">
    <w:name w:val="index 7"/>
    <w:basedOn w:val="Normal"/>
    <w:next w:val="Normal"/>
    <w:autoRedefine/>
    <w:uiPriority w:val="99"/>
    <w:unhideWhenUsed/>
    <w:rsid w:val="00BC27E9"/>
    <w:pPr>
      <w:widowControl w:val="0"/>
      <w:adjustRightInd w:val="0"/>
      <w:spacing w:line="360" w:lineRule="atLeast"/>
      <w:ind w:left="1400" w:hanging="200"/>
      <w:jc w:val="left"/>
      <w:textAlignment w:val="baseline"/>
    </w:pPr>
    <w:rPr>
      <w:rFonts w:ascii="Calibri" w:eastAsia="Calibri" w:hAnsi="Calibri" w:cs="Calibri"/>
      <w:color w:val="auto"/>
      <w:szCs w:val="18"/>
    </w:rPr>
  </w:style>
  <w:style w:type="paragraph" w:styleId="Index8">
    <w:name w:val="index 8"/>
    <w:basedOn w:val="Normal"/>
    <w:next w:val="Normal"/>
    <w:autoRedefine/>
    <w:uiPriority w:val="99"/>
    <w:unhideWhenUsed/>
    <w:rsid w:val="00BC27E9"/>
    <w:pPr>
      <w:widowControl w:val="0"/>
      <w:adjustRightInd w:val="0"/>
      <w:spacing w:line="360" w:lineRule="atLeast"/>
      <w:ind w:left="1600" w:hanging="200"/>
      <w:jc w:val="left"/>
      <w:textAlignment w:val="baseline"/>
    </w:pPr>
    <w:rPr>
      <w:rFonts w:ascii="Calibri" w:eastAsia="Calibri" w:hAnsi="Calibri" w:cs="Calibri"/>
      <w:color w:val="auto"/>
      <w:szCs w:val="18"/>
    </w:rPr>
  </w:style>
  <w:style w:type="paragraph" w:styleId="Index9">
    <w:name w:val="index 9"/>
    <w:basedOn w:val="Normal"/>
    <w:next w:val="Normal"/>
    <w:autoRedefine/>
    <w:uiPriority w:val="99"/>
    <w:unhideWhenUsed/>
    <w:rsid w:val="00BC27E9"/>
    <w:pPr>
      <w:widowControl w:val="0"/>
      <w:adjustRightInd w:val="0"/>
      <w:spacing w:line="360" w:lineRule="atLeast"/>
      <w:ind w:left="1800" w:hanging="200"/>
      <w:jc w:val="left"/>
      <w:textAlignment w:val="baseline"/>
    </w:pPr>
    <w:rPr>
      <w:rFonts w:ascii="Calibri" w:eastAsia="Calibri" w:hAnsi="Calibri" w:cs="Calibri"/>
      <w:color w:val="auto"/>
      <w:szCs w:val="18"/>
    </w:rPr>
  </w:style>
  <w:style w:type="paragraph" w:styleId="IndexHeading">
    <w:name w:val="index heading"/>
    <w:basedOn w:val="Normal"/>
    <w:next w:val="Index1"/>
    <w:uiPriority w:val="99"/>
    <w:unhideWhenUsed/>
    <w:rsid w:val="00BC27E9"/>
    <w:pPr>
      <w:widowControl w:val="0"/>
      <w:pBdr>
        <w:top w:val="double" w:sz="6" w:space="0" w:color="auto" w:shadow="1"/>
        <w:left w:val="double" w:sz="6" w:space="0" w:color="auto" w:shadow="1"/>
        <w:bottom w:val="double" w:sz="6" w:space="0" w:color="auto" w:shadow="1"/>
        <w:right w:val="double" w:sz="6" w:space="0" w:color="auto" w:shadow="1"/>
      </w:pBdr>
      <w:adjustRightInd w:val="0"/>
      <w:spacing w:before="240" w:after="120" w:line="360" w:lineRule="atLeast"/>
      <w:jc w:val="center"/>
      <w:textAlignment w:val="baseline"/>
    </w:pPr>
    <w:rPr>
      <w:rFonts w:ascii="Cambria" w:eastAsia="Calibri" w:hAnsi="Cambria" w:cs="Times New Roman"/>
      <w:b/>
      <w:bCs/>
      <w:color w:val="auto"/>
      <w:sz w:val="22"/>
    </w:rPr>
  </w:style>
  <w:style w:type="paragraph" w:styleId="BalloonText">
    <w:name w:val="Balloon Text"/>
    <w:basedOn w:val="Normal"/>
    <w:link w:val="BalloonTextChar"/>
    <w:uiPriority w:val="99"/>
    <w:semiHidden/>
    <w:unhideWhenUsed/>
    <w:rsid w:val="00BC27E9"/>
    <w:pPr>
      <w:widowControl w:val="0"/>
      <w:adjustRightInd w:val="0"/>
      <w:spacing w:line="240" w:lineRule="auto"/>
      <w:textAlignment w:val="baseline"/>
    </w:pPr>
    <w:rPr>
      <w:rFonts w:ascii="Tahoma" w:eastAsia="Calibri" w:hAnsi="Tahoma" w:cs="Tahoma"/>
      <w:color w:val="auto"/>
      <w:sz w:val="16"/>
      <w:szCs w:val="16"/>
    </w:rPr>
  </w:style>
  <w:style w:type="character" w:customStyle="1" w:styleId="BalloonTextChar">
    <w:name w:val="Balloon Text Char"/>
    <w:basedOn w:val="DefaultParagraphFont"/>
    <w:link w:val="BalloonText"/>
    <w:uiPriority w:val="99"/>
    <w:semiHidden/>
    <w:rsid w:val="00BC27E9"/>
    <w:rPr>
      <w:rFonts w:ascii="Tahoma" w:eastAsia="Calibri" w:hAnsi="Tahoma" w:cs="Tahoma"/>
      <w:spacing w:val="10"/>
      <w:kern w:val="0"/>
      <w:sz w:val="16"/>
      <w:szCs w:val="16"/>
      <w:lang w:val="es-DO"/>
      <w14:ligatures w14:val="none"/>
    </w:rPr>
  </w:style>
  <w:style w:type="paragraph" w:styleId="TOC4">
    <w:name w:val="toc 4"/>
    <w:basedOn w:val="Normal"/>
    <w:next w:val="Normal"/>
    <w:autoRedefine/>
    <w:uiPriority w:val="39"/>
    <w:unhideWhenUsed/>
    <w:rsid w:val="00BC27E9"/>
    <w:pPr>
      <w:widowControl w:val="0"/>
      <w:adjustRightInd w:val="0"/>
      <w:spacing w:line="360" w:lineRule="atLeast"/>
      <w:ind w:left="400"/>
      <w:jc w:val="left"/>
      <w:textAlignment w:val="baseline"/>
    </w:pPr>
    <w:rPr>
      <w:rFonts w:ascii="Calibri" w:eastAsia="Calibri" w:hAnsi="Calibri" w:cs="Calibri"/>
      <w:color w:val="auto"/>
      <w:szCs w:val="20"/>
    </w:rPr>
  </w:style>
  <w:style w:type="paragraph" w:styleId="TOC5">
    <w:name w:val="toc 5"/>
    <w:basedOn w:val="Normal"/>
    <w:next w:val="Normal"/>
    <w:autoRedefine/>
    <w:uiPriority w:val="39"/>
    <w:unhideWhenUsed/>
    <w:rsid w:val="00BC27E9"/>
    <w:pPr>
      <w:widowControl w:val="0"/>
      <w:adjustRightInd w:val="0"/>
      <w:spacing w:line="360" w:lineRule="atLeast"/>
      <w:ind w:left="600"/>
      <w:jc w:val="left"/>
      <w:textAlignment w:val="baseline"/>
    </w:pPr>
    <w:rPr>
      <w:rFonts w:ascii="Calibri" w:eastAsia="Calibri" w:hAnsi="Calibri" w:cs="Calibri"/>
      <w:color w:val="auto"/>
      <w:szCs w:val="20"/>
    </w:rPr>
  </w:style>
  <w:style w:type="paragraph" w:styleId="TOC6">
    <w:name w:val="toc 6"/>
    <w:basedOn w:val="Normal"/>
    <w:next w:val="Normal"/>
    <w:autoRedefine/>
    <w:uiPriority w:val="39"/>
    <w:unhideWhenUsed/>
    <w:rsid w:val="00BC27E9"/>
    <w:pPr>
      <w:widowControl w:val="0"/>
      <w:adjustRightInd w:val="0"/>
      <w:spacing w:line="360" w:lineRule="atLeast"/>
      <w:ind w:left="800"/>
      <w:jc w:val="left"/>
      <w:textAlignment w:val="baseline"/>
    </w:pPr>
    <w:rPr>
      <w:rFonts w:ascii="Calibri" w:eastAsia="Calibri" w:hAnsi="Calibri" w:cs="Calibri"/>
      <w:color w:val="auto"/>
      <w:szCs w:val="20"/>
    </w:rPr>
  </w:style>
  <w:style w:type="paragraph" w:styleId="TOC7">
    <w:name w:val="toc 7"/>
    <w:basedOn w:val="Normal"/>
    <w:next w:val="Normal"/>
    <w:autoRedefine/>
    <w:uiPriority w:val="39"/>
    <w:unhideWhenUsed/>
    <w:rsid w:val="00BC27E9"/>
    <w:pPr>
      <w:widowControl w:val="0"/>
      <w:adjustRightInd w:val="0"/>
      <w:spacing w:line="360" w:lineRule="atLeast"/>
      <w:ind w:left="1000"/>
      <w:jc w:val="left"/>
      <w:textAlignment w:val="baseline"/>
    </w:pPr>
    <w:rPr>
      <w:rFonts w:ascii="Calibri" w:eastAsia="Calibri" w:hAnsi="Calibri" w:cs="Calibri"/>
      <w:color w:val="auto"/>
      <w:szCs w:val="20"/>
    </w:rPr>
  </w:style>
  <w:style w:type="paragraph" w:styleId="TOC8">
    <w:name w:val="toc 8"/>
    <w:basedOn w:val="Normal"/>
    <w:next w:val="Normal"/>
    <w:autoRedefine/>
    <w:uiPriority w:val="39"/>
    <w:unhideWhenUsed/>
    <w:rsid w:val="00BC27E9"/>
    <w:pPr>
      <w:widowControl w:val="0"/>
      <w:adjustRightInd w:val="0"/>
      <w:spacing w:line="360" w:lineRule="atLeast"/>
      <w:ind w:left="1200"/>
      <w:jc w:val="left"/>
      <w:textAlignment w:val="baseline"/>
    </w:pPr>
    <w:rPr>
      <w:rFonts w:ascii="Calibri" w:eastAsia="Calibri" w:hAnsi="Calibri" w:cs="Calibri"/>
      <w:color w:val="auto"/>
      <w:szCs w:val="20"/>
    </w:rPr>
  </w:style>
  <w:style w:type="paragraph" w:styleId="TOC9">
    <w:name w:val="toc 9"/>
    <w:basedOn w:val="Normal"/>
    <w:next w:val="Normal"/>
    <w:autoRedefine/>
    <w:uiPriority w:val="39"/>
    <w:unhideWhenUsed/>
    <w:rsid w:val="00BC27E9"/>
    <w:pPr>
      <w:widowControl w:val="0"/>
      <w:adjustRightInd w:val="0"/>
      <w:spacing w:line="360" w:lineRule="atLeast"/>
      <w:ind w:left="1400"/>
      <w:jc w:val="left"/>
      <w:textAlignment w:val="baseline"/>
    </w:pPr>
    <w:rPr>
      <w:rFonts w:ascii="Calibri" w:eastAsia="Calibri" w:hAnsi="Calibri" w:cs="Calibri"/>
      <w:color w:val="auto"/>
      <w:szCs w:val="20"/>
    </w:rPr>
  </w:style>
  <w:style w:type="character" w:styleId="BookTitle">
    <w:name w:val="Book Title"/>
    <w:uiPriority w:val="33"/>
    <w:qFormat/>
    <w:rsid w:val="00BC27E9"/>
    <w:rPr>
      <w:b/>
      <w:bCs/>
      <w:smallCaps/>
      <w:spacing w:val="5"/>
    </w:rPr>
  </w:style>
  <w:style w:type="paragraph" w:styleId="NormalWeb">
    <w:name w:val="Normal (Web)"/>
    <w:basedOn w:val="Normal"/>
    <w:uiPriority w:val="99"/>
    <w:semiHidden/>
    <w:unhideWhenUsed/>
    <w:rsid w:val="00BC27E9"/>
    <w:pPr>
      <w:spacing w:before="100" w:beforeAutospacing="1" w:after="100" w:afterAutospacing="1" w:line="240" w:lineRule="auto"/>
      <w:jc w:val="left"/>
    </w:pPr>
    <w:rPr>
      <w:rFonts w:eastAsia="Times New Roman" w:cs="Times New Roman"/>
      <w:color w:val="auto"/>
      <w:szCs w:val="24"/>
      <w:lang w:eastAsia="es-DO"/>
    </w:rPr>
  </w:style>
  <w:style w:type="character" w:styleId="CommentReference">
    <w:name w:val="annotation reference"/>
    <w:uiPriority w:val="99"/>
    <w:semiHidden/>
    <w:unhideWhenUsed/>
    <w:rsid w:val="00BC27E9"/>
    <w:rPr>
      <w:sz w:val="16"/>
      <w:szCs w:val="16"/>
    </w:rPr>
  </w:style>
  <w:style w:type="paragraph" w:styleId="CommentText">
    <w:name w:val="annotation text"/>
    <w:basedOn w:val="Normal"/>
    <w:link w:val="CommentTextChar"/>
    <w:uiPriority w:val="99"/>
    <w:semiHidden/>
    <w:unhideWhenUsed/>
    <w:rsid w:val="00BC27E9"/>
    <w:pPr>
      <w:widowControl w:val="0"/>
      <w:adjustRightInd w:val="0"/>
      <w:spacing w:line="360" w:lineRule="atLeast"/>
      <w:textAlignment w:val="baseline"/>
    </w:pPr>
    <w:rPr>
      <w:rFonts w:eastAsia="Calibri" w:cs="Times New Roman"/>
      <w:color w:val="auto"/>
      <w:szCs w:val="20"/>
    </w:rPr>
  </w:style>
  <w:style w:type="character" w:customStyle="1" w:styleId="CommentTextChar">
    <w:name w:val="Comment Text Char"/>
    <w:basedOn w:val="DefaultParagraphFont"/>
    <w:link w:val="CommentText"/>
    <w:uiPriority w:val="99"/>
    <w:semiHidden/>
    <w:rsid w:val="00BC27E9"/>
    <w:rPr>
      <w:rFonts w:ascii="Times New Roman" w:eastAsia="Calibri" w:hAnsi="Times New Roman" w:cs="Times New Roman"/>
      <w:spacing w:val="10"/>
      <w:kern w:val="0"/>
      <w:szCs w:val="20"/>
      <w:lang w:val="es-DO"/>
      <w14:ligatures w14:val="none"/>
    </w:rPr>
  </w:style>
  <w:style w:type="paragraph" w:styleId="CommentSubject">
    <w:name w:val="annotation subject"/>
    <w:basedOn w:val="CommentText"/>
    <w:next w:val="CommentText"/>
    <w:link w:val="CommentSubjectChar"/>
    <w:uiPriority w:val="99"/>
    <w:semiHidden/>
    <w:unhideWhenUsed/>
    <w:rsid w:val="00BC27E9"/>
    <w:rPr>
      <w:b/>
      <w:bCs/>
    </w:rPr>
  </w:style>
  <w:style w:type="character" w:customStyle="1" w:styleId="CommentSubjectChar">
    <w:name w:val="Comment Subject Char"/>
    <w:basedOn w:val="CommentTextChar"/>
    <w:link w:val="CommentSubject"/>
    <w:uiPriority w:val="99"/>
    <w:semiHidden/>
    <w:rsid w:val="00BC27E9"/>
    <w:rPr>
      <w:rFonts w:ascii="Times New Roman" w:eastAsia="Calibri" w:hAnsi="Times New Roman" w:cs="Times New Roman"/>
      <w:b/>
      <w:bCs/>
      <w:spacing w:val="10"/>
      <w:kern w:val="0"/>
      <w:szCs w:val="20"/>
      <w:lang w:val="es-DO"/>
      <w14:ligatures w14:val="none"/>
    </w:rPr>
  </w:style>
  <w:style w:type="character" w:customStyle="1" w:styleId="TtuloCar1">
    <w:name w:val="Título Car1"/>
    <w:basedOn w:val="DefaultParagraphFont"/>
    <w:uiPriority w:val="10"/>
    <w:rsid w:val="00BC27E9"/>
    <w:rPr>
      <w:rFonts w:asciiTheme="majorHAnsi" w:eastAsiaTheme="majorEastAsia" w:hAnsiTheme="majorHAnsi" w:cstheme="majorBidi"/>
      <w:spacing w:val="-10"/>
      <w:kern w:val="28"/>
      <w:sz w:val="56"/>
      <w:szCs w:val="56"/>
    </w:rPr>
  </w:style>
  <w:style w:type="paragraph" w:customStyle="1" w:styleId="PrrafoNumerado">
    <w:name w:val="Párrafo Numerado"/>
    <w:basedOn w:val="ListParagraph"/>
    <w:link w:val="PrrafoNumeradoCar"/>
    <w:qFormat/>
    <w:rsid w:val="00BC27E9"/>
    <w:pPr>
      <w:keepNext/>
      <w:keepLines/>
      <w:widowControl w:val="0"/>
      <w:numPr>
        <w:ilvl w:val="2"/>
        <w:numId w:val="1"/>
      </w:numPr>
      <w:tabs>
        <w:tab w:val="left" w:pos="0"/>
        <w:tab w:val="left" w:pos="1702"/>
      </w:tabs>
      <w:autoSpaceDE w:val="0"/>
      <w:autoSpaceDN w:val="0"/>
      <w:spacing w:before="240" w:line="259" w:lineRule="auto"/>
      <w:ind w:left="0" w:firstLine="0"/>
      <w:outlineLvl w:val="0"/>
    </w:pPr>
    <w:rPr>
      <w:rFonts w:eastAsia="Calibri" w:cs="Times New Roman"/>
      <w:b/>
      <w:noProof/>
      <w:lang w:val="es-ES" w:eastAsia="es-ES" w:bidi="es-ES"/>
    </w:rPr>
  </w:style>
  <w:style w:type="character" w:customStyle="1" w:styleId="PrrafoNumeradoCar">
    <w:name w:val="Párrafo Numerado Car"/>
    <w:basedOn w:val="ListParagraphChar"/>
    <w:link w:val="PrrafoNumerado"/>
    <w:rsid w:val="00BC27E9"/>
    <w:rPr>
      <w:rFonts w:ascii="Times New Roman" w:eastAsia="Calibri" w:hAnsi="Times New Roman" w:cs="Times New Roman"/>
      <w:b/>
      <w:noProof/>
      <w:color w:val="767171"/>
      <w:spacing w:val="10"/>
      <w:kern w:val="0"/>
      <w:lang w:val="es-ES" w:eastAsia="es-ES" w:bidi="es-ES"/>
      <w14:ligatures w14:val="none"/>
    </w:rPr>
  </w:style>
  <w:style w:type="character" w:customStyle="1" w:styleId="Mencinsinresolver1">
    <w:name w:val="Mención sin resolver1"/>
    <w:basedOn w:val="DefaultParagraphFont"/>
    <w:uiPriority w:val="99"/>
    <w:semiHidden/>
    <w:unhideWhenUsed/>
    <w:rsid w:val="00BC27E9"/>
    <w:rPr>
      <w:color w:val="605E5C"/>
      <w:shd w:val="clear" w:color="auto" w:fill="E1DFDD"/>
    </w:rPr>
  </w:style>
  <w:style w:type="character" w:customStyle="1" w:styleId="Mencinsinresolver2">
    <w:name w:val="Mención sin resolver2"/>
    <w:basedOn w:val="DefaultParagraphFont"/>
    <w:uiPriority w:val="99"/>
    <w:semiHidden/>
    <w:unhideWhenUsed/>
    <w:rsid w:val="00BC27E9"/>
    <w:rPr>
      <w:color w:val="605E5C"/>
      <w:shd w:val="clear" w:color="auto" w:fill="E1DFDD"/>
    </w:rPr>
  </w:style>
  <w:style w:type="table" w:styleId="TableGrid">
    <w:name w:val="Table Grid"/>
    <w:basedOn w:val="TableNormal"/>
    <w:uiPriority w:val="39"/>
    <w:rsid w:val="00BC27E9"/>
    <w:pPr>
      <w:spacing w:after="0" w:line="240" w:lineRule="auto"/>
    </w:pPr>
    <w:rPr>
      <w:kern w:val="0"/>
      <w:sz w:val="22"/>
      <w:szCs w:val="22"/>
      <w:lang w:val="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tas">
    <w:name w:val="Viñetas"/>
    <w:basedOn w:val="Normal"/>
    <w:link w:val="VietasCar"/>
    <w:qFormat/>
    <w:rsid w:val="00BC27E9"/>
  </w:style>
  <w:style w:type="character" w:customStyle="1" w:styleId="VietasCar">
    <w:name w:val="Viñetas Car"/>
    <w:basedOn w:val="DefaultParagraphFont"/>
    <w:link w:val="Vietas"/>
    <w:rsid w:val="00BC27E9"/>
    <w:rPr>
      <w:rFonts w:ascii="Times New Roman" w:hAnsi="Times New Roman"/>
      <w:color w:val="767171"/>
      <w:spacing w:val="10"/>
      <w:kern w:val="0"/>
      <w:szCs w:val="22"/>
      <w:lang w:val="es-DO"/>
      <w14:ligatures w14:val="none"/>
    </w:rPr>
  </w:style>
  <w:style w:type="paragraph" w:customStyle="1" w:styleId="Estilo1-Vietas-Parrafo">
    <w:name w:val="Estilo1-Viñetas-Parrafo"/>
    <w:basedOn w:val="Normal"/>
    <w:link w:val="Estilo1-Vietas-ParrafoCar"/>
    <w:qFormat/>
    <w:rsid w:val="00BC27E9"/>
    <w:pPr>
      <w:spacing w:after="160"/>
    </w:pPr>
    <w:rPr>
      <w:rFonts w:cs="Times New Roman"/>
    </w:rPr>
  </w:style>
  <w:style w:type="character" w:customStyle="1" w:styleId="Estilo1-Vietas-ParrafoCar">
    <w:name w:val="Estilo1-Viñetas-Parrafo Car"/>
    <w:basedOn w:val="DefaultParagraphFont"/>
    <w:link w:val="Estilo1-Vietas-Parrafo"/>
    <w:rsid w:val="00BC27E9"/>
    <w:rPr>
      <w:rFonts w:ascii="Times New Roman" w:hAnsi="Times New Roman" w:cs="Times New Roman"/>
      <w:color w:val="767171"/>
      <w:spacing w:val="10"/>
      <w:kern w:val="0"/>
      <w:szCs w:val="22"/>
      <w:lang w:val="es-DO"/>
      <w14:ligatures w14:val="none"/>
    </w:rPr>
  </w:style>
  <w:style w:type="paragraph" w:customStyle="1" w:styleId="Sub-Title">
    <w:name w:val="Sub-Title"/>
    <w:basedOn w:val="ListParagraph"/>
    <w:link w:val="Sub-TitleCar"/>
    <w:qFormat/>
    <w:rsid w:val="00BC27E9"/>
    <w:pPr>
      <w:keepNext/>
      <w:keepLines/>
      <w:widowControl w:val="0"/>
      <w:tabs>
        <w:tab w:val="left" w:pos="0"/>
        <w:tab w:val="left" w:pos="1702"/>
      </w:tabs>
      <w:autoSpaceDE w:val="0"/>
      <w:autoSpaceDN w:val="0"/>
      <w:spacing w:before="240" w:line="259" w:lineRule="auto"/>
      <w:ind w:left="0"/>
      <w:outlineLvl w:val="0"/>
    </w:pPr>
    <w:rPr>
      <w:rFonts w:eastAsia="Calibri" w:cs="Times New Roman"/>
      <w:b/>
      <w:noProof/>
      <w:lang w:val="es-ES" w:eastAsia="es-ES" w:bidi="es-ES"/>
    </w:rPr>
  </w:style>
  <w:style w:type="character" w:customStyle="1" w:styleId="Sub-TitleCar">
    <w:name w:val="Sub-Title Car"/>
    <w:basedOn w:val="ListParagraphChar"/>
    <w:link w:val="Sub-Title"/>
    <w:rsid w:val="00BC27E9"/>
    <w:rPr>
      <w:rFonts w:ascii="Times New Roman" w:eastAsia="Calibri" w:hAnsi="Times New Roman" w:cs="Times New Roman"/>
      <w:b/>
      <w:noProof/>
      <w:color w:val="767171"/>
      <w:spacing w:val="10"/>
      <w:kern w:val="0"/>
      <w:lang w:val="es-ES" w:eastAsia="es-ES" w:bidi="es-ES"/>
      <w14:ligatures w14:val="none"/>
    </w:rPr>
  </w:style>
  <w:style w:type="paragraph" w:customStyle="1" w:styleId="Sub-Sub-">
    <w:name w:val="Sub-Sub-"/>
    <w:basedOn w:val="Sub-Title"/>
    <w:link w:val="Sub-Sub-Car"/>
    <w:qFormat/>
    <w:rsid w:val="00BC27E9"/>
  </w:style>
  <w:style w:type="character" w:customStyle="1" w:styleId="Sub-Sub-Car">
    <w:name w:val="Sub-Sub- Car"/>
    <w:basedOn w:val="Sub-TitleCar"/>
    <w:link w:val="Sub-Sub-"/>
    <w:rsid w:val="00BC27E9"/>
    <w:rPr>
      <w:rFonts w:ascii="Times New Roman" w:eastAsia="Calibri" w:hAnsi="Times New Roman" w:cs="Times New Roman"/>
      <w:b/>
      <w:noProof/>
      <w:color w:val="767171"/>
      <w:spacing w:val="10"/>
      <w:kern w:val="0"/>
      <w:lang w:val="es-ES" w:eastAsia="es-ES" w:bidi="es-ES"/>
      <w14:ligatures w14:val="none"/>
    </w:rPr>
  </w:style>
  <w:style w:type="table" w:customStyle="1" w:styleId="Tablaconcuadrcula1">
    <w:name w:val="Tabla con cuadrícula1"/>
    <w:basedOn w:val="TableNormal"/>
    <w:next w:val="TableGrid"/>
    <w:uiPriority w:val="39"/>
    <w:rsid w:val="00BC27E9"/>
    <w:pPr>
      <w:spacing w:after="0" w:line="240" w:lineRule="auto"/>
    </w:pPr>
    <w:rPr>
      <w:kern w:val="0"/>
      <w:sz w:val="20"/>
      <w:szCs w:val="22"/>
      <w:lang w:val="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39"/>
    <w:rsid w:val="00BC27E9"/>
    <w:pPr>
      <w:spacing w:after="0" w:line="240" w:lineRule="auto"/>
    </w:pPr>
    <w:rPr>
      <w:kern w:val="0"/>
      <w:sz w:val="20"/>
      <w:szCs w:val="22"/>
      <w:lang w:val="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nfasis51">
    <w:name w:val="Tabla de cuadrícula 5 oscura - Énfasis 51"/>
    <w:basedOn w:val="TableNormal"/>
    <w:next w:val="GridTable5Dark-Accent5"/>
    <w:uiPriority w:val="50"/>
    <w:rsid w:val="00BC27E9"/>
    <w:pPr>
      <w:spacing w:after="0" w:line="240" w:lineRule="auto"/>
      <w:jc w:val="both"/>
    </w:pPr>
    <w:rPr>
      <w:rFonts w:eastAsia="Times New Roman"/>
      <w:kern w:val="0"/>
      <w:sz w:val="22"/>
      <w:szCs w:val="22"/>
      <w:lang w:val="es-DO"/>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5">
    <w:name w:val="Grid Table 5 Dark Accent 5"/>
    <w:basedOn w:val="TableNormal"/>
    <w:uiPriority w:val="50"/>
    <w:rsid w:val="00BC27E9"/>
    <w:pPr>
      <w:spacing w:after="0" w:line="240" w:lineRule="auto"/>
    </w:pPr>
    <w:rPr>
      <w:kern w:val="0"/>
      <w:sz w:val="22"/>
      <w:szCs w:val="22"/>
      <w:lang w:val="es-DO"/>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customStyle="1" w:styleId="Tabladecuadrcula5oscura-nfasis11">
    <w:name w:val="Tabla de cuadrícula 5 oscura - Énfasis 11"/>
    <w:basedOn w:val="TableNormal"/>
    <w:next w:val="GridTable5Dark-Accent1"/>
    <w:uiPriority w:val="50"/>
    <w:rsid w:val="00BC27E9"/>
    <w:pPr>
      <w:spacing w:after="0" w:line="240" w:lineRule="auto"/>
      <w:jc w:val="both"/>
    </w:pPr>
    <w:rPr>
      <w:rFonts w:eastAsia="Times New Roman"/>
      <w:kern w:val="0"/>
      <w:sz w:val="22"/>
      <w:szCs w:val="22"/>
      <w:lang w:val="es-DO"/>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1">
    <w:name w:val="Grid Table 5 Dark Accent 1"/>
    <w:basedOn w:val="TableNormal"/>
    <w:uiPriority w:val="50"/>
    <w:rsid w:val="00BC27E9"/>
    <w:pPr>
      <w:spacing w:after="0" w:line="240" w:lineRule="auto"/>
    </w:pPr>
    <w:rPr>
      <w:kern w:val="0"/>
      <w:sz w:val="22"/>
      <w:szCs w:val="22"/>
      <w:lang w:val="es-DO"/>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adecuadrcula4-nfasis51">
    <w:name w:val="Tabla de cuadrícula 4 - Énfasis 51"/>
    <w:basedOn w:val="TableNormal"/>
    <w:next w:val="GridTable4-Accent5"/>
    <w:uiPriority w:val="49"/>
    <w:rsid w:val="00BC27E9"/>
    <w:pPr>
      <w:spacing w:after="0" w:line="240" w:lineRule="auto"/>
      <w:jc w:val="both"/>
    </w:pPr>
    <w:rPr>
      <w:rFonts w:eastAsia="Times New Roman"/>
      <w:kern w:val="0"/>
      <w:sz w:val="22"/>
      <w:szCs w:val="22"/>
      <w:lang w:val="es-DO"/>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BC27E9"/>
    <w:pPr>
      <w:spacing w:after="0" w:line="240" w:lineRule="auto"/>
    </w:pPr>
    <w:rPr>
      <w:kern w:val="0"/>
      <w:sz w:val="22"/>
      <w:szCs w:val="22"/>
      <w:lang w:val="es-DO"/>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Tabladelista5oscura-nfasis51">
    <w:name w:val="Tabla de lista 5 oscura - Énfasis 51"/>
    <w:basedOn w:val="TableNormal"/>
    <w:next w:val="ListTable5Dark-Accent5"/>
    <w:uiPriority w:val="50"/>
    <w:rsid w:val="00BC27E9"/>
    <w:pPr>
      <w:spacing w:after="0" w:line="240" w:lineRule="auto"/>
      <w:jc w:val="both"/>
    </w:pPr>
    <w:rPr>
      <w:rFonts w:eastAsia="Times New Roman"/>
      <w:color w:val="FFFFFF"/>
      <w:kern w:val="0"/>
      <w:sz w:val="22"/>
      <w:szCs w:val="22"/>
      <w:lang w:val="es-DO"/>
      <w14:ligatures w14:val="none"/>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C27E9"/>
    <w:pPr>
      <w:spacing w:after="0" w:line="240" w:lineRule="auto"/>
    </w:pPr>
    <w:rPr>
      <w:color w:val="FFFFFF" w:themeColor="background1"/>
      <w:kern w:val="0"/>
      <w:sz w:val="22"/>
      <w:szCs w:val="22"/>
      <w:lang w:val="es-DO"/>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cuadrcula5oscura-nfasis52">
    <w:name w:val="Tabla de cuadrícula 5 oscura - Énfasis 52"/>
    <w:basedOn w:val="TableNormal"/>
    <w:next w:val="GridTable5Dark-Accent5"/>
    <w:uiPriority w:val="50"/>
    <w:rsid w:val="00BC27E9"/>
    <w:pPr>
      <w:spacing w:after="0" w:line="240" w:lineRule="auto"/>
      <w:jc w:val="both"/>
    </w:pPr>
    <w:rPr>
      <w:rFonts w:eastAsia="Times New Roman"/>
      <w:kern w:val="0"/>
      <w:sz w:val="22"/>
      <w:szCs w:val="22"/>
      <w:lang w:val="es-DO"/>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5oscura-nfasis12">
    <w:name w:val="Tabla de cuadrícula 5 oscura - Énfasis 12"/>
    <w:basedOn w:val="TableNormal"/>
    <w:next w:val="GridTable5Dark-Accent1"/>
    <w:uiPriority w:val="50"/>
    <w:rsid w:val="00BC27E9"/>
    <w:pPr>
      <w:spacing w:after="0" w:line="240" w:lineRule="auto"/>
      <w:jc w:val="both"/>
    </w:pPr>
    <w:rPr>
      <w:rFonts w:eastAsia="Times New Roman"/>
      <w:kern w:val="0"/>
      <w:sz w:val="22"/>
      <w:szCs w:val="22"/>
      <w:lang w:val="es-DO"/>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4-nfasis52">
    <w:name w:val="Tabla de cuadrícula 4 - Énfasis 52"/>
    <w:basedOn w:val="TableNormal"/>
    <w:next w:val="GridTable4-Accent5"/>
    <w:uiPriority w:val="49"/>
    <w:rsid w:val="00BC27E9"/>
    <w:pPr>
      <w:spacing w:after="0" w:line="240" w:lineRule="auto"/>
      <w:jc w:val="both"/>
    </w:pPr>
    <w:rPr>
      <w:rFonts w:eastAsia="Times New Roman"/>
      <w:kern w:val="0"/>
      <w:sz w:val="22"/>
      <w:szCs w:val="22"/>
      <w:lang w:val="es-DO"/>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5oscura-nfasis52">
    <w:name w:val="Tabla de lista 5 oscura - Énfasis 52"/>
    <w:basedOn w:val="TableNormal"/>
    <w:next w:val="ListTable5Dark-Accent5"/>
    <w:uiPriority w:val="50"/>
    <w:rsid w:val="00BC27E9"/>
    <w:pPr>
      <w:spacing w:after="0" w:line="240" w:lineRule="auto"/>
      <w:jc w:val="both"/>
    </w:pPr>
    <w:rPr>
      <w:rFonts w:eastAsia="Times New Roman"/>
      <w:color w:val="FFFFFF"/>
      <w:kern w:val="0"/>
      <w:sz w:val="22"/>
      <w:szCs w:val="22"/>
      <w:lang w:val="es-DO"/>
      <w14:ligatures w14:val="none"/>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521">
    <w:name w:val="Tabla de lista 5 oscura - Énfasis 521"/>
    <w:basedOn w:val="TableNormal"/>
    <w:next w:val="ListTable5Dark-Accent5"/>
    <w:uiPriority w:val="50"/>
    <w:rsid w:val="00BC27E9"/>
    <w:pPr>
      <w:spacing w:after="0" w:line="240" w:lineRule="auto"/>
      <w:jc w:val="both"/>
    </w:pPr>
    <w:rPr>
      <w:rFonts w:eastAsia="Times New Roman"/>
      <w:color w:val="FFFFFF"/>
      <w:kern w:val="0"/>
      <w:sz w:val="22"/>
      <w:szCs w:val="22"/>
      <w:lang w:val="es-DO"/>
      <w14:ligatures w14:val="none"/>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List">
    <w:name w:val="List"/>
    <w:basedOn w:val="Normal"/>
    <w:uiPriority w:val="99"/>
    <w:unhideWhenUsed/>
    <w:rsid w:val="00BC27E9"/>
    <w:pPr>
      <w:ind w:left="360" w:hanging="360"/>
      <w:contextualSpacing/>
    </w:pPr>
  </w:style>
  <w:style w:type="paragraph" w:styleId="List2">
    <w:name w:val="List 2"/>
    <w:basedOn w:val="Normal"/>
    <w:link w:val="List2Char"/>
    <w:uiPriority w:val="99"/>
    <w:unhideWhenUsed/>
    <w:rsid w:val="00BC27E9"/>
    <w:pPr>
      <w:ind w:left="720" w:hanging="360"/>
      <w:contextualSpacing/>
    </w:pPr>
  </w:style>
  <w:style w:type="character" w:customStyle="1" w:styleId="List2Char">
    <w:name w:val="List 2 Char"/>
    <w:basedOn w:val="DefaultParagraphFont"/>
    <w:link w:val="List2"/>
    <w:uiPriority w:val="99"/>
    <w:rsid w:val="00BC27E9"/>
    <w:rPr>
      <w:rFonts w:ascii="Times New Roman" w:hAnsi="Times New Roman"/>
      <w:color w:val="767171"/>
      <w:spacing w:val="10"/>
      <w:kern w:val="0"/>
      <w:szCs w:val="22"/>
      <w:lang w:val="es-DO"/>
      <w14:ligatures w14:val="none"/>
    </w:rPr>
  </w:style>
  <w:style w:type="paragraph" w:styleId="List3">
    <w:name w:val="List 3"/>
    <w:basedOn w:val="Normal"/>
    <w:uiPriority w:val="99"/>
    <w:unhideWhenUsed/>
    <w:rsid w:val="00BC27E9"/>
    <w:pPr>
      <w:ind w:left="1080" w:hanging="360"/>
      <w:contextualSpacing/>
    </w:pPr>
  </w:style>
  <w:style w:type="paragraph" w:styleId="List4">
    <w:name w:val="List 4"/>
    <w:basedOn w:val="Normal"/>
    <w:uiPriority w:val="99"/>
    <w:unhideWhenUsed/>
    <w:rsid w:val="00BC27E9"/>
    <w:pPr>
      <w:ind w:left="1440" w:hanging="360"/>
      <w:contextualSpacing/>
    </w:pPr>
  </w:style>
  <w:style w:type="paragraph" w:styleId="Salutation">
    <w:name w:val="Salutation"/>
    <w:basedOn w:val="Normal"/>
    <w:next w:val="Normal"/>
    <w:link w:val="SalutationChar"/>
    <w:uiPriority w:val="99"/>
    <w:unhideWhenUsed/>
    <w:rsid w:val="00BC27E9"/>
  </w:style>
  <w:style w:type="character" w:customStyle="1" w:styleId="SalutationChar">
    <w:name w:val="Salutation Char"/>
    <w:basedOn w:val="DefaultParagraphFont"/>
    <w:link w:val="Salutation"/>
    <w:uiPriority w:val="99"/>
    <w:rsid w:val="00BC27E9"/>
    <w:rPr>
      <w:rFonts w:ascii="Times New Roman" w:hAnsi="Times New Roman"/>
      <w:color w:val="767171"/>
      <w:spacing w:val="10"/>
      <w:kern w:val="0"/>
      <w:szCs w:val="22"/>
      <w:lang w:val="es-DO"/>
      <w14:ligatures w14:val="none"/>
    </w:rPr>
  </w:style>
  <w:style w:type="paragraph" w:styleId="Closing">
    <w:name w:val="Closing"/>
    <w:basedOn w:val="Normal"/>
    <w:link w:val="ClosingChar"/>
    <w:uiPriority w:val="99"/>
    <w:unhideWhenUsed/>
    <w:rsid w:val="00BC27E9"/>
    <w:pPr>
      <w:spacing w:line="240" w:lineRule="auto"/>
      <w:ind w:left="4320"/>
    </w:pPr>
  </w:style>
  <w:style w:type="character" w:customStyle="1" w:styleId="ClosingChar">
    <w:name w:val="Closing Char"/>
    <w:basedOn w:val="DefaultParagraphFont"/>
    <w:link w:val="Closing"/>
    <w:uiPriority w:val="99"/>
    <w:rsid w:val="00BC27E9"/>
    <w:rPr>
      <w:rFonts w:ascii="Times New Roman" w:hAnsi="Times New Roman"/>
      <w:color w:val="767171"/>
      <w:spacing w:val="10"/>
      <w:kern w:val="0"/>
      <w:szCs w:val="22"/>
      <w:lang w:val="es-DO"/>
      <w14:ligatures w14:val="none"/>
    </w:rPr>
  </w:style>
  <w:style w:type="paragraph" w:styleId="ListBullet">
    <w:name w:val="List Bullet"/>
    <w:basedOn w:val="Normal"/>
    <w:uiPriority w:val="99"/>
    <w:unhideWhenUsed/>
    <w:rsid w:val="00BC27E9"/>
    <w:pPr>
      <w:numPr>
        <w:numId w:val="13"/>
      </w:numPr>
      <w:tabs>
        <w:tab w:val="clear" w:pos="360"/>
      </w:tabs>
      <w:ind w:left="0" w:firstLine="0"/>
      <w:contextualSpacing/>
    </w:pPr>
  </w:style>
  <w:style w:type="paragraph" w:styleId="ListBullet2">
    <w:name w:val="List Bullet 2"/>
    <w:basedOn w:val="Normal"/>
    <w:uiPriority w:val="99"/>
    <w:unhideWhenUsed/>
    <w:rsid w:val="00BC27E9"/>
    <w:pPr>
      <w:numPr>
        <w:numId w:val="14"/>
      </w:numPr>
      <w:tabs>
        <w:tab w:val="clear" w:pos="720"/>
      </w:tabs>
      <w:ind w:left="0" w:firstLine="0"/>
      <w:contextualSpacing/>
    </w:pPr>
  </w:style>
  <w:style w:type="paragraph" w:styleId="ListBullet3">
    <w:name w:val="List Bullet 3"/>
    <w:basedOn w:val="Normal"/>
    <w:uiPriority w:val="99"/>
    <w:unhideWhenUsed/>
    <w:rsid w:val="00BC27E9"/>
    <w:pPr>
      <w:numPr>
        <w:numId w:val="15"/>
      </w:numPr>
      <w:tabs>
        <w:tab w:val="clear" w:pos="1080"/>
      </w:tabs>
      <w:ind w:left="0" w:firstLine="0"/>
      <w:contextualSpacing/>
    </w:pPr>
  </w:style>
  <w:style w:type="paragraph" w:styleId="ListContinue">
    <w:name w:val="List Continue"/>
    <w:basedOn w:val="Normal"/>
    <w:uiPriority w:val="99"/>
    <w:unhideWhenUsed/>
    <w:rsid w:val="00BC27E9"/>
    <w:pPr>
      <w:spacing w:after="120"/>
      <w:ind w:left="360"/>
      <w:contextualSpacing/>
    </w:pPr>
  </w:style>
  <w:style w:type="paragraph" w:styleId="Signature">
    <w:name w:val="Signature"/>
    <w:basedOn w:val="Normal"/>
    <w:link w:val="SignatureChar"/>
    <w:uiPriority w:val="99"/>
    <w:unhideWhenUsed/>
    <w:rsid w:val="00BC27E9"/>
    <w:pPr>
      <w:spacing w:line="240" w:lineRule="auto"/>
      <w:ind w:left="4320"/>
    </w:pPr>
  </w:style>
  <w:style w:type="character" w:customStyle="1" w:styleId="SignatureChar">
    <w:name w:val="Signature Char"/>
    <w:basedOn w:val="DefaultParagraphFont"/>
    <w:link w:val="Signature"/>
    <w:uiPriority w:val="99"/>
    <w:rsid w:val="00BC27E9"/>
    <w:rPr>
      <w:rFonts w:ascii="Times New Roman" w:hAnsi="Times New Roman"/>
      <w:color w:val="767171"/>
      <w:spacing w:val="10"/>
      <w:kern w:val="0"/>
      <w:szCs w:val="22"/>
      <w:lang w:val="es-DO"/>
      <w14:ligatures w14:val="none"/>
    </w:rPr>
  </w:style>
  <w:style w:type="paragraph" w:styleId="BodyTextFirstIndent">
    <w:name w:val="Body Text First Indent"/>
    <w:basedOn w:val="BodyText"/>
    <w:link w:val="BodyTextFirstIndentChar"/>
    <w:uiPriority w:val="99"/>
    <w:unhideWhenUsed/>
    <w:rsid w:val="00BC27E9"/>
    <w:pPr>
      <w:widowControl/>
      <w:autoSpaceDE/>
      <w:autoSpaceDN/>
      <w:spacing w:line="360" w:lineRule="auto"/>
      <w:ind w:firstLine="360"/>
      <w:jc w:val="both"/>
    </w:pPr>
    <w:rPr>
      <w:rFonts w:eastAsiaTheme="minorHAnsi" w:cstheme="minorBidi"/>
      <w:color w:val="767171"/>
      <w:szCs w:val="22"/>
      <w:lang w:val="es-DO" w:eastAsia="en-US" w:bidi="ar-SA"/>
    </w:rPr>
  </w:style>
  <w:style w:type="character" w:customStyle="1" w:styleId="BodyTextFirstIndentChar">
    <w:name w:val="Body Text First Indent Char"/>
    <w:basedOn w:val="BodyTextChar"/>
    <w:link w:val="BodyTextFirstIndent"/>
    <w:uiPriority w:val="99"/>
    <w:rsid w:val="00BC27E9"/>
    <w:rPr>
      <w:rFonts w:ascii="Times New Roman" w:eastAsia="Times New Roman" w:hAnsi="Times New Roman" w:cs="Times New Roman"/>
      <w:color w:val="767171"/>
      <w:spacing w:val="10"/>
      <w:kern w:val="0"/>
      <w:szCs w:val="22"/>
      <w:lang w:val="es-DO" w:eastAsia="es-ES" w:bidi="es-ES"/>
      <w14:ligatures w14:val="none"/>
    </w:rPr>
  </w:style>
  <w:style w:type="paragraph" w:styleId="BodyTextIndent">
    <w:name w:val="Body Text Indent"/>
    <w:basedOn w:val="Normal"/>
    <w:link w:val="BodyTextIndentChar"/>
    <w:uiPriority w:val="99"/>
    <w:semiHidden/>
    <w:unhideWhenUsed/>
    <w:rsid w:val="00BC27E9"/>
    <w:pPr>
      <w:spacing w:after="120"/>
      <w:ind w:left="360"/>
    </w:pPr>
  </w:style>
  <w:style w:type="character" w:customStyle="1" w:styleId="BodyTextIndentChar">
    <w:name w:val="Body Text Indent Char"/>
    <w:basedOn w:val="DefaultParagraphFont"/>
    <w:link w:val="BodyTextIndent"/>
    <w:uiPriority w:val="99"/>
    <w:semiHidden/>
    <w:rsid w:val="00BC27E9"/>
    <w:rPr>
      <w:rFonts w:ascii="Times New Roman" w:hAnsi="Times New Roman"/>
      <w:color w:val="767171"/>
      <w:spacing w:val="10"/>
      <w:kern w:val="0"/>
      <w:szCs w:val="22"/>
      <w:lang w:val="es-DO"/>
      <w14:ligatures w14:val="none"/>
    </w:rPr>
  </w:style>
  <w:style w:type="paragraph" w:styleId="BodyTextFirstIndent2">
    <w:name w:val="Body Text First Indent 2"/>
    <w:basedOn w:val="BodyTextIndent"/>
    <w:link w:val="BodyTextFirstIndent2Char"/>
    <w:uiPriority w:val="99"/>
    <w:unhideWhenUsed/>
    <w:rsid w:val="00BC27E9"/>
    <w:pPr>
      <w:spacing w:after="0"/>
      <w:ind w:firstLine="360"/>
    </w:pPr>
  </w:style>
  <w:style w:type="character" w:customStyle="1" w:styleId="BodyTextFirstIndent2Char">
    <w:name w:val="Body Text First Indent 2 Char"/>
    <w:basedOn w:val="BodyTextIndentChar"/>
    <w:link w:val="BodyTextFirstIndent2"/>
    <w:uiPriority w:val="99"/>
    <w:rsid w:val="00BC27E9"/>
    <w:rPr>
      <w:rFonts w:ascii="Times New Roman" w:hAnsi="Times New Roman"/>
      <w:color w:val="767171"/>
      <w:spacing w:val="10"/>
      <w:kern w:val="0"/>
      <w:szCs w:val="22"/>
      <w:lang w:val="es-DO"/>
      <w14:ligatures w14:val="none"/>
    </w:rPr>
  </w:style>
  <w:style w:type="paragraph" w:customStyle="1" w:styleId="Ttulo3RdeC">
    <w:name w:val="Título 3 R. de C."/>
    <w:basedOn w:val="List2"/>
    <w:link w:val="Ttulo3RdeCCar"/>
    <w:qFormat/>
    <w:rsid w:val="00BC27E9"/>
    <w:pPr>
      <w:numPr>
        <w:ilvl w:val="2"/>
        <w:numId w:val="12"/>
      </w:numPr>
      <w:ind w:left="0" w:firstLine="0"/>
    </w:pPr>
    <w:rPr>
      <w:rFonts w:cs="Times New Roman"/>
      <w:b/>
      <w:color w:val="717676"/>
    </w:rPr>
  </w:style>
  <w:style w:type="character" w:customStyle="1" w:styleId="Ttulo3RdeCCar">
    <w:name w:val="Título 3 R. de C. Car"/>
    <w:basedOn w:val="List2Char"/>
    <w:link w:val="Ttulo3RdeC"/>
    <w:rsid w:val="00BC27E9"/>
    <w:rPr>
      <w:rFonts w:ascii="Times New Roman" w:hAnsi="Times New Roman" w:cs="Times New Roman"/>
      <w:b/>
      <w:color w:val="717676"/>
      <w:spacing w:val="10"/>
      <w:kern w:val="0"/>
      <w:szCs w:val="22"/>
      <w:lang w:val="es-DO"/>
      <w14:ligatures w14:val="none"/>
    </w:rPr>
  </w:style>
  <w:style w:type="paragraph" w:customStyle="1" w:styleId="EstilodePrrafoNormal1RdeC">
    <w:name w:val="Estilo de Párrafo Normal1 R. de C."/>
    <w:basedOn w:val="BodyText"/>
    <w:link w:val="EstilodePrrafoNormal1RdeCCar"/>
    <w:qFormat/>
    <w:rsid w:val="00BC27E9"/>
    <w:pPr>
      <w:spacing w:line="360" w:lineRule="auto"/>
      <w:jc w:val="both"/>
    </w:pPr>
    <w:rPr>
      <w:color w:val="717676"/>
    </w:rPr>
  </w:style>
  <w:style w:type="character" w:customStyle="1" w:styleId="EstilodePrrafoNormal1RdeCCar">
    <w:name w:val="Estilo de Párrafo Normal1 R. de C. Car"/>
    <w:basedOn w:val="BodyTextChar"/>
    <w:link w:val="EstilodePrrafoNormal1RdeC"/>
    <w:rsid w:val="00BC27E9"/>
    <w:rPr>
      <w:rFonts w:ascii="Times New Roman" w:eastAsia="Times New Roman" w:hAnsi="Times New Roman" w:cs="Times New Roman"/>
      <w:color w:val="717676"/>
      <w:spacing w:val="10"/>
      <w:kern w:val="0"/>
      <w:lang w:val="es-ES" w:eastAsia="es-ES" w:bidi="es-ES"/>
      <w14:ligatures w14:val="none"/>
    </w:rPr>
  </w:style>
  <w:style w:type="paragraph" w:customStyle="1" w:styleId="Estilo-Vieta-1">
    <w:name w:val="Estilo-Viñeta-1"/>
    <w:basedOn w:val="Normal"/>
    <w:link w:val="Estilo-Vieta-1Car"/>
    <w:qFormat/>
    <w:rsid w:val="00BC27E9"/>
    <w:pPr>
      <w:numPr>
        <w:numId w:val="20"/>
      </w:numPr>
      <w:spacing w:before="240" w:after="160"/>
      <w:ind w:left="0" w:firstLine="0"/>
    </w:pPr>
    <w:rPr>
      <w:rFonts w:eastAsia="Calibri" w:cs="Times New Roman"/>
      <w:noProof/>
      <w:color w:val="4C4747"/>
      <w:spacing w:val="20"/>
      <w:szCs w:val="24"/>
    </w:rPr>
  </w:style>
  <w:style w:type="character" w:customStyle="1" w:styleId="Estilo-Vieta-1Car">
    <w:name w:val="Estilo-Viñeta-1 Car"/>
    <w:basedOn w:val="DefaultParagraphFont"/>
    <w:link w:val="Estilo-Vieta-1"/>
    <w:rsid w:val="00BC27E9"/>
    <w:rPr>
      <w:rFonts w:ascii="Times New Roman" w:eastAsia="Calibri" w:hAnsi="Times New Roman" w:cs="Times New Roman"/>
      <w:noProof/>
      <w:color w:val="4C4747"/>
      <w:spacing w:val="20"/>
      <w:kern w:val="0"/>
      <w:lang w:val="es-DO"/>
      <w14:ligatures w14:val="none"/>
    </w:rPr>
  </w:style>
  <w:style w:type="table" w:customStyle="1" w:styleId="Tabladecuadrcula4-nfasis21">
    <w:name w:val="Tabla de cuadrícula 4 - Énfasis 21"/>
    <w:basedOn w:val="TableNormal"/>
    <w:next w:val="GridTable4-Accent2"/>
    <w:uiPriority w:val="49"/>
    <w:rsid w:val="00BC27E9"/>
    <w:pPr>
      <w:spacing w:after="0" w:line="240" w:lineRule="auto"/>
    </w:pPr>
    <w:rPr>
      <w:rFonts w:eastAsia="Times New Roman"/>
      <w:kern w:val="0"/>
      <w:sz w:val="22"/>
      <w:szCs w:val="22"/>
      <w14:ligatures w14:val="none"/>
    </w:rPr>
    <w:tblPr>
      <w:tblStyleRowBandSize w:val="1"/>
      <w:tblStyleColBandSize w:val="1"/>
      <w:tblInd w:w="0" w:type="nil"/>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GridTable4-Accent2">
    <w:name w:val="Grid Table 4 Accent 2"/>
    <w:basedOn w:val="TableNormal"/>
    <w:uiPriority w:val="49"/>
    <w:rsid w:val="00BC27E9"/>
    <w:pPr>
      <w:spacing w:after="0" w:line="240" w:lineRule="auto"/>
    </w:pPr>
    <w:rPr>
      <w:kern w:val="0"/>
      <w:sz w:val="22"/>
      <w:szCs w:val="22"/>
      <w:lang w:val="es-DO"/>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customStyle="1" w:styleId="Estilo-YBP-Normal-1">
    <w:name w:val="Estilo-YBP-Normal-1"/>
    <w:basedOn w:val="Normal"/>
    <w:link w:val="Estilo-YBP-Normal-1Car"/>
    <w:qFormat/>
    <w:rsid w:val="00BC27E9"/>
    <w:pPr>
      <w:spacing w:after="160"/>
    </w:pPr>
    <w:rPr>
      <w:rFonts w:eastAsia="Calibri" w:cs="Times New Roman"/>
      <w:noProof/>
      <w:color w:val="4C4747"/>
      <w:spacing w:val="20"/>
      <w:szCs w:val="24"/>
    </w:rPr>
  </w:style>
  <w:style w:type="character" w:customStyle="1" w:styleId="Estilo-YBP-Normal-1Car">
    <w:name w:val="Estilo-YBP-Normal-1 Car"/>
    <w:basedOn w:val="DefaultParagraphFont"/>
    <w:link w:val="Estilo-YBP-Normal-1"/>
    <w:rsid w:val="00BC27E9"/>
    <w:rPr>
      <w:rFonts w:ascii="Times New Roman" w:eastAsia="Calibri" w:hAnsi="Times New Roman" w:cs="Times New Roman"/>
      <w:noProof/>
      <w:color w:val="4C4747"/>
      <w:spacing w:val="20"/>
      <w:kern w:val="0"/>
      <w:lang w:val="es-DO"/>
      <w14:ligatures w14:val="none"/>
    </w:rPr>
  </w:style>
  <w:style w:type="paragraph" w:customStyle="1" w:styleId="mb-4">
    <w:name w:val="mb-4"/>
    <w:basedOn w:val="Normal"/>
    <w:rsid w:val="00BC27E9"/>
    <w:pPr>
      <w:spacing w:before="100" w:beforeAutospacing="1" w:after="100" w:afterAutospacing="1" w:line="240" w:lineRule="auto"/>
      <w:jc w:val="left"/>
    </w:pPr>
    <w:rPr>
      <w:rFonts w:eastAsia="Times New Roman" w:cs="Times New Roman"/>
      <w:color w:val="auto"/>
      <w:spacing w:val="0"/>
      <w:szCs w:val="24"/>
      <w:lang w:val="en-US"/>
    </w:rPr>
  </w:style>
  <w:style w:type="character" w:customStyle="1" w:styleId="vkekvd">
    <w:name w:val="vkekvd"/>
    <w:basedOn w:val="DefaultParagraphFont"/>
    <w:rsid w:val="00BC27E9"/>
  </w:style>
  <w:style w:type="character" w:styleId="PlaceholderText">
    <w:name w:val="Placeholder Text"/>
    <w:basedOn w:val="DefaultParagraphFont"/>
    <w:uiPriority w:val="99"/>
    <w:semiHidden/>
    <w:rsid w:val="00BC27E9"/>
    <w:rPr>
      <w:color w:val="808080"/>
    </w:rPr>
  </w:style>
  <w:style w:type="table" w:customStyle="1" w:styleId="Tablaconcuadrcula3">
    <w:name w:val="Tabla con cuadrícula3"/>
    <w:basedOn w:val="TableNormal"/>
    <w:next w:val="TableGrid"/>
    <w:uiPriority w:val="39"/>
    <w:rsid w:val="00BC27E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11">
    <w:name w:val="Tabla con cuadrícula 5 oscura - Énfasis 11"/>
    <w:basedOn w:val="TableNormal"/>
    <w:next w:val="GridTable5Dark-Accent1"/>
    <w:uiPriority w:val="50"/>
    <w:rsid w:val="00BC27E9"/>
    <w:pPr>
      <w:spacing w:after="0" w:line="240" w:lineRule="auto"/>
      <w:jc w:val="both"/>
    </w:pPr>
    <w:rPr>
      <w:rFonts w:eastAsia="Times New Roman"/>
      <w:kern w:val="0"/>
      <w:sz w:val="22"/>
      <w:szCs w:val="22"/>
      <w:lang w:val="es-DO"/>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styleId="UnresolvedMention">
    <w:name w:val="Unresolved Mention"/>
    <w:basedOn w:val="DefaultParagraphFont"/>
    <w:uiPriority w:val="99"/>
    <w:semiHidden/>
    <w:unhideWhenUsed/>
    <w:rsid w:val="00BC27E9"/>
    <w:rPr>
      <w:color w:val="605E5C"/>
      <w:shd w:val="clear" w:color="auto" w:fill="E1DFDD"/>
    </w:rPr>
  </w:style>
  <w:style w:type="character" w:customStyle="1" w:styleId="UnresolvedMention1">
    <w:name w:val="Unresolved Mention1"/>
    <w:basedOn w:val="DefaultParagraphFont"/>
    <w:uiPriority w:val="99"/>
    <w:semiHidden/>
    <w:unhideWhenUsed/>
    <w:rsid w:val="00BC27E9"/>
    <w:rPr>
      <w:color w:val="605E5C"/>
      <w:shd w:val="clear" w:color="auto" w:fill="E1DFDD"/>
    </w:rPr>
  </w:style>
  <w:style w:type="character" w:styleId="FollowedHyperlink">
    <w:name w:val="FollowedHyperlink"/>
    <w:basedOn w:val="DefaultParagraphFont"/>
    <w:uiPriority w:val="99"/>
    <w:semiHidden/>
    <w:unhideWhenUsed/>
    <w:rsid w:val="00BC27E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chart" Target="charts/chart3.xml"/><Relationship Id="rId42" Type="http://schemas.openxmlformats.org/officeDocument/2006/relationships/chart" Target="charts/chart12.xml"/><Relationship Id="rId47" Type="http://schemas.openxmlformats.org/officeDocument/2006/relationships/image" Target="media/image22.emf"/><Relationship Id="rId63" Type="http://schemas.openxmlformats.org/officeDocument/2006/relationships/image" Target="media/image36.png"/><Relationship Id="rId6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9.emf"/><Relationship Id="rId11" Type="http://schemas.openxmlformats.org/officeDocument/2006/relationships/footer" Target="footer1.xml"/><Relationship Id="rId24" Type="http://schemas.openxmlformats.org/officeDocument/2006/relationships/chart" Target="charts/chart6.xml"/><Relationship Id="rId32" Type="http://schemas.openxmlformats.org/officeDocument/2006/relationships/chart" Target="charts/chart10.xm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0.emf"/><Relationship Id="rId53" Type="http://schemas.openxmlformats.org/officeDocument/2006/relationships/image" Target="media/image28.emf"/><Relationship Id="rId58" Type="http://schemas.openxmlformats.org/officeDocument/2006/relationships/chart" Target="charts/chart14.xml"/><Relationship Id="rId66" Type="http://schemas.openxmlformats.org/officeDocument/2006/relationships/image" Target="media/image38.png"/><Relationship Id="rId5" Type="http://schemas.openxmlformats.org/officeDocument/2006/relationships/webSettings" Target="webSettings.xml"/><Relationship Id="rId61" Type="http://schemas.openxmlformats.org/officeDocument/2006/relationships/image" Target="media/image34.emf"/><Relationship Id="rId19" Type="http://schemas.openxmlformats.org/officeDocument/2006/relationships/chart" Target="charts/chart1.xml"/><Relationship Id="rId14" Type="http://schemas.openxmlformats.org/officeDocument/2006/relationships/hyperlink" Target="https://www.consultoria.gov.do/News/NewsConsult/9356" TargetMode="External"/><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hyperlink" Target="https://www.google.com/search?q=Hig%C3%BCey&amp;rlz=1C1GCEU_esDO821DO821&amp;oq=a+cual+municipio+pertenece+la+otra+banda%2Brd&amp;gs_lcrp=EgZjaHJvbWUyBggAEEUYOTIHCAEQIRigATIHCAIQIRifBdIBCjIwMzgxajBqMTWoAgiwAgHxBQpYFAQJpc7d&amp;sourceid=chrome&amp;ie=UTF-8&amp;mstk=AUtExfBMBgSJMO1FG7_iq4yzig2aKaaJNciLuZwZ5Yal2FQVgNLScguOACuViIvtztmL0sztQAtSwrlk-gvxuT5BQFvEDNCezSF9IfJmpHnG73NrqBlG6e5lA2obTBevuHS4ypgQewAP3qpsbO8FQgSOYfmL9QObBTRp0Ff5hxlqcMFdNvg&amp;csui=3&amp;ved=2ahUKEwiP3YnGmcWRAxUlSjABHagAMGUQgK4QegQIARAD" TargetMode="External"/><Relationship Id="rId35" Type="http://schemas.openxmlformats.org/officeDocument/2006/relationships/image" Target="media/image12.emf"/><Relationship Id="rId43" Type="http://schemas.openxmlformats.org/officeDocument/2006/relationships/chart" Target="charts/chart13.xml"/><Relationship Id="rId48" Type="http://schemas.openxmlformats.org/officeDocument/2006/relationships/image" Target="media/image23.emf"/><Relationship Id="rId56" Type="http://schemas.openxmlformats.org/officeDocument/2006/relationships/image" Target="media/image31.emf"/><Relationship Id="rId64" Type="http://schemas.openxmlformats.org/officeDocument/2006/relationships/footer" Target="footer4.xml"/><Relationship Id="rId69" Type="http://schemas.openxmlformats.org/officeDocument/2006/relationships/image" Target="media/image39.png"/><Relationship Id="rId8" Type="http://schemas.openxmlformats.org/officeDocument/2006/relationships/image" Target="media/image1.png"/><Relationship Id="rId51" Type="http://schemas.openxmlformats.org/officeDocument/2006/relationships/image" Target="media/image26.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311.gob.do" TargetMode="External"/><Relationship Id="rId25" Type="http://schemas.openxmlformats.org/officeDocument/2006/relationships/chart" Target="charts/chart7.xml"/><Relationship Id="rId33" Type="http://schemas.openxmlformats.org/officeDocument/2006/relationships/chart" Target="charts/chart11.xml"/><Relationship Id="rId38" Type="http://schemas.openxmlformats.org/officeDocument/2006/relationships/image" Target="media/image15.png"/><Relationship Id="rId46" Type="http://schemas.openxmlformats.org/officeDocument/2006/relationships/image" Target="media/image21.emf"/><Relationship Id="rId59" Type="http://schemas.openxmlformats.org/officeDocument/2006/relationships/chart" Target="charts/chart15.xml"/><Relationship Id="rId67" Type="http://schemas.openxmlformats.org/officeDocument/2006/relationships/header" Target="header1.xml"/><Relationship Id="rId20" Type="http://schemas.openxmlformats.org/officeDocument/2006/relationships/chart" Target="charts/chart2.xml"/><Relationship Id="rId41" Type="http://schemas.openxmlformats.org/officeDocument/2006/relationships/image" Target="media/image18.png"/><Relationship Id="rId54" Type="http://schemas.openxmlformats.org/officeDocument/2006/relationships/image" Target="media/image29.emf"/><Relationship Id="rId62" Type="http://schemas.openxmlformats.org/officeDocument/2006/relationships/image" Target="media/image35.png"/><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chart" Target="charts/chart5.xml"/><Relationship Id="rId28" Type="http://schemas.openxmlformats.org/officeDocument/2006/relationships/chart" Target="charts/chart9.xml"/><Relationship Id="rId36" Type="http://schemas.openxmlformats.org/officeDocument/2006/relationships/image" Target="media/image13.emf"/><Relationship Id="rId49" Type="http://schemas.openxmlformats.org/officeDocument/2006/relationships/image" Target="media/image24.emf"/><Relationship Id="rId57" Type="http://schemas.openxmlformats.org/officeDocument/2006/relationships/image" Target="media/image32.emf"/><Relationship Id="rId10"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image" Target="media/image19.emf"/><Relationship Id="rId52" Type="http://schemas.openxmlformats.org/officeDocument/2006/relationships/image" Target="media/image27.emf"/><Relationship Id="rId60" Type="http://schemas.openxmlformats.org/officeDocument/2006/relationships/image" Target="media/image33.png"/><Relationship Id="rId65" Type="http://schemas.openxmlformats.org/officeDocument/2006/relationships/image" Target="media/image37.e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image" Target="media/image7.png"/><Relationship Id="rId39" Type="http://schemas.openxmlformats.org/officeDocument/2006/relationships/image" Target="media/image16.png"/><Relationship Id="rId34" Type="http://schemas.openxmlformats.org/officeDocument/2006/relationships/image" Target="media/image11.emf"/><Relationship Id="rId50" Type="http://schemas.openxmlformats.org/officeDocument/2006/relationships/image" Target="media/image25.emf"/><Relationship Id="rId55" Type="http://schemas.openxmlformats.org/officeDocument/2006/relationships/image" Target="media/image30.emf"/><Relationship Id="rId7" Type="http://schemas.openxmlformats.org/officeDocument/2006/relationships/endnotes" Target="endnotes.xml"/><Relationship Id="rId71"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tcabral\Downloads\Inversi&#243;n%20caminos%20vecinales%20con%20equipos%20del%20MOPC%202025%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cabral\Downloads\grafico%20asistencia%20%20via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7.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8.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embeddings/oleObject2.bin"/></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oleObject" Target="file:///C:\Users\Admin\Documents\2024\Rendici&#243;n%20de%20Cuentas%202024\CUADROS%20RENDICION%20DE%20CUENTAS-2024%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1" i="0" u="none" strike="noStrike" kern="1200" baseline="0">
                <a:solidFill>
                  <a:schemeClr val="dk1">
                    <a:lumMod val="65000"/>
                    <a:lumOff val="35000"/>
                  </a:schemeClr>
                </a:solidFill>
                <a:effectLst/>
                <a:latin typeface="+mn-lt"/>
                <a:ea typeface="+mn-ea"/>
                <a:cs typeface="+mn-cs"/>
              </a:defRPr>
            </a:pPr>
            <a:r>
              <a:rPr lang="en-US" sz="1600"/>
              <a:t>Calificaciones</a:t>
            </a:r>
            <a:r>
              <a:rPr lang="en-US" sz="1600" baseline="0"/>
              <a:t> de Indicador de Obras </a:t>
            </a:r>
            <a:endParaRPr lang="en-US" sz="1600"/>
          </a:p>
        </c:rich>
      </c:tx>
      <c:layout>
        <c:manualLayout>
          <c:xMode val="edge"/>
          <c:yMode val="edge"/>
          <c:x val="0.1910833333333333"/>
          <c:y val="4.6296296296296294E-2"/>
        </c:manualLayout>
      </c:layout>
      <c:overlay val="0"/>
      <c:spPr>
        <a:noFill/>
        <a:ln>
          <a:noFill/>
        </a:ln>
        <a:effectLst/>
      </c:spPr>
      <c:txPr>
        <a:bodyPr rot="0" spcFirstLastPara="1" vertOverflow="ellipsis" vert="horz" wrap="square" anchor="ctr" anchorCtr="1"/>
        <a:lstStyle/>
        <a:p>
          <a:pPr>
            <a:defRPr b="1"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barChart>
        <c:barDir val="col"/>
        <c:grouping val="clustered"/>
        <c:varyColors val="0"/>
        <c:ser>
          <c:idx val="0"/>
          <c:order val="0"/>
          <c:tx>
            <c:strRef>
              <c:f>Hoja1!$B$2</c:f>
              <c:strCache>
                <c:ptCount val="1"/>
                <c:pt idx="0">
                  <c:v>PORCENTAJE</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Hoja1!$A$3:$A$7</c:f>
              <c:strCache>
                <c:ptCount val="5"/>
                <c:pt idx="0">
                  <c:v>ENERO </c:v>
                </c:pt>
                <c:pt idx="1">
                  <c:v>FEBRERO </c:v>
                </c:pt>
                <c:pt idx="2">
                  <c:v>MARZO</c:v>
                </c:pt>
                <c:pt idx="3">
                  <c:v>ABRIL </c:v>
                </c:pt>
                <c:pt idx="4">
                  <c:v>MAYO </c:v>
                </c:pt>
              </c:strCache>
            </c:strRef>
          </c:cat>
          <c:val>
            <c:numRef>
              <c:f>Hoja1!$B$3:$B$7</c:f>
              <c:numCache>
                <c:formatCode>0%</c:formatCode>
                <c:ptCount val="5"/>
                <c:pt idx="0">
                  <c:v>0.99</c:v>
                </c:pt>
                <c:pt idx="1">
                  <c:v>1</c:v>
                </c:pt>
                <c:pt idx="2">
                  <c:v>1</c:v>
                </c:pt>
                <c:pt idx="3">
                  <c:v>1</c:v>
                </c:pt>
                <c:pt idx="4">
                  <c:v>1</c:v>
                </c:pt>
              </c:numCache>
            </c:numRef>
          </c:val>
          <c:extLst>
            <c:ext xmlns:c16="http://schemas.microsoft.com/office/drawing/2014/chart" uri="{C3380CC4-5D6E-409C-BE32-E72D297353CC}">
              <c16:uniqueId val="{00000000-FECF-4816-ACD9-35D01D28AF7A}"/>
            </c:ext>
          </c:extLst>
        </c:ser>
        <c:dLbls>
          <c:dLblPos val="inEnd"/>
          <c:showLegendKey val="0"/>
          <c:showVal val="1"/>
          <c:showCatName val="0"/>
          <c:showSerName val="0"/>
          <c:showPercent val="0"/>
          <c:showBubbleSize val="0"/>
        </c:dLbls>
        <c:gapWidth val="41"/>
        <c:axId val="1869973808"/>
        <c:axId val="1869948784"/>
      </c:barChart>
      <c:catAx>
        <c:axId val="186997380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MES</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effectLst/>
                <a:latin typeface="+mn-lt"/>
                <a:ea typeface="+mn-ea"/>
                <a:cs typeface="+mn-cs"/>
              </a:defRPr>
            </a:pPr>
            <a:endParaRPr lang="es-DO"/>
          </a:p>
        </c:txPr>
        <c:crossAx val="1869948784"/>
        <c:crosses val="autoZero"/>
        <c:auto val="1"/>
        <c:lblAlgn val="ctr"/>
        <c:lblOffset val="100"/>
        <c:noMultiLvlLbl val="0"/>
      </c:catAx>
      <c:valAx>
        <c:axId val="1869948784"/>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CALIFICACIÓN</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s-DO"/>
            </a:p>
          </c:txPr>
        </c:title>
        <c:numFmt formatCode="0%" sourceLinked="1"/>
        <c:majorTickMark val="none"/>
        <c:minorTickMark val="none"/>
        <c:tickLblPos val="nextTo"/>
        <c:crossAx val="186997380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b="1"/>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'[Inversión caminos vecinales con equipos del MOPC 2025 (2).xlsx]resumen '!$C$5</c:f>
              <c:strCache>
                <c:ptCount val="1"/>
                <c:pt idx="0">
                  <c:v>KILOMETROS INTERVENIDOS </c:v>
                </c:pt>
              </c:strCache>
            </c:strRef>
          </c:tx>
          <c:dPt>
            <c:idx val="0"/>
            <c:bubble3D val="0"/>
            <c:spPr>
              <a:gradFill rotWithShape="1">
                <a:gsLst>
                  <a:gs pos="0">
                    <a:schemeClr val="accent1">
                      <a:shade val="41000"/>
                      <a:satMod val="103000"/>
                      <a:lumMod val="102000"/>
                      <a:tint val="94000"/>
                    </a:schemeClr>
                  </a:gs>
                  <a:gs pos="50000">
                    <a:schemeClr val="accent1">
                      <a:shade val="41000"/>
                      <a:satMod val="110000"/>
                      <a:lumMod val="100000"/>
                      <a:shade val="100000"/>
                    </a:schemeClr>
                  </a:gs>
                  <a:gs pos="100000">
                    <a:schemeClr val="accent1">
                      <a:shade val="41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313-40A0-87A4-7A6C5BE21A44}"/>
              </c:ext>
            </c:extLst>
          </c:dPt>
          <c:dPt>
            <c:idx val="1"/>
            <c:bubble3D val="0"/>
            <c:spPr>
              <a:gradFill rotWithShape="1">
                <a:gsLst>
                  <a:gs pos="0">
                    <a:schemeClr val="accent1">
                      <a:shade val="53000"/>
                      <a:satMod val="103000"/>
                      <a:lumMod val="102000"/>
                      <a:tint val="94000"/>
                    </a:schemeClr>
                  </a:gs>
                  <a:gs pos="50000">
                    <a:schemeClr val="accent1">
                      <a:shade val="53000"/>
                      <a:satMod val="110000"/>
                      <a:lumMod val="100000"/>
                      <a:shade val="100000"/>
                    </a:schemeClr>
                  </a:gs>
                  <a:gs pos="100000">
                    <a:schemeClr val="accent1">
                      <a:shade val="53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313-40A0-87A4-7A6C5BE21A44}"/>
              </c:ext>
            </c:extLst>
          </c:dPt>
          <c:dPt>
            <c:idx val="2"/>
            <c:bubble3D val="0"/>
            <c:spPr>
              <a:gradFill rotWithShape="1">
                <a:gsLst>
                  <a:gs pos="0">
                    <a:schemeClr val="accent1">
                      <a:shade val="65000"/>
                      <a:satMod val="103000"/>
                      <a:lumMod val="102000"/>
                      <a:tint val="94000"/>
                    </a:schemeClr>
                  </a:gs>
                  <a:gs pos="50000">
                    <a:schemeClr val="accent1">
                      <a:shade val="65000"/>
                      <a:satMod val="110000"/>
                      <a:lumMod val="100000"/>
                      <a:shade val="100000"/>
                    </a:schemeClr>
                  </a:gs>
                  <a:gs pos="100000">
                    <a:schemeClr val="accent1">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313-40A0-87A4-7A6C5BE21A44}"/>
              </c:ext>
            </c:extLst>
          </c:dPt>
          <c:dPt>
            <c:idx val="3"/>
            <c:bubble3D val="0"/>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313-40A0-87A4-7A6C5BE21A44}"/>
              </c:ext>
            </c:extLst>
          </c:dPt>
          <c:dPt>
            <c:idx val="4"/>
            <c:bubble3D val="0"/>
            <c:spPr>
              <a:gradFill rotWithShape="1">
                <a:gsLst>
                  <a:gs pos="0">
                    <a:schemeClr val="accent1">
                      <a:shade val="88000"/>
                      <a:satMod val="103000"/>
                      <a:lumMod val="102000"/>
                      <a:tint val="94000"/>
                    </a:schemeClr>
                  </a:gs>
                  <a:gs pos="50000">
                    <a:schemeClr val="accent1">
                      <a:shade val="88000"/>
                      <a:satMod val="110000"/>
                      <a:lumMod val="100000"/>
                      <a:shade val="100000"/>
                    </a:schemeClr>
                  </a:gs>
                  <a:gs pos="100000">
                    <a:schemeClr val="accent1">
                      <a:shade val="88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313-40A0-87A4-7A6C5BE21A44}"/>
              </c:ext>
            </c:extLst>
          </c:dPt>
          <c:dPt>
            <c:idx val="5"/>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4313-40A0-87A4-7A6C5BE21A44}"/>
              </c:ext>
            </c:extLst>
          </c:dPt>
          <c:dPt>
            <c:idx val="6"/>
            <c:bubble3D val="0"/>
            <c:spPr>
              <a:gradFill rotWithShape="1">
                <a:gsLst>
                  <a:gs pos="0">
                    <a:schemeClr val="accent1">
                      <a:tint val="89000"/>
                      <a:satMod val="103000"/>
                      <a:lumMod val="102000"/>
                      <a:tint val="94000"/>
                    </a:schemeClr>
                  </a:gs>
                  <a:gs pos="50000">
                    <a:schemeClr val="accent1">
                      <a:tint val="89000"/>
                      <a:satMod val="110000"/>
                      <a:lumMod val="100000"/>
                      <a:shade val="100000"/>
                    </a:schemeClr>
                  </a:gs>
                  <a:gs pos="100000">
                    <a:schemeClr val="accent1">
                      <a:tint val="89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4313-40A0-87A4-7A6C5BE21A44}"/>
              </c:ext>
            </c:extLst>
          </c:dPt>
          <c:dPt>
            <c:idx val="7"/>
            <c:bubble3D val="0"/>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4313-40A0-87A4-7A6C5BE21A44}"/>
              </c:ext>
            </c:extLst>
          </c:dPt>
          <c:dPt>
            <c:idx val="8"/>
            <c:bubble3D val="0"/>
            <c:spPr>
              <a:gradFill rotWithShape="1">
                <a:gsLst>
                  <a:gs pos="0">
                    <a:schemeClr val="accent1">
                      <a:tint val="65000"/>
                      <a:satMod val="103000"/>
                      <a:lumMod val="102000"/>
                      <a:tint val="94000"/>
                    </a:schemeClr>
                  </a:gs>
                  <a:gs pos="50000">
                    <a:schemeClr val="accent1">
                      <a:tint val="65000"/>
                      <a:satMod val="110000"/>
                      <a:lumMod val="100000"/>
                      <a:shade val="100000"/>
                    </a:schemeClr>
                  </a:gs>
                  <a:gs pos="100000">
                    <a:schemeClr val="accent1">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4313-40A0-87A4-7A6C5BE21A44}"/>
              </c:ext>
            </c:extLst>
          </c:dPt>
          <c:dPt>
            <c:idx val="9"/>
            <c:bubble3D val="0"/>
            <c:spPr>
              <a:gradFill rotWithShape="1">
                <a:gsLst>
                  <a:gs pos="0">
                    <a:schemeClr val="accent1">
                      <a:tint val="54000"/>
                      <a:satMod val="103000"/>
                      <a:lumMod val="102000"/>
                      <a:tint val="94000"/>
                    </a:schemeClr>
                  </a:gs>
                  <a:gs pos="50000">
                    <a:schemeClr val="accent1">
                      <a:tint val="54000"/>
                      <a:satMod val="110000"/>
                      <a:lumMod val="100000"/>
                      <a:shade val="100000"/>
                    </a:schemeClr>
                  </a:gs>
                  <a:gs pos="100000">
                    <a:schemeClr val="accent1">
                      <a:tint val="54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4313-40A0-87A4-7A6C5BE21A44}"/>
              </c:ext>
            </c:extLst>
          </c:dPt>
          <c:dPt>
            <c:idx val="10"/>
            <c:bubble3D val="0"/>
            <c:spPr>
              <a:gradFill rotWithShape="1">
                <a:gsLst>
                  <a:gs pos="0">
                    <a:schemeClr val="accent1">
                      <a:tint val="42000"/>
                      <a:satMod val="103000"/>
                      <a:lumMod val="102000"/>
                      <a:tint val="94000"/>
                    </a:schemeClr>
                  </a:gs>
                  <a:gs pos="50000">
                    <a:schemeClr val="accent1">
                      <a:tint val="42000"/>
                      <a:satMod val="110000"/>
                      <a:lumMod val="100000"/>
                      <a:shade val="100000"/>
                    </a:schemeClr>
                  </a:gs>
                  <a:gs pos="100000">
                    <a:schemeClr val="accent1">
                      <a:tint val="42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4313-40A0-87A4-7A6C5BE21A44}"/>
              </c:ext>
            </c:extLst>
          </c:dPt>
          <c:dLbls>
            <c:dLbl>
              <c:idx val="3"/>
              <c:layout>
                <c:manualLayout>
                  <c:x val="1.743703792751097E-2"/>
                  <c:y val="2.65152345087298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313-40A0-87A4-7A6C5BE21A4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'[Inversión caminos vecinales con equipos del MOPC 2025 (2).xlsx]resumen '!$B$6:$B$16</c:f>
              <c:strCache>
                <c:ptCount val="11"/>
                <c:pt idx="0">
                  <c:v>Cibao Sur</c:v>
                </c:pt>
                <c:pt idx="1">
                  <c:v>Cibao Norte</c:v>
                </c:pt>
                <c:pt idx="2">
                  <c:v>Cibao Nordeste</c:v>
                </c:pt>
                <c:pt idx="3">
                  <c:v>Cibao Noroeste</c:v>
                </c:pt>
                <c:pt idx="4">
                  <c:v>Yuma</c:v>
                </c:pt>
                <c:pt idx="5">
                  <c:v>Higuamo</c:v>
                </c:pt>
                <c:pt idx="6">
                  <c:v>Enriquillo</c:v>
                </c:pt>
                <c:pt idx="7">
                  <c:v>Valdesia</c:v>
                </c:pt>
                <c:pt idx="8">
                  <c:v>El Valle</c:v>
                </c:pt>
                <c:pt idx="9">
                  <c:v>Cibao Central</c:v>
                </c:pt>
                <c:pt idx="10">
                  <c:v>Ozama</c:v>
                </c:pt>
              </c:strCache>
            </c:strRef>
          </c:cat>
          <c:val>
            <c:numRef>
              <c:f>'[Inversión caminos vecinales con equipos del MOPC 2025 (2).xlsx]resumen '!$C$6:$C$16</c:f>
              <c:numCache>
                <c:formatCode>0.00</c:formatCode>
                <c:ptCount val="11"/>
                <c:pt idx="0">
                  <c:v>88.5</c:v>
                </c:pt>
                <c:pt idx="1">
                  <c:v>91.99</c:v>
                </c:pt>
                <c:pt idx="2">
                  <c:v>40.25</c:v>
                </c:pt>
                <c:pt idx="3">
                  <c:v>109.38999999999999</c:v>
                </c:pt>
                <c:pt idx="4">
                  <c:v>37.83</c:v>
                </c:pt>
                <c:pt idx="5">
                  <c:v>16.970000000000002</c:v>
                </c:pt>
                <c:pt idx="6">
                  <c:v>17.900000000000002</c:v>
                </c:pt>
                <c:pt idx="7">
                  <c:v>15.899999999999999</c:v>
                </c:pt>
                <c:pt idx="8">
                  <c:v>115.88</c:v>
                </c:pt>
                <c:pt idx="9">
                  <c:v>3.3</c:v>
                </c:pt>
                <c:pt idx="10">
                  <c:v>2.8</c:v>
                </c:pt>
              </c:numCache>
            </c:numRef>
          </c:val>
          <c:extLst>
            <c:ext xmlns:c16="http://schemas.microsoft.com/office/drawing/2014/chart" uri="{C3380CC4-5D6E-409C-BE32-E72D297353CC}">
              <c16:uniqueId val="{00000016-4313-40A0-87A4-7A6C5BE21A44}"/>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9.1195737312940589E-2"/>
          <c:y val="0.77766929133858265"/>
          <c:w val="0.83937054397003918"/>
          <c:h val="0.19189591535433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r>
              <a:rPr lang="en-US" sz="1200" b="1" i="0" cap="all" baseline="0">
                <a:effectLst/>
              </a:rPr>
              <a:t>asistencia comipol</a:t>
            </a:r>
            <a:endParaRPr lang="es-DO" sz="1200">
              <a:effectLst/>
            </a:endParaRPr>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chemeClr val="tx1">
                  <a:lumMod val="50000"/>
                  <a:lumOff val="50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425634295713041E-2"/>
          <c:y val="0.21747703412073491"/>
          <c:w val="0.91025853018372704"/>
          <c:h val="0.52208406240886551"/>
        </c:manualLayout>
      </c:layout>
      <c:bar3DChart>
        <c:barDir val="col"/>
        <c:grouping val="clustered"/>
        <c:varyColors val="0"/>
        <c:ser>
          <c:idx val="0"/>
          <c:order val="0"/>
          <c:tx>
            <c:strRef>
              <c:f>'[grafico asistencia  vial.xlsx]Hoja1'!$I$3</c:f>
              <c:strCache>
                <c:ptCount val="1"/>
                <c:pt idx="0">
                  <c:v>Cantidad</c:v>
                </c:pt>
              </c:strCache>
            </c:strRef>
          </c:tx>
          <c:spPr>
            <a:solidFill>
              <a:srgbClr val="0070C0"/>
            </a:solidFill>
            <a:ln w="9525" cap="flat" cmpd="sng" algn="ctr">
              <a:solidFill>
                <a:srgbClr val="0070C0"/>
              </a:solidFill>
              <a:round/>
            </a:ln>
            <a:effectLst/>
            <a:sp3d contourW="9525">
              <a:contourClr>
                <a:srgbClr val="0070C0"/>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lumOff val="50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'[grafico asistencia  vial.xlsx]Hoja1'!$H$4:$H$15</c:f>
              <c:strCache>
                <c:ptCount val="12"/>
                <c:pt idx="0">
                  <c:v>Mecánica</c:v>
                </c:pt>
                <c:pt idx="1">
                  <c:v>Neumáticos</c:v>
                </c:pt>
                <c:pt idx="2">
                  <c:v>Seguridad</c:v>
                </c:pt>
                <c:pt idx="3">
                  <c:v>Calentamiento</c:v>
                </c:pt>
                <c:pt idx="4">
                  <c:v>Combustible</c:v>
                </c:pt>
                <c:pt idx="5">
                  <c:v>Accidentes</c:v>
                </c:pt>
                <c:pt idx="6">
                  <c:v>Grúas</c:v>
                </c:pt>
                <c:pt idx="7">
                  <c:v>Talleres</c:v>
                </c:pt>
                <c:pt idx="8">
                  <c:v>Ambulancia</c:v>
                </c:pt>
                <c:pt idx="9">
                  <c:v>Eléctrico</c:v>
                </c:pt>
                <c:pt idx="10">
                  <c:v>Camión Rescate</c:v>
                </c:pt>
                <c:pt idx="11">
                  <c:v>TOTAL</c:v>
                </c:pt>
              </c:strCache>
            </c:strRef>
          </c:cat>
          <c:val>
            <c:numRef>
              <c:f>'[grafico asistencia  vial.xlsx]Hoja1'!$I$4:$I$15</c:f>
              <c:numCache>
                <c:formatCode>#,##0</c:formatCode>
                <c:ptCount val="12"/>
                <c:pt idx="0">
                  <c:v>67970</c:v>
                </c:pt>
                <c:pt idx="1">
                  <c:v>73986</c:v>
                </c:pt>
                <c:pt idx="2">
                  <c:v>36326</c:v>
                </c:pt>
                <c:pt idx="3">
                  <c:v>6876</c:v>
                </c:pt>
                <c:pt idx="4">
                  <c:v>16899</c:v>
                </c:pt>
                <c:pt idx="5">
                  <c:v>4909</c:v>
                </c:pt>
                <c:pt idx="6">
                  <c:v>4037</c:v>
                </c:pt>
                <c:pt idx="7">
                  <c:v>4757</c:v>
                </c:pt>
                <c:pt idx="8">
                  <c:v>1046</c:v>
                </c:pt>
                <c:pt idx="9">
                  <c:v>3752</c:v>
                </c:pt>
                <c:pt idx="10" formatCode="General">
                  <c:v>16</c:v>
                </c:pt>
                <c:pt idx="11">
                  <c:v>220573</c:v>
                </c:pt>
              </c:numCache>
            </c:numRef>
          </c:val>
          <c:extLst>
            <c:ext xmlns:c16="http://schemas.microsoft.com/office/drawing/2014/chart" uri="{C3380CC4-5D6E-409C-BE32-E72D297353CC}">
              <c16:uniqueId val="{00000000-4329-464C-BD22-61501A61B082}"/>
            </c:ext>
          </c:extLst>
        </c:ser>
        <c:dLbls>
          <c:showLegendKey val="0"/>
          <c:showVal val="1"/>
          <c:showCatName val="0"/>
          <c:showSerName val="0"/>
          <c:showPercent val="0"/>
          <c:showBubbleSize val="0"/>
        </c:dLbls>
        <c:gapWidth val="150"/>
        <c:shape val="box"/>
        <c:axId val="1869948240"/>
        <c:axId val="1869975440"/>
        <c:axId val="0"/>
      </c:bar3DChart>
      <c:catAx>
        <c:axId val="1869948240"/>
        <c:scaling>
          <c:orientation val="minMax"/>
        </c:scaling>
        <c:delete val="0"/>
        <c:axPos val="b"/>
        <c:title>
          <c:tx>
            <c:rich>
              <a:bodyPr rot="0" spcFirstLastPara="1" vertOverflow="ellipsis" vert="horz" wrap="square" anchor="ctr" anchorCtr="1"/>
              <a:lstStyle/>
              <a:p>
                <a:pPr>
                  <a:defRPr sz="1050" b="0" i="0" u="none" strike="noStrike" kern="1200" cap="all" baseline="0">
                    <a:solidFill>
                      <a:schemeClr val="tx1">
                        <a:lumMod val="50000"/>
                        <a:lumOff val="50000"/>
                      </a:schemeClr>
                    </a:solidFill>
                    <a:latin typeface="+mn-lt"/>
                    <a:ea typeface="+mn-ea"/>
                    <a:cs typeface="+mn-cs"/>
                  </a:defRPr>
                </a:pPr>
                <a:r>
                  <a:rPr lang="es-DO" sz="1050" b="1" i="0" cap="all" baseline="0">
                    <a:effectLst/>
                  </a:rPr>
                  <a:t>Asistencias</a:t>
                </a:r>
                <a:endParaRPr lang="es-DO" sz="1050">
                  <a:effectLst/>
                </a:endParaRPr>
              </a:p>
            </c:rich>
          </c:tx>
          <c:overlay val="0"/>
          <c:spPr>
            <a:noFill/>
            <a:ln>
              <a:noFill/>
            </a:ln>
            <a:effectLst/>
          </c:spPr>
          <c:txPr>
            <a:bodyPr rot="0" spcFirstLastPara="1" vertOverflow="ellipsis" vert="horz" wrap="square" anchor="ctr" anchorCtr="1"/>
            <a:lstStyle/>
            <a:p>
              <a:pPr>
                <a:defRPr sz="1050" b="0" i="0" u="none" strike="noStrike" kern="1200" cap="all" baseline="0">
                  <a:solidFill>
                    <a:schemeClr val="tx1">
                      <a:lumMod val="50000"/>
                      <a:lumOff val="50000"/>
                    </a:schemeClr>
                  </a:solidFill>
                  <a:latin typeface="+mn-lt"/>
                  <a:ea typeface="+mn-ea"/>
                  <a:cs typeface="+mn-cs"/>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50000"/>
                    <a:lumOff val="50000"/>
                  </a:schemeClr>
                </a:solidFill>
                <a:latin typeface="+mn-lt"/>
                <a:ea typeface="+mn-ea"/>
                <a:cs typeface="+mn-cs"/>
              </a:defRPr>
            </a:pPr>
            <a:endParaRPr lang="es-DO"/>
          </a:p>
        </c:txPr>
        <c:crossAx val="1869975440"/>
        <c:crosses val="autoZero"/>
        <c:auto val="1"/>
        <c:lblAlgn val="ctr"/>
        <c:lblOffset val="100"/>
        <c:noMultiLvlLbl val="0"/>
      </c:catAx>
      <c:valAx>
        <c:axId val="1869975440"/>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s-DO"/>
                  <a:t>Cantidad</a:t>
                </a:r>
              </a:p>
            </c:rich>
          </c:tx>
          <c:layout>
            <c:manualLayout>
              <c:xMode val="edge"/>
              <c:yMode val="edge"/>
              <c:x val="7.8521434820647354E-4"/>
              <c:y val="0.36408733987698827"/>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s-DO"/>
            </a:p>
          </c:txPr>
        </c:title>
        <c:numFmt formatCode="#,##0" sourceLinked="1"/>
        <c:majorTickMark val="none"/>
        <c:minorTickMark val="none"/>
        <c:tickLblPos val="nextTo"/>
        <c:crossAx val="1869948240"/>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DO"/>
              <a:t>Quejas, Reclamaciones y Sugerencias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654730090860504E-2"/>
          <c:y val="0.13922073078720068"/>
          <c:w val="0.78554396360529755"/>
          <c:h val="0.82429501424505147"/>
        </c:manualLayout>
      </c:layout>
      <c:pie3DChart>
        <c:varyColors val="1"/>
        <c:ser>
          <c:idx val="0"/>
          <c:order val="0"/>
          <c:dPt>
            <c:idx val="0"/>
            <c:bubble3D val="0"/>
            <c:spPr>
              <a:solidFill>
                <a:schemeClr val="accent1">
                  <a:shade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349-4A6A-9342-9A5605A6237E}"/>
              </c:ext>
            </c:extLst>
          </c:dPt>
          <c:dPt>
            <c:idx val="1"/>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349-4A6A-9342-9A5605A6237E}"/>
              </c:ext>
            </c:extLst>
          </c:dPt>
          <c:dPt>
            <c:idx val="2"/>
            <c:bubble3D val="0"/>
            <c:spPr>
              <a:solidFill>
                <a:schemeClr val="accent1">
                  <a:tint val="65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349-4A6A-9342-9A5605A6237E}"/>
              </c:ext>
            </c:extLst>
          </c:dPt>
          <c:dLbls>
            <c:dLbl>
              <c:idx val="1"/>
              <c:layout>
                <c:manualLayout>
                  <c:x val="0.10255663525757835"/>
                  <c:y val="0.1261998713548388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349-4A6A-9342-9A5605A6237E}"/>
                </c:ext>
              </c:extLst>
            </c:dLbl>
            <c:dLbl>
              <c:idx val="2"/>
              <c:layout>
                <c:manualLayout>
                  <c:x val="8.6883514226675701E-2"/>
                  <c:y val="6.025795825630145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349-4A6A-9342-9A5605A6237E}"/>
                </c:ext>
              </c:extLst>
            </c:dLbl>
            <c:spPr>
              <a:solidFill>
                <a:schemeClr val="bg2"/>
              </a:solid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Hoja4!$F$3:$F$5</c:f>
              <c:strCache>
                <c:ptCount val="3"/>
                <c:pt idx="0">
                  <c:v>Quejas </c:v>
                </c:pt>
                <c:pt idx="1">
                  <c:v>Reclamaciones </c:v>
                </c:pt>
                <c:pt idx="2">
                  <c:v>Sugerencias</c:v>
                </c:pt>
              </c:strCache>
            </c:strRef>
          </c:cat>
          <c:val>
            <c:numRef>
              <c:f>Hoja4!$G$3:$G$5</c:f>
              <c:numCache>
                <c:formatCode>General</c:formatCode>
                <c:ptCount val="3"/>
                <c:pt idx="0">
                  <c:v>99</c:v>
                </c:pt>
                <c:pt idx="1">
                  <c:v>33</c:v>
                </c:pt>
                <c:pt idx="2">
                  <c:v>4</c:v>
                </c:pt>
              </c:numCache>
            </c:numRef>
          </c:val>
          <c:extLst>
            <c:ext xmlns:c16="http://schemas.microsoft.com/office/drawing/2014/chart" uri="{C3380CC4-5D6E-409C-BE32-E72D297353CC}">
              <c16:uniqueId val="{00000006-C349-4A6A-9342-9A5605A6237E}"/>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7045817428887664"/>
          <c:y val="0.67741343399767417"/>
          <c:w val="0.17823236552940236"/>
          <c:h val="0.1933628002614173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r>
              <a:rPr lang="en-US"/>
              <a:t>PORTAL DE TRANSPARENCIA</a:t>
            </a:r>
          </a:p>
          <a:p>
            <a:pPr>
              <a:defRPr/>
            </a:pPr>
            <a:r>
              <a:rPr lang="en-US"/>
              <a:t>EVALUACIÓN POR MES AÑO 2025</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Hoja3!$A$2:$A$11</c:f>
              <c:strCache>
                <c:ptCount val="10"/>
                <c:pt idx="0">
                  <c:v>Enero</c:v>
                </c:pt>
                <c:pt idx="1">
                  <c:v>Febrero</c:v>
                </c:pt>
                <c:pt idx="2">
                  <c:v>Marzo</c:v>
                </c:pt>
                <c:pt idx="3">
                  <c:v>Abril</c:v>
                </c:pt>
                <c:pt idx="4">
                  <c:v>Mayo</c:v>
                </c:pt>
                <c:pt idx="5">
                  <c:v>Junio </c:v>
                </c:pt>
                <c:pt idx="6">
                  <c:v>Julio</c:v>
                </c:pt>
                <c:pt idx="7">
                  <c:v>Agosto</c:v>
                </c:pt>
                <c:pt idx="8">
                  <c:v>Septiembre</c:v>
                </c:pt>
                <c:pt idx="9">
                  <c:v>Octubre</c:v>
                </c:pt>
              </c:strCache>
            </c:strRef>
          </c:cat>
          <c:val>
            <c:numRef>
              <c:f>Hoja3!$B$2:$B$11</c:f>
              <c:numCache>
                <c:formatCode>General</c:formatCode>
                <c:ptCount val="10"/>
                <c:pt idx="0">
                  <c:v>95.15</c:v>
                </c:pt>
                <c:pt idx="1">
                  <c:v>97.67</c:v>
                </c:pt>
                <c:pt idx="2">
                  <c:v>97.69</c:v>
                </c:pt>
                <c:pt idx="3">
                  <c:v>100</c:v>
                </c:pt>
                <c:pt idx="4">
                  <c:v>100</c:v>
                </c:pt>
                <c:pt idx="5">
                  <c:v>99.34</c:v>
                </c:pt>
                <c:pt idx="6">
                  <c:v>100</c:v>
                </c:pt>
                <c:pt idx="7">
                  <c:v>99.56</c:v>
                </c:pt>
                <c:pt idx="8">
                  <c:v>96.73</c:v>
                </c:pt>
                <c:pt idx="9">
                  <c:v>97.79</c:v>
                </c:pt>
              </c:numCache>
            </c:numRef>
          </c:val>
          <c:extLst>
            <c:ext xmlns:c16="http://schemas.microsoft.com/office/drawing/2014/chart" uri="{C3380CC4-5D6E-409C-BE32-E72D297353CC}">
              <c16:uniqueId val="{00000000-48F3-4EB2-A491-280CA0ED2425}"/>
            </c:ext>
          </c:extLst>
        </c:ser>
        <c:dLbls>
          <c:dLblPos val="inEnd"/>
          <c:showLegendKey val="0"/>
          <c:showVal val="1"/>
          <c:showCatName val="0"/>
          <c:showSerName val="0"/>
          <c:showPercent val="0"/>
          <c:showBubbleSize val="0"/>
        </c:dLbls>
        <c:gapWidth val="41"/>
        <c:axId val="1566733743"/>
        <c:axId val="1566759183"/>
      </c:barChart>
      <c:catAx>
        <c:axId val="15667337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Times New Roman" panose="02020603050405020304" pitchFamily="18" charset="0"/>
                <a:ea typeface="+mn-ea"/>
                <a:cs typeface="Times New Roman" panose="02020603050405020304" pitchFamily="18" charset="0"/>
              </a:defRPr>
            </a:pPr>
            <a:endParaRPr lang="es-DO"/>
          </a:p>
        </c:txPr>
        <c:crossAx val="1566759183"/>
        <c:crosses val="autoZero"/>
        <c:auto val="1"/>
        <c:lblAlgn val="ctr"/>
        <c:lblOffset val="100"/>
        <c:noMultiLvlLbl val="0"/>
      </c:catAx>
      <c:valAx>
        <c:axId val="1566759183"/>
        <c:scaling>
          <c:orientation val="minMax"/>
        </c:scaling>
        <c:delete val="1"/>
        <c:axPos val="l"/>
        <c:numFmt formatCode="General" sourceLinked="1"/>
        <c:majorTickMark val="none"/>
        <c:minorTickMark val="none"/>
        <c:tickLblPos val="nextTo"/>
        <c:crossAx val="1566733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DO" sz="1200"/>
              <a:t>RESUMEN DE COMPRAS Y CONTRATACIONES POR TIPO DE MODALIDAD ENERO - NOVIEMBRE 2025</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spPr>
            <a:solidFill>
              <a:schemeClr val="accent1">
                <a:tint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'[Informe 2 compras Enero - Noviembre 25.xlsx]TIPO DE MODALIDAD'!$C$10:$C$22</c:f>
              <c:strCache>
                <c:ptCount val="13"/>
                <c:pt idx="0">
                  <c:v>LPN</c:v>
                </c:pt>
                <c:pt idx="2">
                  <c:v>PE</c:v>
                </c:pt>
                <c:pt idx="4">
                  <c:v>SO</c:v>
                </c:pt>
                <c:pt idx="6">
                  <c:v>CP</c:v>
                </c:pt>
                <c:pt idx="8">
                  <c:v>CM</c:v>
                </c:pt>
                <c:pt idx="10">
                  <c:v>SI</c:v>
                </c:pt>
                <c:pt idx="12">
                  <c:v>CD</c:v>
                </c:pt>
              </c:strCache>
            </c:strRef>
          </c:cat>
          <c:val>
            <c:numRef>
              <c:f>'[Informe 2 compras Enero - Noviembre 25.xlsx]TIPO DE MODALIDAD'!$D$10:$D$22</c:f>
              <c:numCache>
                <c:formatCode>General</c:formatCode>
                <c:ptCount val="13"/>
                <c:pt idx="0">
                  <c:v>1</c:v>
                </c:pt>
                <c:pt idx="2">
                  <c:v>15</c:v>
                </c:pt>
                <c:pt idx="4">
                  <c:v>0</c:v>
                </c:pt>
                <c:pt idx="6">
                  <c:v>7</c:v>
                </c:pt>
                <c:pt idx="8">
                  <c:v>35</c:v>
                </c:pt>
                <c:pt idx="10">
                  <c:v>5</c:v>
                </c:pt>
                <c:pt idx="12">
                  <c:v>23</c:v>
                </c:pt>
              </c:numCache>
            </c:numRef>
          </c:val>
          <c:extLst>
            <c:ext xmlns:c16="http://schemas.microsoft.com/office/drawing/2014/chart" uri="{C3380CC4-5D6E-409C-BE32-E72D297353CC}">
              <c16:uniqueId val="{00000000-18D4-49A0-8EB5-A975201E04FB}"/>
            </c:ext>
          </c:extLst>
        </c:ser>
        <c:ser>
          <c:idx val="1"/>
          <c:order val="1"/>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'[Informe 2 compras Enero - Noviembre 25.xlsx]TIPO DE MODALIDAD'!$C$10:$C$22</c:f>
              <c:strCache>
                <c:ptCount val="13"/>
                <c:pt idx="0">
                  <c:v>LPN</c:v>
                </c:pt>
                <c:pt idx="2">
                  <c:v>PE</c:v>
                </c:pt>
                <c:pt idx="4">
                  <c:v>SO</c:v>
                </c:pt>
                <c:pt idx="6">
                  <c:v>CP</c:v>
                </c:pt>
                <c:pt idx="8">
                  <c:v>CM</c:v>
                </c:pt>
                <c:pt idx="10">
                  <c:v>SI</c:v>
                </c:pt>
                <c:pt idx="12">
                  <c:v>CD</c:v>
                </c:pt>
              </c:strCache>
            </c:strRef>
          </c:cat>
          <c:val>
            <c:numRef>
              <c:f>'[Informe 2 compras Enero - Noviembre 25.xlsx]TIPO DE MODALIDAD'!$E$10:$E$22</c:f>
              <c:numCache>
                <c:formatCode>General</c:formatCode>
                <c:ptCount val="13"/>
                <c:pt idx="0" formatCode="0%">
                  <c:v>0.83299999999999996</c:v>
                </c:pt>
                <c:pt idx="2" formatCode="0%">
                  <c:v>3.3300000000000003E-2</c:v>
                </c:pt>
                <c:pt idx="4" formatCode="0.00%">
                  <c:v>0</c:v>
                </c:pt>
                <c:pt idx="6" formatCode="0.00%">
                  <c:v>1.8E-3</c:v>
                </c:pt>
                <c:pt idx="8" formatCode="0.00%">
                  <c:v>4.7000000000000002E-3</c:v>
                </c:pt>
                <c:pt idx="10" formatCode="0.00%">
                  <c:v>0.12559999999999999</c:v>
                </c:pt>
                <c:pt idx="12" formatCode="0.00%">
                  <c:v>5.0000000000000001E-4</c:v>
                </c:pt>
              </c:numCache>
            </c:numRef>
          </c:val>
          <c:extLst>
            <c:ext xmlns:c16="http://schemas.microsoft.com/office/drawing/2014/chart" uri="{C3380CC4-5D6E-409C-BE32-E72D297353CC}">
              <c16:uniqueId val="{00000001-18D4-49A0-8EB5-A975201E04FB}"/>
            </c:ext>
          </c:extLst>
        </c:ser>
        <c:ser>
          <c:idx val="2"/>
          <c:order val="2"/>
          <c:spPr>
            <a:solidFill>
              <a:schemeClr val="accent1">
                <a:shade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'[Informe 2 compras Enero - Noviembre 25.xlsx]TIPO DE MODALIDAD'!$C$10:$C$22</c:f>
              <c:strCache>
                <c:ptCount val="13"/>
                <c:pt idx="0">
                  <c:v>LPN</c:v>
                </c:pt>
                <c:pt idx="2">
                  <c:v>PE</c:v>
                </c:pt>
                <c:pt idx="4">
                  <c:v>SO</c:v>
                </c:pt>
                <c:pt idx="6">
                  <c:v>CP</c:v>
                </c:pt>
                <c:pt idx="8">
                  <c:v>CM</c:v>
                </c:pt>
                <c:pt idx="10">
                  <c:v>SI</c:v>
                </c:pt>
                <c:pt idx="12">
                  <c:v>CD</c:v>
                </c:pt>
              </c:strCache>
            </c:strRef>
          </c:cat>
          <c:val>
            <c:numRef>
              <c:f>'[Informe 2 compras Enero - Noviembre 25.xlsx]TIPO DE MODALIDAD'!$F$10:$F$22</c:f>
              <c:numCache>
                <c:formatCode>General</c:formatCode>
                <c:ptCount val="13"/>
                <c:pt idx="0" formatCode="_(&quot;RD$&quot;* #,##0.00_);_(&quot;RD$&quot;* \(#,##0.00\);_(&quot;RD$&quot;* &quot;-&quot;??_);_(@_)">
                  <c:v>7850000000</c:v>
                </c:pt>
                <c:pt idx="2" formatCode="_(&quot;RD$&quot;* #,##0.00_);_(&quot;RD$&quot;* \(#,##0.00\);_(&quot;RD$&quot;* &quot;-&quot;??_);_(@_)">
                  <c:v>314328708.76999998</c:v>
                </c:pt>
                <c:pt idx="4" formatCode="_(&quot;RD$&quot;* #,##0.00_);_(&quot;RD$&quot;* \(#,##0.00\);_(&quot;RD$&quot;* &quot;-&quot;??_);_(@_)">
                  <c:v>0</c:v>
                </c:pt>
                <c:pt idx="6" formatCode="_(&quot;RD$&quot;* #,##0.00_);_(&quot;RD$&quot;* \(#,##0.00\);_(&quot;RD$&quot;* &quot;-&quot;??_);_(@_)">
                  <c:v>17221820.449999999</c:v>
                </c:pt>
                <c:pt idx="8" formatCode="_(&quot;RD$&quot;* #,##0.00_);_(&quot;RD$&quot;* \(#,##0.00\);_(&quot;RD$&quot;* &quot;-&quot;??_);_(@_)">
                  <c:v>44568620.090000004</c:v>
                </c:pt>
                <c:pt idx="10" formatCode="_(&quot;RD$&quot;* #,##0.00_);_(&quot;RD$&quot;* \(#,##0.00\);_(&quot;RD$&quot;* &quot;-&quot;??_);_(@_)">
                  <c:v>1192375589.6300001</c:v>
                </c:pt>
                <c:pt idx="12" formatCode="_(&quot;RD$&quot;* #,##0.00_);_(&quot;RD$&quot;* \(#,##0.00\);_(&quot;RD$&quot;* &quot;-&quot;??_);_(@_)">
                  <c:v>5066218.91</c:v>
                </c:pt>
              </c:numCache>
            </c:numRef>
          </c:val>
          <c:extLst>
            <c:ext xmlns:c16="http://schemas.microsoft.com/office/drawing/2014/chart" uri="{C3380CC4-5D6E-409C-BE32-E72D297353CC}">
              <c16:uniqueId val="{00000002-18D4-49A0-8EB5-A975201E04FB}"/>
            </c:ext>
          </c:extLst>
        </c:ser>
        <c:dLbls>
          <c:dLblPos val="outEnd"/>
          <c:showLegendKey val="0"/>
          <c:showVal val="1"/>
          <c:showCatName val="0"/>
          <c:showSerName val="0"/>
          <c:showPercent val="0"/>
          <c:showBubbleSize val="0"/>
        </c:dLbls>
        <c:gapWidth val="444"/>
        <c:overlap val="-90"/>
        <c:axId val="1869968912"/>
        <c:axId val="1869970000"/>
      </c:barChart>
      <c:catAx>
        <c:axId val="1869968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all" spc="120" normalizeH="0" baseline="0">
                <a:solidFill>
                  <a:schemeClr val="tx1">
                    <a:lumMod val="65000"/>
                    <a:lumOff val="35000"/>
                  </a:schemeClr>
                </a:solidFill>
                <a:latin typeface="+mn-lt"/>
                <a:ea typeface="+mn-ea"/>
                <a:cs typeface="+mn-cs"/>
              </a:defRPr>
            </a:pPr>
            <a:endParaRPr lang="es-DO"/>
          </a:p>
        </c:txPr>
        <c:crossAx val="1869970000"/>
        <c:crosses val="autoZero"/>
        <c:auto val="1"/>
        <c:lblAlgn val="ctr"/>
        <c:lblOffset val="100"/>
        <c:noMultiLvlLbl val="0"/>
      </c:catAx>
      <c:valAx>
        <c:axId val="1869970000"/>
        <c:scaling>
          <c:orientation val="minMax"/>
        </c:scaling>
        <c:delete val="1"/>
        <c:axPos val="l"/>
        <c:numFmt formatCode="General" sourceLinked="1"/>
        <c:majorTickMark val="none"/>
        <c:minorTickMark val="none"/>
        <c:tickLblPos val="nextTo"/>
        <c:crossAx val="18699689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r>
              <a:rPr lang="es-DO" sz="1050" b="1" i="0" cap="all" baseline="0">
                <a:effectLst/>
              </a:rPr>
              <a:t>RESUMEN DE COMPRAS Y CONTRATACIONES POR TIPO DE MODALIDAD ENERO - DICIEMBRE 2025</a:t>
            </a:r>
            <a:endParaRPr lang="es-DO" sz="1050">
              <a:effectLst/>
            </a:endParaRPr>
          </a:p>
        </c:rich>
      </c:tx>
      <c:layout>
        <c:manualLayout>
          <c:xMode val="edge"/>
          <c:yMode val="edge"/>
          <c:x val="7.0235192628893425E-2"/>
          <c:y val="0"/>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endParaRPr lang="es-DO"/>
        </a:p>
      </c:txPr>
    </c:title>
    <c:autoTitleDeleted val="0"/>
    <c:plotArea>
      <c:layout>
        <c:manualLayout>
          <c:layoutTarget val="inner"/>
          <c:xMode val="edge"/>
          <c:yMode val="edge"/>
          <c:x val="0.22040246434923844"/>
          <c:y val="0.15663636123821104"/>
          <c:w val="0.49633285689109624"/>
          <c:h val="0.8136439526289051"/>
        </c:manualLayout>
      </c:layout>
      <c:pieChart>
        <c:varyColors val="1"/>
        <c:ser>
          <c:idx val="0"/>
          <c:order val="0"/>
          <c:tx>
            <c:strRef>
              <c:f>'[Informe 2 compras Enero - Noviembre 25.xlsx]TIPO DE MODALIDAD'!$D$8</c:f>
              <c:strCache>
                <c:ptCount val="1"/>
                <c:pt idx="0">
                  <c:v>CANTIDADES</c:v>
                </c:pt>
              </c:strCache>
            </c:strRef>
          </c:tx>
          <c:explosion val="3"/>
          <c:dPt>
            <c:idx val="0"/>
            <c:bubble3D val="0"/>
            <c:spPr>
              <a:solidFill>
                <a:schemeClr val="accent1">
                  <a:shade val="3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560-411D-970C-51091973CAE9}"/>
              </c:ext>
            </c:extLst>
          </c:dPt>
          <c:dPt>
            <c:idx val="1"/>
            <c:bubble3D val="0"/>
            <c:spPr>
              <a:solidFill>
                <a:schemeClr val="accent1">
                  <a:shade val="4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560-411D-970C-51091973CAE9}"/>
              </c:ext>
            </c:extLst>
          </c:dPt>
          <c:dPt>
            <c:idx val="2"/>
            <c:bubble3D val="0"/>
            <c:spPr>
              <a:solidFill>
                <a:schemeClr val="accent1">
                  <a:shade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560-411D-970C-51091973CAE9}"/>
              </c:ext>
            </c:extLst>
          </c:dPt>
          <c:dPt>
            <c:idx val="3"/>
            <c:bubble3D val="0"/>
            <c:spPr>
              <a:solidFill>
                <a:schemeClr val="accent1">
                  <a:shade val="62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560-411D-970C-51091973CAE9}"/>
              </c:ext>
            </c:extLst>
          </c:dPt>
          <c:dPt>
            <c:idx val="4"/>
            <c:bubble3D val="0"/>
            <c:spPr>
              <a:solidFill>
                <a:schemeClr val="accent1">
                  <a:shade val="71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3560-411D-970C-51091973CAE9}"/>
              </c:ext>
            </c:extLst>
          </c:dPt>
          <c:dPt>
            <c:idx val="5"/>
            <c:bubble3D val="0"/>
            <c:spPr>
              <a:solidFill>
                <a:schemeClr val="accent1">
                  <a:shade val="79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3560-411D-970C-51091973CAE9}"/>
              </c:ext>
            </c:extLst>
          </c:dPt>
          <c:dPt>
            <c:idx val="6"/>
            <c:bubble3D val="0"/>
            <c:spPr>
              <a:solidFill>
                <a:schemeClr val="accent1">
                  <a:shade val="8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3560-411D-970C-51091973CAE9}"/>
              </c:ext>
            </c:extLst>
          </c:dPt>
          <c:dPt>
            <c:idx val="7"/>
            <c:bubble3D val="0"/>
            <c:spPr>
              <a:solidFill>
                <a:schemeClr val="accent1">
                  <a:shade val="9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3560-411D-970C-51091973CAE9}"/>
              </c:ext>
            </c:extLst>
          </c:dPt>
          <c:dPt>
            <c:idx val="8"/>
            <c:bubble3D val="0"/>
            <c:spPr>
              <a:solidFill>
                <a:schemeClr val="accent1">
                  <a:tint val="9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3560-411D-970C-51091973CAE9}"/>
              </c:ext>
            </c:extLst>
          </c:dPt>
          <c:dPt>
            <c:idx val="9"/>
            <c:bubble3D val="0"/>
            <c:spPr>
              <a:solidFill>
                <a:schemeClr val="accent1">
                  <a:tint val="8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3560-411D-970C-51091973CAE9}"/>
              </c:ext>
            </c:extLst>
          </c:dPt>
          <c:dPt>
            <c:idx val="10"/>
            <c:bubble3D val="0"/>
            <c:spPr>
              <a:solidFill>
                <a:schemeClr val="accent1">
                  <a:tint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3560-411D-970C-51091973CAE9}"/>
              </c:ext>
            </c:extLst>
          </c:dPt>
          <c:dPt>
            <c:idx val="11"/>
            <c:bubble3D val="0"/>
            <c:spPr>
              <a:solidFill>
                <a:schemeClr val="accent1">
                  <a:tint val="72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3560-411D-970C-51091973CAE9}"/>
              </c:ext>
            </c:extLst>
          </c:dPt>
          <c:dPt>
            <c:idx val="12"/>
            <c:bubble3D val="0"/>
            <c:spPr>
              <a:solidFill>
                <a:schemeClr val="accent1">
                  <a:tint val="6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3560-411D-970C-51091973CAE9}"/>
              </c:ext>
            </c:extLst>
          </c:dPt>
          <c:dPt>
            <c:idx val="13"/>
            <c:bubble3D val="0"/>
            <c:spPr>
              <a:solidFill>
                <a:schemeClr val="accent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B-3560-411D-970C-51091973CAE9}"/>
              </c:ext>
            </c:extLst>
          </c:dPt>
          <c:dPt>
            <c:idx val="14"/>
            <c:bubble3D val="0"/>
            <c:spPr>
              <a:solidFill>
                <a:schemeClr val="accent1">
                  <a:tint val="4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D-3560-411D-970C-51091973CAE9}"/>
              </c:ext>
            </c:extLst>
          </c:dPt>
          <c:dPt>
            <c:idx val="15"/>
            <c:bubble3D val="0"/>
            <c:spPr>
              <a:solidFill>
                <a:schemeClr val="accent1">
                  <a:tint val="39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F-3560-411D-970C-51091973CAE9}"/>
              </c:ext>
            </c:extLst>
          </c:dPt>
          <c:dLbls>
            <c:dLbl>
              <c:idx val="1"/>
              <c:layout>
                <c:manualLayout>
                  <c:x val="0.27081025400676206"/>
                  <c:y val="6.4024900077565602E-2"/>
                </c:manualLayout>
              </c:layout>
              <c:tx>
                <c:rich>
                  <a:bodyPr/>
                  <a:lstStyle/>
                  <a:p>
                    <a:fld id="{74104C38-B4C8-4E3A-AF0A-68257250EDB7}" type="CATEGORYNAME">
                      <a:rPr lang="en-US" baseline="0"/>
                      <a:pPr/>
                      <a:t>[CATEGORY NAME]</a:t>
                    </a:fld>
                    <a:r>
                      <a:rPr lang="en-US" baseline="0"/>
                      <a:t>, </a:t>
                    </a:r>
                  </a:p>
                  <a:p>
                    <a:r>
                      <a:rPr lang="en-US" baseline="0"/>
                      <a:t>cantidad </a:t>
                    </a:r>
                    <a:fld id="{67FF2CEE-607B-4945-96D5-B1C3882CB481}" type="VALUE">
                      <a:rPr lang="en-US" baseline="0"/>
                      <a:pPr/>
                      <a:t>[VALUE]</a:t>
                    </a:fld>
                    <a:r>
                      <a:rPr lang="en-US" baseline="0"/>
                      <a:t>, 83% </a:t>
                    </a:r>
                    <a:r>
                      <a:rPr lang="en-US" sz="1000" b="0" i="0" u="none" strike="noStrike" baseline="0">
                        <a:effectLst/>
                      </a:rPr>
                      <a:t> RD$          7,850,000,000.00 </a:t>
                    </a:r>
                  </a:p>
                </c:rich>
              </c:tx>
              <c:dLblPos val="bestFit"/>
              <c:showLegendKey val="1"/>
              <c:showVal val="1"/>
              <c:showCatName val="1"/>
              <c:showSerName val="1"/>
              <c:showPercent val="0"/>
              <c:showBubbleSize val="0"/>
              <c:extLst>
                <c:ext xmlns:c15="http://schemas.microsoft.com/office/drawing/2012/chart" uri="{CE6537A1-D6FC-4f65-9D91-7224C49458BB}">
                  <c15:layout>
                    <c:manualLayout>
                      <c:w val="0.25373140245581188"/>
                      <c:h val="0.12799118392177219"/>
                    </c:manualLayout>
                  </c15:layout>
                  <c15:dlblFieldTable/>
                  <c15:showDataLabelsRange val="0"/>
                </c:ext>
                <c:ext xmlns:c16="http://schemas.microsoft.com/office/drawing/2014/chart" uri="{C3380CC4-5D6E-409C-BE32-E72D297353CC}">
                  <c16:uniqueId val="{00000003-3560-411D-970C-51091973CAE9}"/>
                </c:ext>
              </c:extLst>
            </c:dLbl>
            <c:dLbl>
              <c:idx val="3"/>
              <c:layout>
                <c:manualLayout>
                  <c:x val="3.6988785492722498E-2"/>
                  <c:y val="0.15959324588644017"/>
                </c:manualLayout>
              </c:layout>
              <c:tx>
                <c:rich>
                  <a:bodyPr rot="0" spcFirstLastPara="1" vertOverflow="ellipsis" vert="horz" wrap="square" lIns="38100" tIns="19050" rIns="38100" bIns="19050" anchor="ctr" anchorCtr="1">
                    <a:noAutofit/>
                  </a:bodyPr>
                  <a:lstStyle/>
                  <a:p>
                    <a:pPr>
                      <a:defRPr sz="800" b="1" i="0" u="none" strike="noStrike" kern="1200" baseline="0">
                        <a:solidFill>
                          <a:schemeClr val="lt1"/>
                        </a:solidFill>
                        <a:latin typeface="+mn-lt"/>
                        <a:ea typeface="+mn-ea"/>
                        <a:cs typeface="+mn-cs"/>
                      </a:defRPr>
                    </a:pPr>
                    <a:r>
                      <a:rPr lang="en-US" baseline="0"/>
                      <a:t>, </a:t>
                    </a:r>
                    <a:fld id="{B463B7F3-0863-4935-AC02-18BA4DA2857D}" type="CATEGORYNAME">
                      <a:rPr lang="en-US" baseline="0"/>
                      <a:pPr>
                        <a:defRPr sz="800"/>
                      </a:pPr>
                      <a:t>[CATEGORY NAME]</a:t>
                    </a:fld>
                    <a:r>
                      <a:rPr lang="en-US" baseline="0"/>
                      <a:t>,</a:t>
                    </a:r>
                  </a:p>
                  <a:p>
                    <a:pPr>
                      <a:defRPr sz="800"/>
                    </a:pPr>
                    <a:r>
                      <a:rPr lang="en-US" baseline="0"/>
                      <a:t>cantidad  </a:t>
                    </a:r>
                    <a:fld id="{70DF560A-D0AA-465C-B248-94BD01BA4DB8}" type="VALUE">
                      <a:rPr lang="en-US" baseline="0"/>
                      <a:pPr>
                        <a:defRPr sz="800"/>
                      </a:pPr>
                      <a:t>[VALUE]</a:t>
                    </a:fld>
                    <a:r>
                      <a:rPr lang="en-US" baseline="0"/>
                      <a:t>, 3%</a:t>
                    </a:r>
                    <a:r>
                      <a:rPr lang="en-US" sz="1000" b="0" i="0" u="none" strike="noStrike" baseline="0">
                        <a:effectLst/>
                      </a:rPr>
                      <a:t> </a:t>
                    </a:r>
                  </a:p>
                  <a:p>
                    <a:pPr>
                      <a:defRPr sz="800"/>
                    </a:pPr>
                    <a:r>
                      <a:rPr lang="en-US" sz="1000" b="0" i="0" u="none" strike="noStrike" baseline="0">
                        <a:effectLst/>
                      </a:rPr>
                      <a:t>RD$             314,328,708.77 </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1" i="0" u="none" strike="noStrike" kern="1200" baseline="0">
                      <a:solidFill>
                        <a:schemeClr val="lt1"/>
                      </a:solidFill>
                      <a:latin typeface="+mn-lt"/>
                      <a:ea typeface="+mn-ea"/>
                      <a:cs typeface="+mn-cs"/>
                    </a:defRPr>
                  </a:pPr>
                  <a:endParaRPr lang="es-DO"/>
                </a:p>
              </c:txPr>
              <c:dLblPos val="bestFit"/>
              <c:showLegendKey val="1"/>
              <c:showVal val="1"/>
              <c:showCatName val="1"/>
              <c:showSerName val="1"/>
              <c:showPercent val="1"/>
              <c:showBubbleSize val="0"/>
              <c:extLst>
                <c:ext xmlns:c15="http://schemas.microsoft.com/office/drawing/2012/chart" uri="{CE6537A1-D6FC-4f65-9D91-7224C49458BB}">
                  <c15:layout>
                    <c:manualLayout>
                      <c:w val="0.25571040709113235"/>
                      <c:h val="0.1283598919422092"/>
                    </c:manualLayout>
                  </c15:layout>
                  <c15:dlblFieldTable/>
                  <c15:showDataLabelsRange val="0"/>
                </c:ext>
                <c:ext xmlns:c16="http://schemas.microsoft.com/office/drawing/2014/chart" uri="{C3380CC4-5D6E-409C-BE32-E72D297353CC}">
                  <c16:uniqueId val="{00000007-3560-411D-970C-51091973CAE9}"/>
                </c:ext>
              </c:extLst>
            </c:dLbl>
            <c:dLbl>
              <c:idx val="5"/>
              <c:layout>
                <c:manualLayout>
                  <c:x val="6.8857148101242591E-2"/>
                  <c:y val="0.19357472724241359"/>
                </c:manualLayout>
              </c:layout>
              <c:tx>
                <c:rich>
                  <a:bodyPr rot="0" spcFirstLastPara="1" vertOverflow="ellipsis" vert="horz" wrap="square" lIns="38100" tIns="19050" rIns="38100" bIns="19050" anchor="ctr" anchorCtr="1">
                    <a:noAutofit/>
                  </a:bodyPr>
                  <a:lstStyle/>
                  <a:p>
                    <a:pPr>
                      <a:defRPr sz="800" b="1" i="0" u="none" strike="noStrike" kern="1200" baseline="0">
                        <a:solidFill>
                          <a:schemeClr val="lt1"/>
                        </a:solidFill>
                        <a:latin typeface="+mn-lt"/>
                        <a:ea typeface="+mn-ea"/>
                        <a:cs typeface="+mn-cs"/>
                      </a:defRPr>
                    </a:pPr>
                    <a:r>
                      <a:rPr lang="en-US"/>
                      <a:t>D,</a:t>
                    </a:r>
                    <a:r>
                      <a:rPr lang="en-US" baseline="0"/>
                      <a:t> </a:t>
                    </a:r>
                    <a:fld id="{B9DC276C-B179-4A6B-9BB3-CCE64838C985}" type="CATEGORYNAME">
                      <a:rPr lang="en-US" baseline="0"/>
                      <a:pPr>
                        <a:defRPr sz="800"/>
                      </a:pPr>
                      <a:t>[CATEGORY NAME]</a:t>
                    </a:fld>
                    <a:r>
                      <a:rPr lang="en-US" baseline="0"/>
                      <a:t>, </a:t>
                    </a:r>
                  </a:p>
                  <a:p>
                    <a:pPr>
                      <a:defRPr sz="800"/>
                    </a:pPr>
                    <a:r>
                      <a:rPr lang="en-US" baseline="0"/>
                      <a:t>cantidad </a:t>
                    </a:r>
                    <a:fld id="{89720CA6-16DF-475E-89C3-A483F940AA1E}" type="VALUE">
                      <a:rPr lang="en-US" baseline="0"/>
                      <a:pPr>
                        <a:defRPr sz="800"/>
                      </a:pPr>
                      <a:t>[VALUE]</a:t>
                    </a:fld>
                    <a:r>
                      <a:rPr lang="en-US" baseline="0"/>
                      <a:t>, </a:t>
                    </a:r>
                    <a:fld id="{4C90B4AD-4FC3-4AB2-9422-B7015D4378B2}" type="PERCENTAGE">
                      <a:rPr lang="en-US" baseline="0"/>
                      <a:pPr>
                        <a:defRPr sz="800"/>
                      </a:pPr>
                      <a:t>[PERCENTAGE]</a:t>
                    </a:fld>
                    <a:endParaRPr lang="en-US" baseline="0"/>
                  </a:p>
                </c:rich>
              </c:tx>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800" b="1" i="0" u="none" strike="noStrike" kern="1200" baseline="0">
                      <a:solidFill>
                        <a:schemeClr val="lt1"/>
                      </a:solidFill>
                      <a:latin typeface="+mn-lt"/>
                      <a:ea typeface="+mn-ea"/>
                      <a:cs typeface="+mn-cs"/>
                    </a:defRPr>
                  </a:pPr>
                  <a:endParaRPr lang="es-DO"/>
                </a:p>
              </c:txPr>
              <c:dLblPos val="bestFit"/>
              <c:showLegendKey val="1"/>
              <c:showVal val="1"/>
              <c:showCatName val="1"/>
              <c:showSerName val="1"/>
              <c:showPercent val="1"/>
              <c:showBubbleSize val="0"/>
              <c:extLst>
                <c:ext xmlns:c15="http://schemas.microsoft.com/office/drawing/2012/chart" uri="{CE6537A1-D6FC-4f65-9D91-7224C49458BB}">
                  <c15:layout>
                    <c:manualLayout>
                      <c:w val="0.16277576491749721"/>
                      <c:h val="8.1012222413496288E-2"/>
                    </c:manualLayout>
                  </c15:layout>
                  <c15:dlblFieldTable/>
                  <c15:showDataLabelsRange val="0"/>
                </c:ext>
                <c:ext xmlns:c16="http://schemas.microsoft.com/office/drawing/2014/chart" uri="{C3380CC4-5D6E-409C-BE32-E72D297353CC}">
                  <c16:uniqueId val="{0000000B-3560-411D-970C-51091973CAE9}"/>
                </c:ext>
              </c:extLst>
            </c:dLbl>
            <c:dLbl>
              <c:idx val="7"/>
              <c:layout>
                <c:manualLayout>
                  <c:x val="3.833894002686284E-2"/>
                  <c:y val="0.22887642929460142"/>
                </c:manualLayout>
              </c:layout>
              <c:tx>
                <c:rich>
                  <a:bodyPr/>
                  <a:lstStyle/>
                  <a:p>
                    <a:r>
                      <a:rPr lang="en-US"/>
                      <a:t>MODALIDAD</a:t>
                    </a:r>
                    <a:r>
                      <a:rPr lang="en-US" baseline="0"/>
                      <a:t>, </a:t>
                    </a:r>
                    <a:fld id="{B8FCD0C8-0E7A-4E8A-A4FC-50CD2680DB2F}" type="CATEGORYNAME">
                      <a:rPr lang="en-US" baseline="0"/>
                      <a:pPr/>
                      <a:t>[CATEGORY NAME]</a:t>
                    </a:fld>
                    <a:r>
                      <a:rPr lang="en-US" baseline="0"/>
                      <a:t>, </a:t>
                    </a:r>
                  </a:p>
                  <a:p>
                    <a:r>
                      <a:rPr lang="en-US" baseline="0"/>
                      <a:t>cantidad </a:t>
                    </a:r>
                    <a:fld id="{5C45DB01-8A19-419D-BF5E-D9620CAA6EF1}" type="VALUE">
                      <a:rPr lang="en-US" baseline="0"/>
                      <a:pPr/>
                      <a:t>[VALUE]</a:t>
                    </a:fld>
                    <a:r>
                      <a:rPr lang="en-US" baseline="0"/>
                      <a:t>, 0.18%</a:t>
                    </a:r>
                    <a:r>
                      <a:rPr lang="en-US" sz="1000" b="0" i="0" u="none" strike="noStrike" baseline="0">
                        <a:effectLst/>
                      </a:rPr>
                      <a:t> </a:t>
                    </a:r>
                  </a:p>
                  <a:p>
                    <a:r>
                      <a:rPr lang="en-US" sz="1000" b="0" i="0" u="none" strike="noStrike" baseline="0">
                        <a:effectLst/>
                      </a:rPr>
                      <a:t>RD$              17,221,820.45 </a:t>
                    </a:r>
                  </a:p>
                </c:rich>
              </c:tx>
              <c:dLblPos val="bestFit"/>
              <c:showLegendKey val="1"/>
              <c:showVal val="1"/>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3560-411D-970C-51091973CAE9}"/>
                </c:ext>
              </c:extLst>
            </c:dLbl>
            <c:dLbl>
              <c:idx val="9"/>
              <c:layout>
                <c:manualLayout>
                  <c:x val="-0.39269324397427419"/>
                  <c:y val="-0.10416056106775901"/>
                </c:manualLayout>
              </c:layout>
              <c:tx>
                <c:rich>
                  <a:bodyPr/>
                  <a:lstStyle/>
                  <a:p>
                    <a:fld id="{6F3429CC-798D-43F0-8ECF-96A7E3C68B0D}" type="CATEGORYNAME">
                      <a:rPr lang="en-US" baseline="0"/>
                      <a:pPr/>
                      <a:t>[CATEGORY NAME]</a:t>
                    </a:fld>
                    <a:r>
                      <a:rPr lang="en-US" baseline="0"/>
                      <a:t>,</a:t>
                    </a:r>
                  </a:p>
                  <a:p>
                    <a:r>
                      <a:rPr lang="en-US" baseline="0"/>
                      <a:t>cantidad </a:t>
                    </a:r>
                    <a:fld id="{EA205A3B-7419-44F5-97B8-6BD3E72D3DBE}" type="VALUE">
                      <a:rPr lang="en-US" baseline="0"/>
                      <a:pPr/>
                      <a:t>[VALUE]</a:t>
                    </a:fld>
                    <a:r>
                      <a:rPr lang="en-US" baseline="0"/>
                      <a:t>, 0.47%</a:t>
                    </a:r>
                  </a:p>
                  <a:p>
                    <a:r>
                      <a:rPr lang="en-US" sz="1000" b="0" i="0" u="none" strike="noStrike" baseline="0">
                        <a:effectLst/>
                      </a:rPr>
                      <a:t> RD$              44,568,620.09 </a:t>
                    </a:r>
                  </a:p>
                </c:rich>
              </c:tx>
              <c:dLblPos val="bestFit"/>
              <c:showLegendKey val="1"/>
              <c:showVal val="1"/>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3560-411D-970C-51091973CAE9}"/>
                </c:ext>
              </c:extLst>
            </c:dLbl>
            <c:dLbl>
              <c:idx val="11"/>
              <c:layout>
                <c:manualLayout>
                  <c:x val="0"/>
                  <c:y val="-0.21774213481162394"/>
                </c:manualLayout>
              </c:layout>
              <c:tx>
                <c:rich>
                  <a:bodyPr/>
                  <a:lstStyle/>
                  <a:p>
                    <a:fld id="{9E194BB5-1E30-4BA3-9D31-5C37DABA8F0A}" type="CATEGORYNAME">
                      <a:rPr lang="en-US" baseline="0"/>
                      <a:pPr/>
                      <a:t>[CATEGORY NAME]</a:t>
                    </a:fld>
                    <a:r>
                      <a:rPr lang="en-US" baseline="0"/>
                      <a:t>,</a:t>
                    </a:r>
                  </a:p>
                  <a:p>
                    <a:r>
                      <a:rPr lang="en-US" baseline="0"/>
                      <a:t>cantidad </a:t>
                    </a:r>
                    <a:fld id="{7526194A-0325-41D8-9841-6C685E174B93}" type="VALUE">
                      <a:rPr lang="en-US" baseline="0"/>
                      <a:pPr/>
                      <a:t>[VALUE]</a:t>
                    </a:fld>
                    <a:r>
                      <a:rPr lang="en-US" baseline="0"/>
                      <a:t>, 12.5%</a:t>
                    </a:r>
                    <a:r>
                      <a:rPr lang="en-US" sz="1000" b="0" i="0" u="none" strike="noStrike" baseline="0">
                        <a:effectLst/>
                      </a:rPr>
                      <a:t> RD$          1,192,375,589.63 </a:t>
                    </a:r>
                  </a:p>
                </c:rich>
              </c:tx>
              <c:dLblPos val="bestFit"/>
              <c:showLegendKey val="1"/>
              <c:showVal val="1"/>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3560-411D-970C-51091973CAE9}"/>
                </c:ext>
              </c:extLst>
            </c:dLbl>
            <c:dLbl>
              <c:idx val="13"/>
              <c:layout>
                <c:manualLayout>
                  <c:x val="-2.7497344182754485E-2"/>
                  <c:y val="-9.6499842147407935E-2"/>
                </c:manualLayout>
              </c:layout>
              <c:tx>
                <c:rich>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fld id="{7D1CCB07-ADCA-41B7-AE54-82370B31D42B}" type="CATEGORYNAME">
                      <a:rPr lang="en-US" sz="800" baseline="0"/>
                      <a:pPr>
                        <a:defRPr sz="800"/>
                      </a:pPr>
                      <a:t>[CATEGORY NAME]</a:t>
                    </a:fld>
                    <a:r>
                      <a:rPr lang="en-US" sz="800" baseline="0"/>
                      <a:t>,</a:t>
                    </a:r>
                  </a:p>
                  <a:p>
                    <a:pPr>
                      <a:defRPr sz="800"/>
                    </a:pPr>
                    <a:r>
                      <a:rPr lang="en-US" sz="800" baseline="0"/>
                      <a:t>cantidad  </a:t>
                    </a:r>
                    <a:fld id="{FA79FD78-75A3-49B7-9231-DE45044F5AA8}" type="VALUE">
                      <a:rPr lang="en-US" sz="800" baseline="0"/>
                      <a:pPr>
                        <a:defRPr sz="800"/>
                      </a:pPr>
                      <a:t>[VALUE]</a:t>
                    </a:fld>
                    <a:r>
                      <a:rPr lang="en-US" sz="800" baseline="0"/>
                      <a:t>, 0.05% </a:t>
                    </a:r>
                  </a:p>
                  <a:p>
                    <a:pPr>
                      <a:defRPr sz="800"/>
                    </a:pPr>
                    <a:r>
                      <a:rPr lang="en-US" sz="800" b="0" i="0" u="none" strike="noStrike" baseline="0">
                        <a:effectLst/>
                      </a:rPr>
                      <a:t> RD$                5,066,218.91 </a:t>
                    </a:r>
                  </a:p>
                </c:rich>
              </c:tx>
              <c:numFmt formatCode="&quot;RD$&quot;#,##0.00_);\(&quot;RD$&quot;#,##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DO"/>
                </a:p>
              </c:txPr>
              <c:dLblPos val="bestFit"/>
              <c:showLegendKey val="1"/>
              <c:showVal val="1"/>
              <c:showCatName val="1"/>
              <c:showSerName val="1"/>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B-3560-411D-970C-51091973CAE9}"/>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DO"/>
              </a:p>
            </c:txPr>
            <c:dLblPos val="ctr"/>
            <c:showLegendKey val="1"/>
            <c:showVal val="1"/>
            <c:showCatName val="1"/>
            <c:showSerName val="1"/>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'[Informe 2 compras Enero - Noviembre 25.xlsx]TIPO DE MODALIDAD'!$C$9:$C$24</c:f>
              <c:strCache>
                <c:ptCount val="16"/>
                <c:pt idx="1">
                  <c:v>LPN</c:v>
                </c:pt>
                <c:pt idx="3">
                  <c:v>PE</c:v>
                </c:pt>
                <c:pt idx="5">
                  <c:v>SO</c:v>
                </c:pt>
                <c:pt idx="7">
                  <c:v>CP</c:v>
                </c:pt>
                <c:pt idx="9">
                  <c:v>CM</c:v>
                </c:pt>
                <c:pt idx="11">
                  <c:v>SI</c:v>
                </c:pt>
                <c:pt idx="13">
                  <c:v>CD</c:v>
                </c:pt>
                <c:pt idx="15">
                  <c:v>TOTALES</c:v>
                </c:pt>
              </c:strCache>
            </c:strRef>
          </c:cat>
          <c:val>
            <c:numRef>
              <c:f>'[Informe 2 compras Enero - Noviembre 25.xlsx]TIPO DE MODALIDAD'!$D$9:$D$24</c:f>
              <c:numCache>
                <c:formatCode>General</c:formatCode>
                <c:ptCount val="16"/>
                <c:pt idx="1">
                  <c:v>1</c:v>
                </c:pt>
                <c:pt idx="3">
                  <c:v>15</c:v>
                </c:pt>
                <c:pt idx="5">
                  <c:v>0</c:v>
                </c:pt>
                <c:pt idx="7">
                  <c:v>7</c:v>
                </c:pt>
                <c:pt idx="9">
                  <c:v>35</c:v>
                </c:pt>
                <c:pt idx="11">
                  <c:v>5</c:v>
                </c:pt>
                <c:pt idx="13">
                  <c:v>23</c:v>
                </c:pt>
              </c:numCache>
            </c:numRef>
          </c:val>
          <c:extLst>
            <c:ext xmlns:c16="http://schemas.microsoft.com/office/drawing/2014/chart" uri="{C3380CC4-5D6E-409C-BE32-E72D297353CC}">
              <c16:uniqueId val="{00000020-3560-411D-970C-51091973CAE9}"/>
            </c:ext>
          </c:extLst>
        </c:ser>
        <c:ser>
          <c:idx val="1"/>
          <c:order val="1"/>
          <c:tx>
            <c:strRef>
              <c:f>'[Informe 2 compras Enero - Noviembre 25.xlsx]TIPO DE MODALIDAD'!$E$8</c:f>
              <c:strCache>
                <c:ptCount val="1"/>
                <c:pt idx="0">
                  <c:v>%</c:v>
                </c:pt>
              </c:strCache>
            </c:strRef>
          </c:tx>
          <c:dPt>
            <c:idx val="0"/>
            <c:bubble3D val="0"/>
            <c:spPr>
              <a:solidFill>
                <a:schemeClr val="accent1">
                  <a:shade val="3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2-3560-411D-970C-51091973CAE9}"/>
              </c:ext>
            </c:extLst>
          </c:dPt>
          <c:dPt>
            <c:idx val="1"/>
            <c:bubble3D val="0"/>
            <c:spPr>
              <a:solidFill>
                <a:schemeClr val="accent1">
                  <a:shade val="4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4-3560-411D-970C-51091973CAE9}"/>
              </c:ext>
            </c:extLst>
          </c:dPt>
          <c:dPt>
            <c:idx val="2"/>
            <c:bubble3D val="0"/>
            <c:spPr>
              <a:solidFill>
                <a:schemeClr val="accent1">
                  <a:shade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6-3560-411D-970C-51091973CAE9}"/>
              </c:ext>
            </c:extLst>
          </c:dPt>
          <c:dPt>
            <c:idx val="3"/>
            <c:bubble3D val="0"/>
            <c:spPr>
              <a:solidFill>
                <a:schemeClr val="accent1">
                  <a:shade val="62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8-3560-411D-970C-51091973CAE9}"/>
              </c:ext>
            </c:extLst>
          </c:dPt>
          <c:dPt>
            <c:idx val="4"/>
            <c:bubble3D val="0"/>
            <c:spPr>
              <a:solidFill>
                <a:schemeClr val="accent1">
                  <a:shade val="71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A-3560-411D-970C-51091973CAE9}"/>
              </c:ext>
            </c:extLst>
          </c:dPt>
          <c:dPt>
            <c:idx val="5"/>
            <c:bubble3D val="0"/>
            <c:spPr>
              <a:solidFill>
                <a:schemeClr val="accent1">
                  <a:shade val="79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C-3560-411D-970C-51091973CAE9}"/>
              </c:ext>
            </c:extLst>
          </c:dPt>
          <c:dPt>
            <c:idx val="6"/>
            <c:bubble3D val="0"/>
            <c:spPr>
              <a:solidFill>
                <a:schemeClr val="accent1">
                  <a:shade val="8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E-3560-411D-970C-51091973CAE9}"/>
              </c:ext>
            </c:extLst>
          </c:dPt>
          <c:dPt>
            <c:idx val="7"/>
            <c:bubble3D val="0"/>
            <c:spPr>
              <a:solidFill>
                <a:schemeClr val="accent1">
                  <a:shade val="9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0-3560-411D-970C-51091973CAE9}"/>
              </c:ext>
            </c:extLst>
          </c:dPt>
          <c:dPt>
            <c:idx val="8"/>
            <c:bubble3D val="0"/>
            <c:spPr>
              <a:solidFill>
                <a:schemeClr val="accent1">
                  <a:tint val="9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2-3560-411D-970C-51091973CAE9}"/>
              </c:ext>
            </c:extLst>
          </c:dPt>
          <c:dPt>
            <c:idx val="9"/>
            <c:bubble3D val="0"/>
            <c:spPr>
              <a:solidFill>
                <a:schemeClr val="accent1">
                  <a:tint val="8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4-3560-411D-970C-51091973CAE9}"/>
              </c:ext>
            </c:extLst>
          </c:dPt>
          <c:dPt>
            <c:idx val="10"/>
            <c:bubble3D val="0"/>
            <c:spPr>
              <a:solidFill>
                <a:schemeClr val="accent1">
                  <a:tint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6-3560-411D-970C-51091973CAE9}"/>
              </c:ext>
            </c:extLst>
          </c:dPt>
          <c:dPt>
            <c:idx val="11"/>
            <c:bubble3D val="0"/>
            <c:spPr>
              <a:solidFill>
                <a:schemeClr val="accent1">
                  <a:tint val="72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8-3560-411D-970C-51091973CAE9}"/>
              </c:ext>
            </c:extLst>
          </c:dPt>
          <c:dPt>
            <c:idx val="12"/>
            <c:bubble3D val="0"/>
            <c:spPr>
              <a:solidFill>
                <a:schemeClr val="accent1">
                  <a:tint val="6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A-3560-411D-970C-51091973CAE9}"/>
              </c:ext>
            </c:extLst>
          </c:dPt>
          <c:dPt>
            <c:idx val="13"/>
            <c:bubble3D val="0"/>
            <c:spPr>
              <a:solidFill>
                <a:schemeClr val="accent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C-3560-411D-970C-51091973CAE9}"/>
              </c:ext>
            </c:extLst>
          </c:dPt>
          <c:dPt>
            <c:idx val="14"/>
            <c:bubble3D val="0"/>
            <c:spPr>
              <a:solidFill>
                <a:schemeClr val="accent1">
                  <a:tint val="4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E-3560-411D-970C-51091973CAE9}"/>
              </c:ext>
            </c:extLst>
          </c:dPt>
          <c:dPt>
            <c:idx val="15"/>
            <c:bubble3D val="0"/>
            <c:spPr>
              <a:solidFill>
                <a:schemeClr val="accent1">
                  <a:tint val="39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0-3560-411D-970C-51091973CAE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'[Informe 2 compras Enero - Noviembre 25.xlsx]TIPO DE MODALIDAD'!$C$9:$C$24</c:f>
              <c:strCache>
                <c:ptCount val="16"/>
                <c:pt idx="1">
                  <c:v>LPN</c:v>
                </c:pt>
                <c:pt idx="3">
                  <c:v>PE</c:v>
                </c:pt>
                <c:pt idx="5">
                  <c:v>SO</c:v>
                </c:pt>
                <c:pt idx="7">
                  <c:v>CP</c:v>
                </c:pt>
                <c:pt idx="9">
                  <c:v>CM</c:v>
                </c:pt>
                <c:pt idx="11">
                  <c:v>SI</c:v>
                </c:pt>
                <c:pt idx="13">
                  <c:v>CD</c:v>
                </c:pt>
                <c:pt idx="15">
                  <c:v>TOTALES</c:v>
                </c:pt>
              </c:strCache>
            </c:strRef>
          </c:cat>
          <c:val>
            <c:numRef>
              <c:f>'[Informe 2 compras Enero - Noviembre 25.xlsx]TIPO DE MODALIDAD'!$E$9:$E$24</c:f>
              <c:numCache>
                <c:formatCode>0%</c:formatCode>
                <c:ptCount val="16"/>
                <c:pt idx="1">
                  <c:v>0.83299999999999996</c:v>
                </c:pt>
                <c:pt idx="3">
                  <c:v>3.3300000000000003E-2</c:v>
                </c:pt>
                <c:pt idx="5" formatCode="0.00%">
                  <c:v>0</c:v>
                </c:pt>
                <c:pt idx="7" formatCode="0.00%">
                  <c:v>1.8E-3</c:v>
                </c:pt>
                <c:pt idx="9" formatCode="0.00%">
                  <c:v>4.7000000000000002E-3</c:v>
                </c:pt>
                <c:pt idx="11" formatCode="0.00%">
                  <c:v>0.12559999999999999</c:v>
                </c:pt>
                <c:pt idx="13" formatCode="0.00%">
                  <c:v>5.0000000000000001E-4</c:v>
                </c:pt>
                <c:pt idx="15">
                  <c:v>0.9988999999999999</c:v>
                </c:pt>
              </c:numCache>
            </c:numRef>
          </c:val>
          <c:extLst>
            <c:ext xmlns:c16="http://schemas.microsoft.com/office/drawing/2014/chart" uri="{C3380CC4-5D6E-409C-BE32-E72D297353CC}">
              <c16:uniqueId val="{00000041-3560-411D-970C-51091973CAE9}"/>
            </c:ext>
          </c:extLst>
        </c:ser>
        <c:ser>
          <c:idx val="2"/>
          <c:order val="2"/>
          <c:tx>
            <c:strRef>
              <c:f>'[Informe 2 compras Enero - Noviembre 25.xlsx]TIPO DE MODALIDAD'!$F$8</c:f>
              <c:strCache>
                <c:ptCount val="1"/>
                <c:pt idx="0">
                  <c:v>MONTO RD$</c:v>
                </c:pt>
              </c:strCache>
            </c:strRef>
          </c:tx>
          <c:dPt>
            <c:idx val="0"/>
            <c:bubble3D val="0"/>
            <c:spPr>
              <a:solidFill>
                <a:schemeClr val="accent1">
                  <a:shade val="3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3-3560-411D-970C-51091973CAE9}"/>
              </c:ext>
            </c:extLst>
          </c:dPt>
          <c:dPt>
            <c:idx val="1"/>
            <c:bubble3D val="0"/>
            <c:spPr>
              <a:solidFill>
                <a:schemeClr val="accent1">
                  <a:shade val="4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5-3560-411D-970C-51091973CAE9}"/>
              </c:ext>
            </c:extLst>
          </c:dPt>
          <c:dPt>
            <c:idx val="2"/>
            <c:bubble3D val="0"/>
            <c:spPr>
              <a:solidFill>
                <a:schemeClr val="accent1">
                  <a:shade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7-3560-411D-970C-51091973CAE9}"/>
              </c:ext>
            </c:extLst>
          </c:dPt>
          <c:dPt>
            <c:idx val="3"/>
            <c:bubble3D val="0"/>
            <c:spPr>
              <a:solidFill>
                <a:schemeClr val="accent1">
                  <a:shade val="62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9-3560-411D-970C-51091973CAE9}"/>
              </c:ext>
            </c:extLst>
          </c:dPt>
          <c:dPt>
            <c:idx val="4"/>
            <c:bubble3D val="0"/>
            <c:spPr>
              <a:solidFill>
                <a:schemeClr val="accent1">
                  <a:shade val="71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B-3560-411D-970C-51091973CAE9}"/>
              </c:ext>
            </c:extLst>
          </c:dPt>
          <c:dPt>
            <c:idx val="5"/>
            <c:bubble3D val="0"/>
            <c:spPr>
              <a:solidFill>
                <a:schemeClr val="accent1">
                  <a:shade val="79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D-3560-411D-970C-51091973CAE9}"/>
              </c:ext>
            </c:extLst>
          </c:dPt>
          <c:dPt>
            <c:idx val="6"/>
            <c:bubble3D val="0"/>
            <c:spPr>
              <a:solidFill>
                <a:schemeClr val="accent1">
                  <a:shade val="8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4F-3560-411D-970C-51091973CAE9}"/>
              </c:ext>
            </c:extLst>
          </c:dPt>
          <c:dPt>
            <c:idx val="7"/>
            <c:bubble3D val="0"/>
            <c:spPr>
              <a:solidFill>
                <a:schemeClr val="accent1">
                  <a:shade val="9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1-3560-411D-970C-51091973CAE9}"/>
              </c:ext>
            </c:extLst>
          </c:dPt>
          <c:dPt>
            <c:idx val="8"/>
            <c:bubble3D val="0"/>
            <c:spPr>
              <a:solidFill>
                <a:schemeClr val="accent1">
                  <a:tint val="9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3-3560-411D-970C-51091973CAE9}"/>
              </c:ext>
            </c:extLst>
          </c:dPt>
          <c:dPt>
            <c:idx val="9"/>
            <c:bubble3D val="0"/>
            <c:spPr>
              <a:solidFill>
                <a:schemeClr val="accent1">
                  <a:tint val="8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5-3560-411D-970C-51091973CAE9}"/>
              </c:ext>
            </c:extLst>
          </c:dPt>
          <c:dPt>
            <c:idx val="10"/>
            <c:bubble3D val="0"/>
            <c:spPr>
              <a:solidFill>
                <a:schemeClr val="accent1">
                  <a:tint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7-3560-411D-970C-51091973CAE9}"/>
              </c:ext>
            </c:extLst>
          </c:dPt>
          <c:dPt>
            <c:idx val="11"/>
            <c:bubble3D val="0"/>
            <c:spPr>
              <a:solidFill>
                <a:schemeClr val="accent1">
                  <a:tint val="72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9-3560-411D-970C-51091973CAE9}"/>
              </c:ext>
            </c:extLst>
          </c:dPt>
          <c:dPt>
            <c:idx val="12"/>
            <c:bubble3D val="0"/>
            <c:spPr>
              <a:solidFill>
                <a:schemeClr val="accent1">
                  <a:tint val="6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B-3560-411D-970C-51091973CAE9}"/>
              </c:ext>
            </c:extLst>
          </c:dPt>
          <c:dPt>
            <c:idx val="13"/>
            <c:bubble3D val="0"/>
            <c:spPr>
              <a:solidFill>
                <a:schemeClr val="accent1">
                  <a:tint val="5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D-3560-411D-970C-51091973CAE9}"/>
              </c:ext>
            </c:extLst>
          </c:dPt>
          <c:dPt>
            <c:idx val="14"/>
            <c:bubble3D val="0"/>
            <c:spPr>
              <a:solidFill>
                <a:schemeClr val="accent1">
                  <a:tint val="4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5F-3560-411D-970C-51091973CAE9}"/>
              </c:ext>
            </c:extLst>
          </c:dPt>
          <c:dPt>
            <c:idx val="15"/>
            <c:bubble3D val="0"/>
            <c:spPr>
              <a:solidFill>
                <a:schemeClr val="accent1">
                  <a:tint val="39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61-3560-411D-970C-51091973CAE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'[Informe 2 compras Enero - Noviembre 25.xlsx]TIPO DE MODALIDAD'!$C$9:$C$24</c:f>
              <c:strCache>
                <c:ptCount val="16"/>
                <c:pt idx="1">
                  <c:v>LPN</c:v>
                </c:pt>
                <c:pt idx="3">
                  <c:v>PE</c:v>
                </c:pt>
                <c:pt idx="5">
                  <c:v>SO</c:v>
                </c:pt>
                <c:pt idx="7">
                  <c:v>CP</c:v>
                </c:pt>
                <c:pt idx="9">
                  <c:v>CM</c:v>
                </c:pt>
                <c:pt idx="11">
                  <c:v>SI</c:v>
                </c:pt>
                <c:pt idx="13">
                  <c:v>CD</c:v>
                </c:pt>
                <c:pt idx="15">
                  <c:v>TOTALES</c:v>
                </c:pt>
              </c:strCache>
            </c:strRef>
          </c:cat>
          <c:val>
            <c:numRef>
              <c:f>'[Informe 2 compras Enero - Noviembre 25.xlsx]TIPO DE MODALIDAD'!$F$9:$F$24</c:f>
              <c:numCache>
                <c:formatCode>_("RD$"* #,##0.00_);_("RD$"* \(#,##0.00\);_("RD$"* "-"??_);_(@_)</c:formatCode>
                <c:ptCount val="16"/>
                <c:pt idx="1">
                  <c:v>7850000000</c:v>
                </c:pt>
                <c:pt idx="3">
                  <c:v>314328708.76999998</c:v>
                </c:pt>
                <c:pt idx="5">
                  <c:v>0</c:v>
                </c:pt>
                <c:pt idx="7">
                  <c:v>17221820.449999999</c:v>
                </c:pt>
                <c:pt idx="9">
                  <c:v>44568620.090000004</c:v>
                </c:pt>
                <c:pt idx="11">
                  <c:v>1192375589.6300001</c:v>
                </c:pt>
                <c:pt idx="13">
                  <c:v>5066218.91</c:v>
                </c:pt>
                <c:pt idx="15">
                  <c:v>9423560957.8500004</c:v>
                </c:pt>
              </c:numCache>
            </c:numRef>
          </c:val>
          <c:extLst>
            <c:ext xmlns:c16="http://schemas.microsoft.com/office/drawing/2014/chart" uri="{C3380CC4-5D6E-409C-BE32-E72D297353CC}">
              <c16:uniqueId val="{00000062-3560-411D-970C-51091973CAE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effectLst/>
                <a:latin typeface="+mn-lt"/>
                <a:ea typeface="+mn-ea"/>
                <a:cs typeface="+mn-cs"/>
              </a:defRPr>
            </a:pPr>
            <a:r>
              <a:rPr lang="es-DO" sz="1200" b="1">
                <a:solidFill>
                  <a:sysClr val="windowText" lastClr="000000"/>
                </a:solidFill>
                <a:latin typeface="Times New Roman" panose="02020603050405020304" pitchFamily="18" charset="0"/>
                <a:cs typeface="Times New Roman" panose="02020603050405020304" pitchFamily="18" charset="0"/>
              </a:rPr>
              <a:t>CALIFICACIONES DEL INDICADOR SISMAP</a:t>
            </a:r>
          </a:p>
          <a:p>
            <a:pPr>
              <a:defRPr sz="1200" b="1"/>
            </a:pPr>
            <a:r>
              <a:rPr lang="es-DO" sz="1100" b="1">
                <a:solidFill>
                  <a:sysClr val="windowText" lastClr="000000"/>
                </a:solidFill>
                <a:latin typeface="Times New Roman" panose="02020603050405020304" pitchFamily="18" charset="0"/>
                <a:cs typeface="Times New Roman" panose="02020603050405020304" pitchFamily="18" charset="0"/>
              </a:rPr>
              <a:t>ENERO-SEPTIEMBRE</a:t>
            </a:r>
            <a:r>
              <a:rPr lang="es-DO" sz="1100" b="1" baseline="0">
                <a:solidFill>
                  <a:sysClr val="windowText" lastClr="000000"/>
                </a:solidFill>
                <a:latin typeface="Times New Roman" panose="02020603050405020304" pitchFamily="18" charset="0"/>
                <a:cs typeface="Times New Roman" panose="02020603050405020304" pitchFamily="18" charset="0"/>
              </a:rPr>
              <a:t> 2025</a:t>
            </a:r>
            <a:r>
              <a:rPr lang="es-DO" sz="1100" b="1">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14013888888888892"/>
          <c:y val="6.944444444444444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effectLst/>
              <a:latin typeface="+mn-lt"/>
              <a:ea typeface="+mn-ea"/>
              <a:cs typeface="+mn-cs"/>
            </a:defRPr>
          </a:pPr>
          <a:endParaRPr lang="es-DO"/>
        </a:p>
      </c:txPr>
    </c:title>
    <c:autoTitleDeleted val="0"/>
    <c:plotArea>
      <c:layout/>
      <c:barChart>
        <c:barDir val="col"/>
        <c:grouping val="clustered"/>
        <c:varyColors val="0"/>
        <c:ser>
          <c:idx val="0"/>
          <c:order val="0"/>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Hoja1!$A$11:$A$13</c:f>
              <c:strCache>
                <c:ptCount val="3"/>
                <c:pt idx="0">
                  <c:v>ENERO-MARZO </c:v>
                </c:pt>
                <c:pt idx="1">
                  <c:v>ABRIL-JUNIO</c:v>
                </c:pt>
                <c:pt idx="2">
                  <c:v>JULIO-SEPTIEMBRE </c:v>
                </c:pt>
              </c:strCache>
            </c:strRef>
          </c:cat>
          <c:val>
            <c:numRef>
              <c:f>Hoja1!$B$11:$B$13</c:f>
              <c:numCache>
                <c:formatCode>0%</c:formatCode>
                <c:ptCount val="3"/>
                <c:pt idx="0">
                  <c:v>0.81</c:v>
                </c:pt>
                <c:pt idx="1">
                  <c:v>0.82</c:v>
                </c:pt>
                <c:pt idx="2">
                  <c:v>0.8</c:v>
                </c:pt>
              </c:numCache>
            </c:numRef>
          </c:val>
          <c:extLst>
            <c:ext xmlns:c16="http://schemas.microsoft.com/office/drawing/2014/chart" uri="{C3380CC4-5D6E-409C-BE32-E72D297353CC}">
              <c16:uniqueId val="{00000000-316C-4A9D-BC88-47AD6188A31F}"/>
            </c:ext>
          </c:extLst>
        </c:ser>
        <c:dLbls>
          <c:dLblPos val="inEnd"/>
          <c:showLegendKey val="0"/>
          <c:showVal val="1"/>
          <c:showCatName val="0"/>
          <c:showSerName val="0"/>
          <c:showPercent val="0"/>
          <c:showBubbleSize val="0"/>
        </c:dLbls>
        <c:gapWidth val="41"/>
        <c:axId val="1869952592"/>
        <c:axId val="1869969456"/>
      </c:barChart>
      <c:catAx>
        <c:axId val="1869952592"/>
        <c:scaling>
          <c:orientation val="minMax"/>
        </c:scaling>
        <c:delete val="0"/>
        <c:axPos val="b"/>
        <c:numFmt formatCode="General" sourceLinked="1"/>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mn-lt"/>
                <a:ea typeface="+mn-ea"/>
                <a:cs typeface="+mn-cs"/>
              </a:defRPr>
            </a:pPr>
            <a:endParaRPr lang="es-DO"/>
          </a:p>
        </c:txPr>
        <c:crossAx val="1869969456"/>
        <c:crosses val="autoZero"/>
        <c:auto val="1"/>
        <c:lblAlgn val="ctr"/>
        <c:lblOffset val="100"/>
        <c:noMultiLvlLbl val="0"/>
      </c:catAx>
      <c:valAx>
        <c:axId val="1869969456"/>
        <c:scaling>
          <c:orientation val="minMax"/>
        </c:scaling>
        <c:delete val="1"/>
        <c:axPos val="l"/>
        <c:numFmt formatCode="0%" sourceLinked="1"/>
        <c:majorTickMark val="none"/>
        <c:minorTickMark val="none"/>
        <c:tickLblPos val="nextTo"/>
        <c:crossAx val="186995259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65000"/>
                    <a:lumOff val="35000"/>
                  </a:schemeClr>
                </a:solidFill>
                <a:effectLst/>
                <a:latin typeface="+mn-lt"/>
                <a:ea typeface="+mn-ea"/>
                <a:cs typeface="+mn-cs"/>
              </a:defRPr>
            </a:pPr>
            <a:r>
              <a:rPr lang="es-DO" sz="1200" b="1">
                <a:solidFill>
                  <a:sysClr val="windowText" lastClr="000000"/>
                </a:solidFill>
                <a:latin typeface="Times New Roman" panose="02020603050405020304" pitchFamily="18" charset="0"/>
                <a:cs typeface="Times New Roman" panose="02020603050405020304" pitchFamily="18" charset="0"/>
              </a:rPr>
              <a:t>CALIFICACIONES DEL INDICADOR           ITICGE-MOPC </a:t>
            </a:r>
          </a:p>
          <a:p>
            <a:pPr>
              <a:defRPr sz="1200" b="1"/>
            </a:pPr>
            <a:r>
              <a:rPr lang="es-DO" sz="1200" b="1">
                <a:solidFill>
                  <a:sysClr val="windowText" lastClr="000000"/>
                </a:solidFill>
                <a:latin typeface="Times New Roman" panose="02020603050405020304" pitchFamily="18" charset="0"/>
                <a:cs typeface="Times New Roman" panose="02020603050405020304" pitchFamily="18" charset="0"/>
              </a:rPr>
              <a:t>ENERO-SEPTIEMBRE 2025</a:t>
            </a:r>
          </a:p>
        </c:rich>
      </c:tx>
      <c:layout>
        <c:manualLayout>
          <c:xMode val="edge"/>
          <c:yMode val="edge"/>
          <c:x val="0.24291666666666667"/>
          <c:y val="3.734826526824568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65000"/>
                  <a:lumOff val="35000"/>
                </a:schemeClr>
              </a:solidFill>
              <a:effectLst/>
              <a:latin typeface="+mn-lt"/>
              <a:ea typeface="+mn-ea"/>
              <a:cs typeface="+mn-cs"/>
            </a:defRPr>
          </a:pPr>
          <a:endParaRPr lang="es-DO"/>
        </a:p>
      </c:txPr>
    </c:title>
    <c:autoTitleDeleted val="0"/>
    <c:plotArea>
      <c:layout/>
      <c:barChart>
        <c:barDir val="col"/>
        <c:grouping val="clustered"/>
        <c:varyColors val="0"/>
        <c:ser>
          <c:idx val="0"/>
          <c:order val="0"/>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Hoja1!$A$11:$A$13</c:f>
              <c:strCache>
                <c:ptCount val="3"/>
                <c:pt idx="0">
                  <c:v>ENERO-MARZO </c:v>
                </c:pt>
                <c:pt idx="1">
                  <c:v>ABRIL-JUNIO</c:v>
                </c:pt>
                <c:pt idx="2">
                  <c:v>JULIO-SEPTIEMBRE </c:v>
                </c:pt>
              </c:strCache>
            </c:strRef>
          </c:cat>
          <c:val>
            <c:numRef>
              <c:f>Hoja1!$B$11:$B$13</c:f>
              <c:numCache>
                <c:formatCode>0%</c:formatCode>
                <c:ptCount val="3"/>
                <c:pt idx="0">
                  <c:v>0.59</c:v>
                </c:pt>
                <c:pt idx="1">
                  <c:v>0.6</c:v>
                </c:pt>
                <c:pt idx="2">
                  <c:v>0.74</c:v>
                </c:pt>
              </c:numCache>
            </c:numRef>
          </c:val>
          <c:extLst>
            <c:ext xmlns:c16="http://schemas.microsoft.com/office/drawing/2014/chart" uri="{C3380CC4-5D6E-409C-BE32-E72D297353CC}">
              <c16:uniqueId val="{00000000-3EA7-48E1-A092-47F89A0FB79D}"/>
            </c:ext>
          </c:extLst>
        </c:ser>
        <c:dLbls>
          <c:dLblPos val="inEnd"/>
          <c:showLegendKey val="0"/>
          <c:showVal val="1"/>
          <c:showCatName val="0"/>
          <c:showSerName val="0"/>
          <c:showPercent val="0"/>
          <c:showBubbleSize val="0"/>
        </c:dLbls>
        <c:gapWidth val="41"/>
        <c:axId val="1869971088"/>
        <c:axId val="1869949328"/>
      </c:barChart>
      <c:catAx>
        <c:axId val="1869971088"/>
        <c:scaling>
          <c:orientation val="minMax"/>
        </c:scaling>
        <c:delete val="0"/>
        <c:axPos val="b"/>
        <c:numFmt formatCode="General" sourceLinked="1"/>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mn-lt"/>
                <a:ea typeface="+mn-ea"/>
                <a:cs typeface="+mn-cs"/>
              </a:defRPr>
            </a:pPr>
            <a:endParaRPr lang="es-DO"/>
          </a:p>
        </c:txPr>
        <c:crossAx val="1869949328"/>
        <c:crosses val="autoZero"/>
        <c:auto val="1"/>
        <c:lblAlgn val="ctr"/>
        <c:lblOffset val="100"/>
        <c:noMultiLvlLbl val="0"/>
      </c:catAx>
      <c:valAx>
        <c:axId val="1869949328"/>
        <c:scaling>
          <c:orientation val="minMax"/>
        </c:scaling>
        <c:delete val="1"/>
        <c:axPos val="l"/>
        <c:numFmt formatCode="0%" sourceLinked="1"/>
        <c:majorTickMark val="none"/>
        <c:minorTickMark val="none"/>
        <c:tickLblPos val="nextTo"/>
        <c:crossAx val="186997108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mn-lt"/>
                <a:ea typeface="+mn-ea"/>
                <a:cs typeface="+mn-cs"/>
              </a:defRPr>
            </a:pPr>
            <a:r>
              <a:rPr lang="en-US" sz="1400"/>
              <a:t>Calificaciones del Indicador NOBACI</a:t>
            </a:r>
          </a:p>
        </c:rich>
      </c:tx>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Hoja1!$B$16</c:f>
              <c:strCache>
                <c:ptCount val="1"/>
                <c:pt idx="0">
                  <c:v>PORCENTAJE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1"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Hoja1!$A$17:$A$18</c:f>
              <c:strCache>
                <c:ptCount val="2"/>
                <c:pt idx="0">
                  <c:v>ENERO-MARZO </c:v>
                </c:pt>
                <c:pt idx="1">
                  <c:v>ABRIL-JUNIO</c:v>
                </c:pt>
              </c:strCache>
            </c:strRef>
          </c:cat>
          <c:val>
            <c:numRef>
              <c:f>Hoja1!$B$17:$B$18</c:f>
              <c:numCache>
                <c:formatCode>0%</c:formatCode>
                <c:ptCount val="2"/>
                <c:pt idx="0">
                  <c:v>0.81</c:v>
                </c:pt>
                <c:pt idx="1">
                  <c:v>0.81</c:v>
                </c:pt>
              </c:numCache>
            </c:numRef>
          </c:val>
          <c:extLst>
            <c:ext xmlns:c16="http://schemas.microsoft.com/office/drawing/2014/chart" uri="{C3380CC4-5D6E-409C-BE32-E72D297353CC}">
              <c16:uniqueId val="{00000000-4022-4E9F-9718-3EFB70CACCE9}"/>
            </c:ext>
          </c:extLst>
        </c:ser>
        <c:dLbls>
          <c:dLblPos val="outEnd"/>
          <c:showLegendKey val="0"/>
          <c:showVal val="1"/>
          <c:showCatName val="0"/>
          <c:showSerName val="0"/>
          <c:showPercent val="0"/>
          <c:showBubbleSize val="0"/>
        </c:dLbls>
        <c:gapWidth val="444"/>
        <c:overlap val="-90"/>
        <c:axId val="1869953136"/>
        <c:axId val="1869965648"/>
      </c:barChart>
      <c:catAx>
        <c:axId val="1869953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cap="all" spc="120" normalizeH="0" baseline="0">
                <a:solidFill>
                  <a:schemeClr val="tx1">
                    <a:lumMod val="65000"/>
                    <a:lumOff val="35000"/>
                  </a:schemeClr>
                </a:solidFill>
                <a:latin typeface="+mn-lt"/>
                <a:ea typeface="+mn-ea"/>
                <a:cs typeface="+mn-cs"/>
              </a:defRPr>
            </a:pPr>
            <a:endParaRPr lang="es-DO"/>
          </a:p>
        </c:txPr>
        <c:crossAx val="1869965648"/>
        <c:crosses val="autoZero"/>
        <c:auto val="1"/>
        <c:lblAlgn val="ctr"/>
        <c:lblOffset val="100"/>
        <c:noMultiLvlLbl val="0"/>
      </c:catAx>
      <c:valAx>
        <c:axId val="1869965648"/>
        <c:scaling>
          <c:orientation val="minMax"/>
        </c:scaling>
        <c:delete val="1"/>
        <c:axPos val="l"/>
        <c:numFmt formatCode="0%" sourceLinked="1"/>
        <c:majorTickMark val="none"/>
        <c:minorTickMark val="none"/>
        <c:tickLblPos val="nextTo"/>
        <c:crossAx val="186995313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200" b="1" i="0" u="none" strike="noStrike" kern="1200" baseline="0">
                <a:solidFill>
                  <a:schemeClr val="dk1">
                    <a:lumMod val="65000"/>
                    <a:lumOff val="35000"/>
                  </a:schemeClr>
                </a:solidFill>
                <a:effectLst/>
                <a:latin typeface="+mn-lt"/>
                <a:ea typeface="+mn-ea"/>
                <a:cs typeface="+mn-cs"/>
              </a:defRPr>
            </a:pPr>
            <a:r>
              <a:rPr lang="es-DO" sz="1200" b="1">
                <a:solidFill>
                  <a:sysClr val="windowText" lastClr="000000"/>
                </a:solidFill>
                <a:latin typeface="Times New Roman" panose="02020603050405020304" pitchFamily="18" charset="0"/>
                <a:cs typeface="Times New Roman" panose="02020603050405020304" pitchFamily="18" charset="0"/>
              </a:rPr>
              <a:t>CALIFICACIONES DEL INDICADOR IGP           </a:t>
            </a:r>
          </a:p>
          <a:p>
            <a:pPr algn="ctr">
              <a:defRPr sz="1200" b="1"/>
            </a:pPr>
            <a:r>
              <a:rPr lang="es-DO" sz="1200" b="1">
                <a:solidFill>
                  <a:sysClr val="windowText" lastClr="000000"/>
                </a:solidFill>
                <a:latin typeface="Times New Roman" panose="02020603050405020304" pitchFamily="18" charset="0"/>
                <a:cs typeface="Times New Roman" panose="02020603050405020304" pitchFamily="18" charset="0"/>
              </a:rPr>
              <a:t>ENERO-SEPTIEMBRE 2025</a:t>
            </a:r>
          </a:p>
        </c:rich>
      </c:tx>
      <c:layout>
        <c:manualLayout>
          <c:xMode val="edge"/>
          <c:yMode val="edge"/>
          <c:x val="0.17568327416251811"/>
          <c:y val="4.0125036453776609E-2"/>
        </c:manualLayout>
      </c:layout>
      <c:overlay val="0"/>
      <c:spPr>
        <a:noFill/>
        <a:ln>
          <a:noFill/>
        </a:ln>
        <a:effectLst/>
      </c:spPr>
      <c:txPr>
        <a:bodyPr rot="0" spcFirstLastPara="1" vertOverflow="ellipsis" vert="horz" wrap="square" anchor="ctr" anchorCtr="1"/>
        <a:lstStyle/>
        <a:p>
          <a:pPr algn="ctr">
            <a:defRPr sz="1200" b="1" i="0" u="none" strike="noStrike" kern="1200" baseline="0">
              <a:solidFill>
                <a:schemeClr val="dk1">
                  <a:lumMod val="65000"/>
                  <a:lumOff val="35000"/>
                </a:schemeClr>
              </a:solidFill>
              <a:effectLst/>
              <a:latin typeface="+mn-lt"/>
              <a:ea typeface="+mn-ea"/>
              <a:cs typeface="+mn-cs"/>
            </a:defRPr>
          </a:pPr>
          <a:endParaRPr lang="es-DO"/>
        </a:p>
      </c:txPr>
    </c:title>
    <c:autoTitleDeleted val="0"/>
    <c:plotArea>
      <c:layout/>
      <c:barChart>
        <c:barDir val="col"/>
        <c:grouping val="clustered"/>
        <c:varyColors val="0"/>
        <c:ser>
          <c:idx val="0"/>
          <c:order val="0"/>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Hoja1!$A$11:$A$13</c:f>
              <c:strCache>
                <c:ptCount val="3"/>
                <c:pt idx="0">
                  <c:v>ENERO-MARZO </c:v>
                </c:pt>
                <c:pt idx="1">
                  <c:v>ABRIL-JUNIO</c:v>
                </c:pt>
                <c:pt idx="2">
                  <c:v>JULIO-SEPTIEMBRE </c:v>
                </c:pt>
              </c:strCache>
            </c:strRef>
          </c:cat>
          <c:val>
            <c:numRef>
              <c:f>Hoja1!$B$11:$B$13</c:f>
              <c:numCache>
                <c:formatCode>0%</c:formatCode>
                <c:ptCount val="3"/>
                <c:pt idx="0">
                  <c:v>0.95</c:v>
                </c:pt>
                <c:pt idx="1">
                  <c:v>0.77</c:v>
                </c:pt>
                <c:pt idx="2">
                  <c:v>0.8</c:v>
                </c:pt>
              </c:numCache>
            </c:numRef>
          </c:val>
          <c:extLst>
            <c:ext xmlns:c16="http://schemas.microsoft.com/office/drawing/2014/chart" uri="{C3380CC4-5D6E-409C-BE32-E72D297353CC}">
              <c16:uniqueId val="{00000000-C99F-4DEC-9731-9A4DA508E874}"/>
            </c:ext>
          </c:extLst>
        </c:ser>
        <c:dLbls>
          <c:dLblPos val="inEnd"/>
          <c:showLegendKey val="0"/>
          <c:showVal val="1"/>
          <c:showCatName val="0"/>
          <c:showSerName val="0"/>
          <c:showPercent val="0"/>
          <c:showBubbleSize val="0"/>
        </c:dLbls>
        <c:gapWidth val="41"/>
        <c:axId val="1869954768"/>
        <c:axId val="1869955856"/>
      </c:barChart>
      <c:catAx>
        <c:axId val="1869954768"/>
        <c:scaling>
          <c:orientation val="minMax"/>
        </c:scaling>
        <c:delete val="0"/>
        <c:axPos val="b"/>
        <c:numFmt formatCode="General" sourceLinked="1"/>
        <c:majorTickMark val="none"/>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mn-lt"/>
                <a:ea typeface="+mn-ea"/>
                <a:cs typeface="+mn-cs"/>
              </a:defRPr>
            </a:pPr>
            <a:endParaRPr lang="es-DO"/>
          </a:p>
        </c:txPr>
        <c:crossAx val="1869955856"/>
        <c:crosses val="autoZero"/>
        <c:auto val="1"/>
        <c:lblAlgn val="ctr"/>
        <c:lblOffset val="100"/>
        <c:noMultiLvlLbl val="0"/>
      </c:catAx>
      <c:valAx>
        <c:axId val="1869955856"/>
        <c:scaling>
          <c:orientation val="minMax"/>
        </c:scaling>
        <c:delete val="1"/>
        <c:axPos val="l"/>
        <c:numFmt formatCode="0%" sourceLinked="1"/>
        <c:majorTickMark val="none"/>
        <c:minorTickMark val="none"/>
        <c:tickLblPos val="nextTo"/>
        <c:crossAx val="186995476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r>
              <a:rPr lang="es-DO" sz="1300" b="1" i="0" baseline="0">
                <a:solidFill>
                  <a:srgbClr val="003876"/>
                </a:solidFill>
                <a:effectLst/>
              </a:rPr>
              <a:t>Calificaciones del Indicador PRESUPUESTO-MOPC, </a:t>
            </a:r>
            <a:br>
              <a:rPr lang="es-DO" sz="1300" b="1" i="0" baseline="0">
                <a:solidFill>
                  <a:srgbClr val="003876"/>
                </a:solidFill>
                <a:effectLst/>
              </a:rPr>
            </a:br>
            <a:r>
              <a:rPr lang="es-DO" sz="1300" b="1" i="0" baseline="0">
                <a:solidFill>
                  <a:srgbClr val="003876"/>
                </a:solidFill>
                <a:effectLst/>
              </a:rPr>
              <a:t>trimestres: Enero-Marzo, Abril-Junio, Julio-Septiembre </a:t>
            </a:r>
            <a:r>
              <a:rPr lang="es-DO" sz="1300" b="1" i="0" u="none" strike="noStrike" kern="1200" spc="0" baseline="0">
                <a:solidFill>
                  <a:srgbClr val="003876"/>
                </a:solidFill>
                <a:effectLst/>
                <a:latin typeface="Times New Roman" panose="02020603050405020304" pitchFamily="18" charset="0"/>
                <a:ea typeface="+mn-ea"/>
                <a:cs typeface="Times New Roman" panose="02020603050405020304" pitchFamily="18" charset="0"/>
              </a:rPr>
              <a:t>2025</a:t>
            </a:r>
            <a:endParaRPr lang="es-DO" sz="1300">
              <a:solidFill>
                <a:srgbClr val="003876"/>
              </a:solidFill>
              <a:effectLst/>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rgbClr val="0038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7.8478795114117844E-2"/>
          <c:y val="0.3321963477969509"/>
          <c:w val="0.89643049126970686"/>
          <c:h val="0.56998082686472706"/>
        </c:manualLayout>
      </c:layout>
      <c:barChart>
        <c:barDir val="col"/>
        <c:grouping val="clustered"/>
        <c:varyColors val="0"/>
        <c:ser>
          <c:idx val="0"/>
          <c:order val="0"/>
          <c:spPr>
            <a:solidFill>
              <a:schemeClr val="accent1"/>
            </a:solidFill>
            <a:ln>
              <a:noFill/>
            </a:ln>
            <a:effectLst/>
          </c:spPr>
          <c:invertIfNegative val="0"/>
          <c:cat>
            <c:strRef>
              <c:f>'INDICADORES GESTIÓN'!$A$17:$A$19</c:f>
              <c:strCache>
                <c:ptCount val="3"/>
                <c:pt idx="0">
                  <c:v>Enero-Marzo</c:v>
                </c:pt>
                <c:pt idx="1">
                  <c:v>Abril Junio</c:v>
                </c:pt>
                <c:pt idx="2">
                  <c:v>Julio-Septiembre</c:v>
                </c:pt>
              </c:strCache>
            </c:strRef>
          </c:cat>
          <c:val>
            <c:numRef>
              <c:f>'INDICADORES GESTIÓN'!$F$17:$F$19</c:f>
              <c:numCache>
                <c:formatCode>General</c:formatCode>
                <c:ptCount val="3"/>
              </c:numCache>
            </c:numRef>
          </c:val>
          <c:extLst>
            <c:ext xmlns:c16="http://schemas.microsoft.com/office/drawing/2014/chart" uri="{C3380CC4-5D6E-409C-BE32-E72D297353CC}">
              <c16:uniqueId val="{00000000-B8A6-46AA-AA1F-C35A444D46E8}"/>
            </c:ext>
          </c:extLst>
        </c:ser>
        <c:ser>
          <c:idx val="1"/>
          <c:order val="1"/>
          <c:spPr>
            <a:solidFill>
              <a:srgbClr val="00387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'INDICADORES GESTIÓN'!$A$17:$A$19</c:f>
              <c:strCache>
                <c:ptCount val="3"/>
                <c:pt idx="0">
                  <c:v>Enero-Marzo</c:v>
                </c:pt>
                <c:pt idx="1">
                  <c:v>Abril Junio</c:v>
                </c:pt>
                <c:pt idx="2">
                  <c:v>Julio-Septiembre</c:v>
                </c:pt>
              </c:strCache>
            </c:strRef>
          </c:cat>
          <c:val>
            <c:numRef>
              <c:f>'INDICADORES GESTIÓN'!$G$17:$G$19</c:f>
              <c:numCache>
                <c:formatCode>0%</c:formatCode>
                <c:ptCount val="3"/>
                <c:pt idx="0">
                  <c:v>0.86</c:v>
                </c:pt>
                <c:pt idx="1">
                  <c:v>0.92</c:v>
                </c:pt>
                <c:pt idx="2">
                  <c:v>0.8</c:v>
                </c:pt>
              </c:numCache>
            </c:numRef>
          </c:val>
          <c:extLst>
            <c:ext xmlns:c16="http://schemas.microsoft.com/office/drawing/2014/chart" uri="{C3380CC4-5D6E-409C-BE32-E72D297353CC}">
              <c16:uniqueId val="{00000001-B8A6-46AA-AA1F-C35A444D46E8}"/>
            </c:ext>
          </c:extLst>
        </c:ser>
        <c:dLbls>
          <c:showLegendKey val="0"/>
          <c:showVal val="0"/>
          <c:showCatName val="0"/>
          <c:showSerName val="0"/>
          <c:showPercent val="0"/>
          <c:showBubbleSize val="0"/>
        </c:dLbls>
        <c:gapWidth val="200"/>
        <c:overlap val="40"/>
        <c:axId val="1869964016"/>
        <c:axId val="1869966736"/>
      </c:barChart>
      <c:catAx>
        <c:axId val="186996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869966736"/>
        <c:crosses val="autoZero"/>
        <c:auto val="1"/>
        <c:lblAlgn val="ctr"/>
        <c:lblOffset val="100"/>
        <c:noMultiLvlLbl val="0"/>
      </c:catAx>
      <c:valAx>
        <c:axId val="1869966736"/>
        <c:scaling>
          <c:orientation val="minMax"/>
          <c:max val="0.92500000000000004"/>
          <c:min val="0.7500000000000001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86996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baseline="0">
                <a:solidFill>
                  <a:schemeClr val="dk1">
                    <a:lumMod val="65000"/>
                    <a:lumOff val="35000"/>
                  </a:schemeClr>
                </a:solidFill>
                <a:effectLst/>
                <a:latin typeface="+mn-lt"/>
                <a:ea typeface="+mn-ea"/>
                <a:cs typeface="+mn-cs"/>
              </a:defRPr>
            </a:pPr>
            <a:r>
              <a:rPr lang="en-US" sz="1400" b="0"/>
              <a:t>Calificaciones</a:t>
            </a:r>
            <a:r>
              <a:rPr lang="en-US" sz="1400" b="0" baseline="0"/>
              <a:t> del Indicador SISCOMPRAS</a:t>
            </a:r>
          </a:p>
          <a:p>
            <a:pPr>
              <a:defRPr sz="1400"/>
            </a:pPr>
            <a:r>
              <a:rPr lang="en-US" sz="1200" b="0" baseline="0"/>
              <a:t>ENERO-DICIEMBRE 2025 </a:t>
            </a:r>
            <a:endParaRPr lang="en-US" sz="1200" b="0"/>
          </a:p>
        </c:rich>
      </c:tx>
      <c:overlay val="0"/>
      <c:spPr>
        <a:noFill/>
        <a:ln>
          <a:noFill/>
        </a:ln>
        <a:effectLst/>
      </c:spPr>
      <c:txPr>
        <a:bodyPr rot="0" spcFirstLastPara="1" vertOverflow="ellipsis" vert="horz" wrap="square" anchor="ctr" anchorCtr="1"/>
        <a:lstStyle/>
        <a:p>
          <a:pPr>
            <a:defRPr sz="1400" b="0" i="0" u="none" strike="noStrike" kern="1200" baseline="0">
              <a:solidFill>
                <a:schemeClr val="dk1">
                  <a:lumMod val="65000"/>
                  <a:lumOff val="35000"/>
                </a:schemeClr>
              </a:solidFill>
              <a:effectLst/>
              <a:latin typeface="+mn-lt"/>
              <a:ea typeface="+mn-ea"/>
              <a:cs typeface="+mn-cs"/>
            </a:defRPr>
          </a:pPr>
          <a:endParaRPr lang="es-DO"/>
        </a:p>
      </c:txPr>
    </c:title>
    <c:autoTitleDeleted val="0"/>
    <c:plotArea>
      <c:layout/>
      <c:barChart>
        <c:barDir val="col"/>
        <c:grouping val="clustered"/>
        <c:varyColors val="0"/>
        <c:ser>
          <c:idx val="0"/>
          <c:order val="0"/>
          <c:tx>
            <c:strRef>
              <c:f>Hoja1!$B$23</c:f>
              <c:strCache>
                <c:ptCount val="1"/>
                <c:pt idx="0">
                  <c:v>CALIFICACIÓN</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Hoja1!$A$24:$A$27</c:f>
              <c:strCache>
                <c:ptCount val="4"/>
                <c:pt idx="0">
                  <c:v>ENERO-MARZO</c:v>
                </c:pt>
                <c:pt idx="1">
                  <c:v>ABRIL-JUNIO</c:v>
                </c:pt>
                <c:pt idx="2">
                  <c:v>JULIO-SEPTIEMBRE</c:v>
                </c:pt>
                <c:pt idx="3">
                  <c:v>OCTUBRE- DICIEMBRE</c:v>
                </c:pt>
              </c:strCache>
            </c:strRef>
          </c:cat>
          <c:val>
            <c:numRef>
              <c:f>Hoja1!$B$24:$B$27</c:f>
              <c:numCache>
                <c:formatCode>0%</c:formatCode>
                <c:ptCount val="4"/>
                <c:pt idx="0">
                  <c:v>0.74</c:v>
                </c:pt>
                <c:pt idx="1">
                  <c:v>0.88</c:v>
                </c:pt>
                <c:pt idx="2">
                  <c:v>0.85</c:v>
                </c:pt>
                <c:pt idx="3">
                  <c:v>0.8</c:v>
                </c:pt>
              </c:numCache>
            </c:numRef>
          </c:val>
          <c:extLst>
            <c:ext xmlns:c16="http://schemas.microsoft.com/office/drawing/2014/chart" uri="{C3380CC4-5D6E-409C-BE32-E72D297353CC}">
              <c16:uniqueId val="{00000000-4375-4679-A746-F4A6C8579941}"/>
            </c:ext>
          </c:extLst>
        </c:ser>
        <c:dLbls>
          <c:dLblPos val="inEnd"/>
          <c:showLegendKey val="0"/>
          <c:showVal val="1"/>
          <c:showCatName val="0"/>
          <c:showSerName val="0"/>
          <c:showPercent val="0"/>
          <c:showBubbleSize val="0"/>
        </c:dLbls>
        <c:gapWidth val="41"/>
        <c:axId val="1869966192"/>
        <c:axId val="1869960752"/>
      </c:barChart>
      <c:catAx>
        <c:axId val="1869966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effectLst/>
                <a:latin typeface="+mn-lt"/>
                <a:ea typeface="+mn-ea"/>
                <a:cs typeface="+mn-cs"/>
              </a:defRPr>
            </a:pPr>
            <a:endParaRPr lang="es-DO"/>
          </a:p>
        </c:txPr>
        <c:crossAx val="1869960752"/>
        <c:crosses val="autoZero"/>
        <c:auto val="1"/>
        <c:lblAlgn val="ctr"/>
        <c:lblOffset val="100"/>
        <c:noMultiLvlLbl val="0"/>
      </c:catAx>
      <c:valAx>
        <c:axId val="1869960752"/>
        <c:scaling>
          <c:orientation val="minMax"/>
        </c:scaling>
        <c:delete val="1"/>
        <c:axPos val="l"/>
        <c:numFmt formatCode="0%" sourceLinked="1"/>
        <c:majorTickMark val="none"/>
        <c:minorTickMark val="none"/>
        <c:tickLblPos val="nextTo"/>
        <c:crossAx val="186996619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Gráfico Porcentual según año de la Puntuación del Índice de Evaluación Institucional EDI-MOPC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Hoja2!$B$16</c:f>
              <c:strCache>
                <c:ptCount val="1"/>
                <c:pt idx="0">
                  <c:v>CALIFICACIÓN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2"/>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Hoja2!$A$17:$A$19</c:f>
              <c:numCache>
                <c:formatCode>General</c:formatCode>
                <c:ptCount val="3"/>
                <c:pt idx="0">
                  <c:v>2023</c:v>
                </c:pt>
                <c:pt idx="1">
                  <c:v>2024</c:v>
                </c:pt>
                <c:pt idx="2">
                  <c:v>2025</c:v>
                </c:pt>
              </c:numCache>
            </c:numRef>
          </c:cat>
          <c:val>
            <c:numRef>
              <c:f>Hoja2!$B$17:$B$19</c:f>
              <c:numCache>
                <c:formatCode>General</c:formatCode>
                <c:ptCount val="3"/>
                <c:pt idx="0">
                  <c:v>68</c:v>
                </c:pt>
                <c:pt idx="1">
                  <c:v>76</c:v>
                </c:pt>
                <c:pt idx="2">
                  <c:v>72</c:v>
                </c:pt>
              </c:numCache>
            </c:numRef>
          </c:val>
          <c:extLst>
            <c:ext xmlns:c16="http://schemas.microsoft.com/office/drawing/2014/chart" uri="{C3380CC4-5D6E-409C-BE32-E72D297353CC}">
              <c16:uniqueId val="{00000000-F1EB-40A6-95CE-48727121DAE8}"/>
            </c:ext>
          </c:extLst>
        </c:ser>
        <c:dLbls>
          <c:dLblPos val="inEnd"/>
          <c:showLegendKey val="0"/>
          <c:showVal val="1"/>
          <c:showCatName val="0"/>
          <c:showSerName val="0"/>
          <c:showPercent val="0"/>
          <c:showBubbleSize val="0"/>
        </c:dLbls>
        <c:gapWidth val="100"/>
        <c:overlap val="-24"/>
        <c:axId val="1869961296"/>
        <c:axId val="1869961840"/>
      </c:barChart>
      <c:catAx>
        <c:axId val="18699612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s-DO"/>
          </a:p>
        </c:txPr>
        <c:crossAx val="1869961840"/>
        <c:crosses val="autoZero"/>
        <c:auto val="1"/>
        <c:lblAlgn val="ctr"/>
        <c:lblOffset val="100"/>
        <c:noMultiLvlLbl val="0"/>
      </c:catAx>
      <c:valAx>
        <c:axId val="18699618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1869961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DO"/>
              <a:t>MONTO RD$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1719885258841423"/>
          <c:y val="0.1188294314381271"/>
          <c:w val="0.85590628188591344"/>
          <c:h val="0.49708187396307901"/>
        </c:manualLayout>
      </c:layout>
      <c:barChart>
        <c:barDir val="col"/>
        <c:grouping val="clustered"/>
        <c:varyColors val="0"/>
        <c:ser>
          <c:idx val="0"/>
          <c:order val="0"/>
          <c:tx>
            <c:strRef>
              <c:f>'[Memoria Año 2025, al 12-12-2025.xls]Memoria Año 2025, al 12-12-2025'!$H$11</c:f>
              <c:strCache>
                <c:ptCount val="1"/>
                <c:pt idx="0">
                  <c:v>MONTO </c:v>
                </c:pt>
              </c:strCache>
            </c:strRef>
          </c:tx>
          <c:spPr>
            <a:solidFill>
              <a:srgbClr val="0070C0"/>
            </a:solidFill>
            <a:ln>
              <a:noFill/>
            </a:ln>
            <a:effectLst/>
          </c:spPr>
          <c:invertIfNegative val="0"/>
          <c:dLbls>
            <c:dLbl>
              <c:idx val="4"/>
              <c:layout>
                <c:manualLayout>
                  <c:x val="0"/>
                  <c:y val="-8.000000000000000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AD-454E-9B52-1C89F463B6A2}"/>
                </c:ext>
              </c:extLst>
            </c:dLbl>
            <c:spPr>
              <a:noFill/>
              <a:ln>
                <a:noFill/>
              </a:ln>
              <a:effectLst/>
            </c:spPr>
            <c:txPr>
              <a:bodyPr rot="-5400000" spcFirstLastPara="1" vertOverflow="clip" horzOverflow="clip" vert="horz" wrap="square" lIns="38100" tIns="19050" rIns="38100" bIns="19050" anchor="ctr" anchorCtr="1">
                <a:spAutoFit/>
              </a:bodyPr>
              <a:lstStyle/>
              <a:p>
                <a:pPr>
                  <a:defRPr sz="800" b="1"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'[Memoria Año 2025, al 12-12-2025.xls]Memoria Año 2025, al 12-12-2025'!$G$12:$G$19</c:f>
              <c:strCache>
                <c:ptCount val="8"/>
                <c:pt idx="0">
                  <c:v>REMUNERACIONES Y GRATIFICACIONES</c:v>
                </c:pt>
                <c:pt idx="1">
                  <c:v>CONTRATACION DE SERVICIOS</c:v>
                </c:pt>
                <c:pt idx="2">
                  <c:v>MATERIEALES Y SUMINISTROS</c:v>
                </c:pt>
                <c:pt idx="3">
                  <c:v>TRANSFERENCIAS CORRIENTES</c:v>
                </c:pt>
                <c:pt idx="4">
                  <c:v>TRANSFERENCIAS DE CAPITAL</c:v>
                </c:pt>
                <c:pt idx="5">
                  <c:v>BIENES MUEBLES, INMUEBLES E INTANGIBLES</c:v>
                </c:pt>
                <c:pt idx="6">
                  <c:v>OBRAS</c:v>
                </c:pt>
                <c:pt idx="7">
                  <c:v>TOTAL GENERAL</c:v>
                </c:pt>
              </c:strCache>
            </c:strRef>
          </c:cat>
          <c:val>
            <c:numRef>
              <c:f>'[Memoria Año 2025, al 12-12-2025.xls]Memoria Año 2025, al 12-12-2025'!$H$12:$H$19</c:f>
              <c:numCache>
                <c:formatCode>#,##0.00</c:formatCode>
                <c:ptCount val="8"/>
                <c:pt idx="0">
                  <c:v>4551608161.6099997</c:v>
                </c:pt>
                <c:pt idx="1">
                  <c:v>1304537108.1400001</c:v>
                </c:pt>
                <c:pt idx="2">
                  <c:v>3392714811.9200001</c:v>
                </c:pt>
                <c:pt idx="3">
                  <c:v>3935635972.4899998</c:v>
                </c:pt>
                <c:pt idx="4">
                  <c:v>1453413972.74</c:v>
                </c:pt>
                <c:pt idx="5">
                  <c:v>1009359470.8200001</c:v>
                </c:pt>
                <c:pt idx="6">
                  <c:v>39107238508.040001</c:v>
                </c:pt>
                <c:pt idx="7" formatCode="_(* #,##0.00_);_(* \(#,##0.00\);_(* &quot;-&quot;??_);_(@_)">
                  <c:v>54754508005.760002</c:v>
                </c:pt>
              </c:numCache>
            </c:numRef>
          </c:val>
          <c:extLst>
            <c:ext xmlns:c16="http://schemas.microsoft.com/office/drawing/2014/chart" uri="{C3380CC4-5D6E-409C-BE32-E72D297353CC}">
              <c16:uniqueId val="{00000001-69AD-454E-9B52-1C89F463B6A2}"/>
            </c:ext>
          </c:extLst>
        </c:ser>
        <c:dLbls>
          <c:dLblPos val="outEnd"/>
          <c:showLegendKey val="0"/>
          <c:showVal val="1"/>
          <c:showCatName val="0"/>
          <c:showSerName val="0"/>
          <c:showPercent val="0"/>
          <c:showBubbleSize val="0"/>
        </c:dLbls>
        <c:gapWidth val="444"/>
        <c:overlap val="-90"/>
        <c:axId val="1869967280"/>
        <c:axId val="1869968368"/>
      </c:barChart>
      <c:catAx>
        <c:axId val="1869967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1869968368"/>
        <c:crosses val="autoZero"/>
        <c:auto val="1"/>
        <c:lblAlgn val="ctr"/>
        <c:lblOffset val="100"/>
        <c:noMultiLvlLbl val="0"/>
      </c:catAx>
      <c:valAx>
        <c:axId val="1869968368"/>
        <c:scaling>
          <c:orientation val="minMax"/>
        </c:scaling>
        <c:delete val="1"/>
        <c:axPos val="l"/>
        <c:numFmt formatCode="#,##0.00" sourceLinked="1"/>
        <c:majorTickMark val="none"/>
        <c:minorTickMark val="none"/>
        <c:tickLblPos val="nextTo"/>
        <c:crossAx val="186996728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8">
  <a:schemeClr val="accent5"/>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withinLinearReversed" id="25">
  <a:schemeClr val="accent5"/>
</cs:colorStyle>
</file>

<file path=word/charts/colors14.xml><?xml version="1.0" encoding="utf-8"?>
<cs:colorStyle xmlns:cs="http://schemas.microsoft.com/office/drawing/2012/chartStyle" xmlns:a="http://schemas.openxmlformats.org/drawingml/2006/main" meth="withinLinearReversed" id="21">
  <a:schemeClr val="accent1"/>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7F79B-1246-48EE-AECF-091539FAD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204</Pages>
  <Words>37160</Words>
  <Characters>211815</Characters>
  <Application>Microsoft Office Word</Application>
  <DocSecurity>0</DocSecurity>
  <Lines>1765</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jodomofo .</dc:creator>
  <cp:keywords/>
  <dc:description/>
  <cp:lastModifiedBy>jodomofo .</cp:lastModifiedBy>
  <cp:revision>25</cp:revision>
  <dcterms:created xsi:type="dcterms:W3CDTF">2025-12-23T16:39:00Z</dcterms:created>
  <dcterms:modified xsi:type="dcterms:W3CDTF">2025-12-23T22:30:00Z</dcterms:modified>
</cp:coreProperties>
</file>