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4.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2.xml" ContentType="application/vnd.openxmlformats-officedocument.wordprocessingml.header+xml"/>
  <Override PartName="/word/footer5.xml" ContentType="application/vnd.openxmlformats-officedocument.wordprocessingml.footer+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6942D4">
      <w:pPr>
        <w:ind w:left="720" w:hanging="720"/>
        <w:rPr>
          <w:lang w:val="es-DO"/>
        </w:rPr>
      </w:pPr>
      <w:r w:rsidRPr="002B4451">
        <w:rPr>
          <w:noProof/>
        </w:rPr>
        <w:drawing>
          <wp:anchor distT="0" distB="0" distL="114300" distR="114300" simplePos="0" relativeHeight="251658243" behindDoc="0" locked="0" layoutInCell="1" allowOverlap="1" wp14:anchorId="3F0A51DA" wp14:editId="0D9277B5">
            <wp:simplePos x="0" y="0"/>
            <wp:positionH relativeFrom="margin">
              <wp:align>center</wp:align>
            </wp:positionH>
            <wp:positionV relativeFrom="paragraph">
              <wp:posOffset>183515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8247" behindDoc="0" locked="0" layoutInCell="1" allowOverlap="1" wp14:anchorId="49B1C421" wp14:editId="17B4288A">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166732D1" w:rsidR="004F2DD5" w:rsidRPr="003A47C9" w:rsidRDefault="00EE47D5" w:rsidP="004F2DD5">
      <w:r>
        <w:rPr>
          <w:noProof/>
          <w:lang w:val="es-DO"/>
        </w:rPr>
        <w:drawing>
          <wp:anchor distT="0" distB="0" distL="114300" distR="114300" simplePos="0" relativeHeight="251658259" behindDoc="0" locked="0" layoutInCell="1" allowOverlap="1" wp14:anchorId="36164FCF" wp14:editId="770F998F">
            <wp:simplePos x="0" y="0"/>
            <wp:positionH relativeFrom="column">
              <wp:posOffset>3400425</wp:posOffset>
            </wp:positionH>
            <wp:positionV relativeFrom="paragraph">
              <wp:posOffset>5195570</wp:posOffset>
            </wp:positionV>
            <wp:extent cx="1420495" cy="548640"/>
            <wp:effectExtent l="0" t="0" r="8255" b="381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0495" cy="548640"/>
                    </a:xfrm>
                    <a:prstGeom prst="rect">
                      <a:avLst/>
                    </a:prstGeom>
                    <a:noFill/>
                  </pic:spPr>
                </pic:pic>
              </a:graphicData>
            </a:graphic>
          </wp:anchor>
        </w:drawing>
      </w:r>
      <w:r>
        <w:rPr>
          <w:noProof/>
        </w:rPr>
        <mc:AlternateContent>
          <mc:Choice Requires="wpg">
            <w:drawing>
              <wp:anchor distT="0" distB="0" distL="114300" distR="114300" simplePos="0" relativeHeight="251658256" behindDoc="0" locked="0" layoutInCell="1" allowOverlap="1" wp14:anchorId="22E2C515" wp14:editId="153A93DB">
                <wp:simplePos x="0" y="0"/>
                <wp:positionH relativeFrom="margin">
                  <wp:align>left</wp:align>
                </wp:positionH>
                <wp:positionV relativeFrom="paragraph">
                  <wp:posOffset>4898390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7" style="position:absolute;margin-left:0;margin-top:385.7pt;width:199pt;height:79.2pt;z-index:251658256;mso-position-horizontal:left;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w10:wrap anchorx="margin"/>
              </v:group>
            </w:pict>
          </mc:Fallback>
        </mc:AlternateContent>
      </w:r>
      <w:r w:rsidRPr="002B4451">
        <w:rPr>
          <w:noProof/>
        </w:rPr>
        <mc:AlternateContent>
          <mc:Choice Requires="wps">
            <w:drawing>
              <wp:anchor distT="0" distB="0" distL="114300" distR="114300" simplePos="0" relativeHeight="251658246" behindDoc="0" locked="0" layoutInCell="1" allowOverlap="1" wp14:anchorId="6B2EB822" wp14:editId="27B49B11">
                <wp:simplePos x="0" y="0"/>
                <wp:positionH relativeFrom="margin">
                  <wp:align>center</wp:align>
                </wp:positionH>
                <wp:positionV relativeFrom="paragraph">
                  <wp:posOffset>2795270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626624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450F91">
                              <w:rPr>
                                <w:b/>
                                <w:bCs/>
                                <w:color w:val="D5B788"/>
                                <w:spacing w:val="68"/>
                                <w:kern w:val="24"/>
                                <w:sz w:val="28"/>
                                <w:szCs w:val="28"/>
                              </w:rPr>
                              <w:t>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0;margin-top:220.1pt;width:95.35pt;height:24.3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" filled="f" stroked="f">
                <v:textbox inset="0,1pt,0,0">
                  <w:txbxContent>
                    <w:p w14:paraId="50ABDE0F" w14:textId="4626624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450F91">
                        <w:rPr>
                          <w:b/>
                          <w:bCs/>
                          <w:color w:val="D5B788"/>
                          <w:spacing w:val="68"/>
                          <w:kern w:val="24"/>
                          <w:sz w:val="28"/>
                          <w:szCs w:val="28"/>
                        </w:rPr>
                        <w:t>5</w:t>
                      </w:r>
                    </w:p>
                  </w:txbxContent>
                </v:textbox>
                <w10:wrap anchorx="margin"/>
              </v:shape>
            </w:pict>
          </mc:Fallback>
        </mc:AlternateContent>
      </w:r>
      <w:r>
        <w:rPr>
          <w:noProof/>
        </w:rPr>
        <mc:AlternateContent>
          <mc:Choice Requires="wps">
            <w:drawing>
              <wp:anchor distT="4294967295" distB="4294967295" distL="114300" distR="114300" simplePos="0" relativeHeight="251658252" behindDoc="0" locked="0" layoutInCell="1" allowOverlap="1" wp14:anchorId="209AF3DE" wp14:editId="26745304">
                <wp:simplePos x="0" y="0"/>
                <wp:positionH relativeFrom="margin">
                  <wp:align>center</wp:align>
                </wp:positionH>
                <wp:positionV relativeFrom="paragraph">
                  <wp:posOffset>2526030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1B131A" id="Straight Connector 9"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8.9pt" to="36.5pt,1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8244" behindDoc="0" locked="0" layoutInCell="1" allowOverlap="1" wp14:anchorId="0C109D41" wp14:editId="19F1D63E">
                <wp:simplePos x="0" y="0"/>
                <wp:positionH relativeFrom="margin">
                  <wp:align>center</wp:align>
                </wp:positionH>
                <wp:positionV relativeFrom="paragraph">
                  <wp:posOffset>1319530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0;margin-top:103.9pt;width:453.45pt;height:77.6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Pr>
          <w:noProof/>
        </w:rPr>
        <mc:AlternateContent>
          <mc:Choice Requires="wps">
            <w:drawing>
              <wp:anchor distT="0" distB="0" distL="114300" distR="114300" simplePos="0" relativeHeight="251658251"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9AE74E" id="Freeform: Shape 44" o:spid="_x0000_s1026" style="position:absolute;margin-left:371.65pt;margin-top:699.75pt;width:42.75pt;height:40.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4D0365DA" w:rsidR="004F2DD5" w:rsidRPr="003A47C9" w:rsidRDefault="004F2DD5" w:rsidP="004F2DD5"/>
    <w:p w14:paraId="17B5E9DF" w14:textId="0F357E24" w:rsidR="008D7F4E" w:rsidRPr="002B4451" w:rsidRDefault="008D7F4E" w:rsidP="008D7F4E">
      <w:pPr>
        <w:rPr>
          <w:lang w:val="es-DO"/>
        </w:rPr>
      </w:pPr>
      <w:r w:rsidRPr="002B4451">
        <w:rPr>
          <w:lang w:val="es-DO"/>
        </w:rPr>
        <w:lastRenderedPageBreak/>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r w:rsidRPr="002B4451">
        <w:rPr>
          <w:lang w:val="es-DO"/>
        </w:rPr>
        <w:tab/>
      </w:r>
    </w:p>
    <w:p w14:paraId="38D9CF2E" w14:textId="141B6574"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62BC02A2" w:rsidR="008D7F4E" w:rsidRDefault="008D7F4E" w:rsidP="008D7F4E">
      <w:pPr>
        <w:rPr>
          <w:lang w:val="es-DO"/>
        </w:rPr>
      </w:pPr>
    </w:p>
    <w:p w14:paraId="61BDE8ED" w14:textId="77777777" w:rsidR="009A5996" w:rsidRPr="002B4451" w:rsidRDefault="009A5996"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58242" behindDoc="0" locked="0" layoutInCell="1" allowOverlap="1" wp14:anchorId="611EEDAC" wp14:editId="7A9BE3A1">
                <wp:simplePos x="0" y="0"/>
                <wp:positionH relativeFrom="margin">
                  <wp:align>left</wp:align>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15.9pt;width:453.45pt;height:77.6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&#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5825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58253" behindDoc="0" locked="0" layoutInCell="1" allowOverlap="1" wp14:anchorId="4E0C23B7" wp14:editId="5DF12794">
                <wp:simplePos x="0" y="0"/>
                <wp:positionH relativeFrom="margin">
                  <wp:posOffset>2545715</wp:posOffset>
                </wp:positionH>
                <wp:positionV relativeFrom="paragraph">
                  <wp:posOffset>131445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9AF94E2" id="Straight Connector 22" o:spid="_x0000_s1026" style="position:absolute;z-index:25165825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0.45pt,10.35pt" to="236.9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58249" behindDoc="0" locked="0" layoutInCell="1" allowOverlap="1" wp14:anchorId="65361376" wp14:editId="4E513DFD">
                <wp:simplePos x="0" y="0"/>
                <wp:positionH relativeFrom="column">
                  <wp:posOffset>2179955</wp:posOffset>
                </wp:positionH>
                <wp:positionV relativeFrom="paragraph">
                  <wp:posOffset>92710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6B1F44A0"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450F91">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71.65pt;margin-top:7.3pt;width:95.65pt;height:24.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" filled="f" stroked="f">
                <v:textbox inset="0,1pt,0,0">
                  <w:txbxContent>
                    <w:p w14:paraId="6B362718" w14:textId="6B1F44A0"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450F91">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53A8BB1C" w:rsidR="00B45B38" w:rsidRDefault="00FE55BE" w:rsidP="00B45B38">
      <w:pPr>
        <w:tabs>
          <w:tab w:val="left" w:pos="5229"/>
        </w:tabs>
        <w:jc w:val="center"/>
        <w:rPr>
          <w:lang w:val="es-DO"/>
        </w:rPr>
      </w:pPr>
      <w:r>
        <w:rPr>
          <w:noProof/>
        </w:rPr>
        <mc:AlternateContent>
          <mc:Choice Requires="wpg">
            <w:drawing>
              <wp:anchor distT="0" distB="0" distL="114300" distR="114300" simplePos="0" relativeHeight="251658261" behindDoc="0" locked="0" layoutInCell="1" allowOverlap="1" wp14:anchorId="668AD27C" wp14:editId="53FAF296">
                <wp:simplePos x="0" y="0"/>
                <wp:positionH relativeFrom="margin">
                  <wp:posOffset>-635</wp:posOffset>
                </wp:positionH>
                <wp:positionV relativeFrom="paragraph">
                  <wp:posOffset>2540</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left:0;text-align:left;margin-left:-.05pt;margin-top:.2pt;width:199pt;height:79.2pt;z-index:251658261;mso-position-horizontal-relative:margin;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4" o:title="Icon&#10;&#10;Description automatically generated"/>
                  </v:shape>
                </v:group>
                <w10:wrap anchorx="margin"/>
              </v:group>
            </w:pict>
          </mc:Fallback>
        </mc:AlternateContent>
      </w:r>
    </w:p>
    <w:p w14:paraId="6B439D31" w14:textId="6E995474" w:rsidR="00B45B38" w:rsidRDefault="00FE55BE" w:rsidP="008D7F4E">
      <w:pPr>
        <w:tabs>
          <w:tab w:val="left" w:pos="5229"/>
        </w:tabs>
        <w:rPr>
          <w:lang w:val="es-DO"/>
        </w:rPr>
      </w:pPr>
      <w:r>
        <w:rPr>
          <w:noProof/>
          <w:lang w:val="es-DO"/>
        </w:rPr>
        <w:drawing>
          <wp:anchor distT="0" distB="0" distL="114300" distR="114300" simplePos="0" relativeHeight="251658260" behindDoc="0" locked="0" layoutInCell="1" allowOverlap="1" wp14:anchorId="43E9A341" wp14:editId="44276DFE">
            <wp:simplePos x="0" y="0"/>
            <wp:positionH relativeFrom="margin">
              <wp:align>right</wp:align>
            </wp:positionH>
            <wp:positionV relativeFrom="paragraph">
              <wp:posOffset>9525</wp:posOffset>
            </wp:positionV>
            <wp:extent cx="1420495" cy="548640"/>
            <wp:effectExtent l="0" t="0" r="8255" b="381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0495" cy="548640"/>
                    </a:xfrm>
                    <a:prstGeom prst="rect">
                      <a:avLst/>
                    </a:prstGeom>
                    <a:noFill/>
                  </pic:spPr>
                </pic:pic>
              </a:graphicData>
            </a:graphic>
          </wp:anchor>
        </w:drawing>
      </w:r>
    </w:p>
    <w:p w14:paraId="31E2FE32" w14:textId="2317FF3C"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6C3E8713" w14:textId="043AA35F"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58250" behindDoc="0" locked="0" layoutInCell="1" allowOverlap="1" wp14:anchorId="1E07F231" wp14:editId="487D64D7">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96E17" id="Straight Connector 18" o:spid="_x0000_s1026" style="position:absolute;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p w14:paraId="35D0C59C" w14:textId="2AD5F9AC"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w:t>
      </w:r>
      <w:r w:rsidR="00450F91">
        <w:rPr>
          <w:color w:val="4C4747"/>
          <w:lang w:val="es-DO"/>
        </w:rPr>
        <w:t>5</w:t>
      </w:r>
    </w:p>
    <w:sdt>
      <w:sdtPr>
        <w:rPr>
          <w:rFonts w:asciiTheme="minorHAnsi" w:eastAsiaTheme="minorEastAsia" w:hAnsiTheme="minorHAnsi" w:cs="Times New Roman"/>
          <w:color w:val="auto"/>
          <w:spacing w:val="0"/>
          <w:sz w:val="22"/>
          <w:szCs w:val="22"/>
          <w:lang w:val="es-ES" w:eastAsia="es-MX"/>
        </w:rPr>
        <w:id w:val="-800455670"/>
        <w:docPartObj>
          <w:docPartGallery w:val="Table of Contents"/>
          <w:docPartUnique/>
        </w:docPartObj>
      </w:sdtPr>
      <w:sdtContent>
        <w:p w14:paraId="3ED7F753" w14:textId="592E8F2F" w:rsidR="00EB6B2F" w:rsidRPr="00EB6B2F" w:rsidRDefault="00EB6B2F">
          <w:pPr>
            <w:pStyle w:val="TtuloTDC"/>
            <w:rPr>
              <w:lang w:val="es-MX"/>
            </w:rPr>
          </w:pPr>
          <w:r w:rsidRPr="00EB6B2F">
            <w:rPr>
              <w:rFonts w:ascii="Times New Roman" w:eastAsiaTheme="minorHAnsi" w:hAnsi="Times New Roman" w:cs="Times New Roman"/>
              <w:b/>
              <w:bCs/>
              <w:color w:val="767171"/>
              <w:sz w:val="24"/>
              <w:szCs w:val="24"/>
              <w:lang w:val="es-ES"/>
            </w:rPr>
            <w:t>INDICE</w:t>
          </w:r>
          <w:r>
            <w:rPr>
              <w:lang w:val="es-ES"/>
            </w:rPr>
            <w:t xml:space="preserve"> </w:t>
          </w:r>
          <w:r w:rsidRPr="00EB6B2F">
            <w:rPr>
              <w:rFonts w:ascii="Times New Roman" w:eastAsiaTheme="minorHAnsi" w:hAnsi="Times New Roman" w:cs="Times New Roman"/>
              <w:b/>
              <w:bCs/>
              <w:color w:val="767171"/>
              <w:sz w:val="24"/>
              <w:szCs w:val="24"/>
              <w:lang w:val="es-ES"/>
            </w:rPr>
            <w:t>DE CONTENIDO</w:t>
          </w:r>
        </w:p>
        <w:p w14:paraId="790319DB" w14:textId="77777777" w:rsidR="00EB6B2F" w:rsidRPr="00EB6B2F" w:rsidRDefault="00EB6B2F" w:rsidP="00EB6B2F">
          <w:pPr>
            <w:pStyle w:val="TDC1"/>
            <w:rPr>
              <w:b/>
              <w:bCs/>
            </w:rPr>
          </w:pPr>
        </w:p>
        <w:p w14:paraId="49A6D09C" w14:textId="77777777" w:rsidR="00EB6B2F" w:rsidRPr="00EB6B2F" w:rsidRDefault="00EB6B2F" w:rsidP="00EB6B2F">
          <w:pPr>
            <w:pStyle w:val="TDC1"/>
            <w:rPr>
              <w:b/>
              <w:bCs/>
            </w:rPr>
          </w:pPr>
          <w:r w:rsidRPr="00EB6B2F">
            <w:rPr>
              <w:b/>
              <w:bCs/>
            </w:rPr>
            <w:t>PRESENTACION</w:t>
          </w:r>
        </w:p>
        <w:p w14:paraId="024C8254" w14:textId="77777777" w:rsidR="00EB6B2F" w:rsidRPr="00EB6B2F" w:rsidRDefault="00EB6B2F" w:rsidP="00EB6B2F">
          <w:pPr>
            <w:pStyle w:val="TDC1"/>
            <w:rPr>
              <w:b/>
              <w:bCs/>
            </w:rPr>
          </w:pPr>
        </w:p>
        <w:p w14:paraId="12339D27" w14:textId="77777777" w:rsidR="00EB6B2F" w:rsidRPr="00EB6B2F" w:rsidRDefault="00EB6B2F" w:rsidP="00EB6B2F">
          <w:pPr>
            <w:pStyle w:val="TDC1"/>
            <w:rPr>
              <w:b/>
              <w:bCs/>
            </w:rPr>
          </w:pPr>
          <w:r w:rsidRPr="00EB6B2F">
            <w:rPr>
              <w:b/>
              <w:bCs/>
            </w:rPr>
            <w:t>I.RESUMEN EJECUTIVO</w:t>
          </w:r>
        </w:p>
        <w:p w14:paraId="2BF8B870" w14:textId="77777777" w:rsidR="00EB6B2F" w:rsidRPr="00EB6B2F" w:rsidRDefault="00EB6B2F" w:rsidP="00EB6B2F">
          <w:pPr>
            <w:pStyle w:val="TDC1"/>
            <w:rPr>
              <w:b/>
              <w:bCs/>
            </w:rPr>
          </w:pPr>
          <w:r w:rsidRPr="00EB6B2F">
            <w:rPr>
              <w:b/>
              <w:bCs/>
            </w:rPr>
            <w:t>II. INFORMACION INSTITUCIONAL</w:t>
          </w:r>
        </w:p>
        <w:p w14:paraId="036BE1AC" w14:textId="77777777" w:rsidR="00EB6B2F" w:rsidRDefault="00EB6B2F" w:rsidP="00EB6B2F">
          <w:pPr>
            <w:pStyle w:val="TDC1"/>
          </w:pPr>
          <w:r w:rsidRPr="00EB6B2F">
            <w:t>2.1 Marco filosófico institucional</w:t>
          </w:r>
        </w:p>
        <w:p w14:paraId="008B35D9" w14:textId="608BBFB3" w:rsidR="00EB6B2F" w:rsidRDefault="00EB6B2F" w:rsidP="00EB6B2F">
          <w:pPr>
            <w:rPr>
              <w:lang w:val="es-MX"/>
            </w:rPr>
          </w:pPr>
          <w:r>
            <w:rPr>
              <w:lang w:val="es-MX"/>
            </w:rPr>
            <w:tab/>
            <w:t>a. Misión</w:t>
          </w:r>
        </w:p>
        <w:p w14:paraId="1323563C" w14:textId="2B8F6E15" w:rsidR="00EB6B2F" w:rsidRDefault="00EB6B2F" w:rsidP="00EB6B2F">
          <w:pPr>
            <w:rPr>
              <w:lang w:val="es-MX"/>
            </w:rPr>
          </w:pPr>
          <w:r>
            <w:rPr>
              <w:lang w:val="es-MX"/>
            </w:rPr>
            <w:tab/>
            <w:t xml:space="preserve">b. Visión </w:t>
          </w:r>
        </w:p>
        <w:p w14:paraId="48A0425B" w14:textId="6D5FE838" w:rsidR="00EB6B2F" w:rsidRPr="00EB6B2F" w:rsidRDefault="00EB6B2F" w:rsidP="00EB6B2F">
          <w:pPr>
            <w:rPr>
              <w:lang w:val="es-MX"/>
            </w:rPr>
          </w:pPr>
          <w:r>
            <w:rPr>
              <w:lang w:val="es-MX"/>
            </w:rPr>
            <w:tab/>
            <w:t>c. Valores</w:t>
          </w:r>
        </w:p>
        <w:p w14:paraId="76F28CEA" w14:textId="210B110E" w:rsidR="00EB6B2F" w:rsidRDefault="00EB6B2F" w:rsidP="00EB6B2F">
          <w:pPr>
            <w:pStyle w:val="TDC1"/>
          </w:pPr>
          <w:r w:rsidRPr="00EB6B2F">
            <w:t>2.</w:t>
          </w:r>
          <w:r>
            <w:t>2</w:t>
          </w:r>
          <w:r w:rsidRPr="00EB6B2F">
            <w:t xml:space="preserve"> </w:t>
          </w:r>
          <w:r>
            <w:t>Base legal</w:t>
          </w:r>
        </w:p>
        <w:p w14:paraId="6FEDA520" w14:textId="2E8CB259" w:rsidR="00EB6B2F" w:rsidRDefault="00EB6B2F" w:rsidP="00EB6B2F">
          <w:pPr>
            <w:rPr>
              <w:lang w:val="es-MX"/>
            </w:rPr>
          </w:pPr>
          <w:r>
            <w:rPr>
              <w:lang w:val="es-MX"/>
            </w:rPr>
            <w:t>2.3 Estructura organizativa</w:t>
          </w:r>
        </w:p>
        <w:p w14:paraId="11001701" w14:textId="17190510" w:rsidR="00EB6B2F" w:rsidRDefault="00EB6B2F" w:rsidP="00EB6B2F">
          <w:pPr>
            <w:rPr>
              <w:lang w:val="es-MX"/>
            </w:rPr>
          </w:pPr>
          <w:r>
            <w:rPr>
              <w:lang w:val="es-MX"/>
            </w:rPr>
            <w:t>2.4 Planificación estratégica institucional</w:t>
          </w:r>
        </w:p>
        <w:p w14:paraId="077CBE12" w14:textId="77777777" w:rsidR="00EB6B2F" w:rsidRPr="00EB6B2F" w:rsidRDefault="00EB6B2F" w:rsidP="00EB6B2F">
          <w:pPr>
            <w:rPr>
              <w:b/>
              <w:bCs/>
              <w:lang w:val="es-MX"/>
            </w:rPr>
          </w:pPr>
        </w:p>
        <w:p w14:paraId="743464CB" w14:textId="4007975C" w:rsidR="00EB6B2F" w:rsidRPr="00EB6B2F" w:rsidRDefault="00EB6B2F" w:rsidP="00EB6B2F">
          <w:pPr>
            <w:rPr>
              <w:b/>
              <w:bCs/>
              <w:lang w:val="es-MX"/>
            </w:rPr>
          </w:pPr>
          <w:r w:rsidRPr="00EB6B2F">
            <w:rPr>
              <w:b/>
              <w:bCs/>
              <w:lang w:val="es-MX"/>
            </w:rPr>
            <w:t>III. RESULTADOS MISIONALES</w:t>
          </w:r>
        </w:p>
        <w:p w14:paraId="6EA661B2" w14:textId="77777777" w:rsidR="00EB6B2F" w:rsidRPr="00EB6B2F" w:rsidRDefault="00EB6B2F" w:rsidP="00EB6B2F">
          <w:pPr>
            <w:rPr>
              <w:b/>
              <w:bCs/>
              <w:lang w:val="es-MX"/>
            </w:rPr>
          </w:pPr>
        </w:p>
        <w:p w14:paraId="6D65292D" w14:textId="2FFBE6EF" w:rsidR="00EB6B2F" w:rsidRPr="00EB6B2F" w:rsidRDefault="00EB6B2F" w:rsidP="00EB6B2F">
          <w:pPr>
            <w:rPr>
              <w:b/>
              <w:bCs/>
              <w:lang w:val="es-MX"/>
            </w:rPr>
          </w:pPr>
          <w:r w:rsidRPr="00EB6B2F">
            <w:rPr>
              <w:b/>
              <w:bCs/>
              <w:lang w:val="es-MX"/>
            </w:rPr>
            <w:t>IV. RESULTADOS AREAS</w:t>
          </w:r>
        </w:p>
        <w:p w14:paraId="7404AAAB" w14:textId="11C5A9AE" w:rsidR="00EB6B2F" w:rsidRPr="00EB6B2F" w:rsidRDefault="00EB6B2F" w:rsidP="00EB6B2F">
          <w:pPr>
            <w:rPr>
              <w:b/>
              <w:bCs/>
              <w:lang w:val="es-MX"/>
            </w:rPr>
          </w:pPr>
          <w:r w:rsidRPr="00EB6B2F">
            <w:rPr>
              <w:b/>
              <w:bCs/>
              <w:lang w:val="es-MX"/>
            </w:rPr>
            <w:t xml:space="preserve"> TRANSVERSALES Y DE APOYO</w:t>
          </w:r>
        </w:p>
        <w:p w14:paraId="338665E0" w14:textId="565C377F" w:rsidR="00EB6B2F" w:rsidRDefault="00EB6B2F" w:rsidP="00EB6B2F">
          <w:pPr>
            <w:spacing w:after="0" w:line="360" w:lineRule="auto"/>
            <w:rPr>
              <w:lang w:val="es-MX"/>
            </w:rPr>
          </w:pPr>
          <w:r>
            <w:rPr>
              <w:lang w:val="es-MX"/>
            </w:rPr>
            <w:t>4.1 Desempeño Área Administrativa y Financiera</w:t>
          </w:r>
        </w:p>
        <w:p w14:paraId="20E9898F" w14:textId="26B04770" w:rsidR="00EB6B2F" w:rsidRDefault="00EB6B2F" w:rsidP="00EB6B2F">
          <w:pPr>
            <w:spacing w:after="0" w:line="360" w:lineRule="auto"/>
            <w:rPr>
              <w:lang w:val="es-MX"/>
            </w:rPr>
          </w:pPr>
          <w:r>
            <w:rPr>
              <w:lang w:val="es-MX"/>
            </w:rPr>
            <w:t>4.2 Desempeño de los Recursos Humanos</w:t>
          </w:r>
          <w:r>
            <w:rPr>
              <w:lang w:val="es-MX"/>
            </w:rPr>
            <w:br/>
            <w:t>4.3 Desempeño de los Procesos Jurídicos</w:t>
          </w:r>
        </w:p>
        <w:p w14:paraId="166482BD" w14:textId="77777777" w:rsidR="00EB6B2F" w:rsidRDefault="00EB6B2F" w:rsidP="00EB6B2F">
          <w:pPr>
            <w:spacing w:after="0" w:line="360" w:lineRule="auto"/>
            <w:rPr>
              <w:lang w:val="es-MX"/>
            </w:rPr>
          </w:pPr>
          <w:r>
            <w:rPr>
              <w:lang w:val="es-MX"/>
            </w:rPr>
            <w:t>4.4 Desempeño de la Tecnología</w:t>
          </w:r>
        </w:p>
        <w:p w14:paraId="3A209BE5" w14:textId="77777777" w:rsidR="00EB6B2F" w:rsidRDefault="00EB6B2F" w:rsidP="00EB6B2F">
          <w:pPr>
            <w:spacing w:after="0" w:line="360" w:lineRule="auto"/>
            <w:rPr>
              <w:lang w:val="es-MX"/>
            </w:rPr>
          </w:pPr>
          <w:r>
            <w:rPr>
              <w:lang w:val="es-MX"/>
            </w:rPr>
            <w:t>4.5 Desempeño del Sistema de Planificación y Desarrollo</w:t>
          </w:r>
        </w:p>
        <w:p w14:paraId="166844B7" w14:textId="77777777" w:rsidR="00EB6B2F" w:rsidRDefault="00EB6B2F" w:rsidP="00EB6B2F">
          <w:pPr>
            <w:spacing w:after="0" w:line="360" w:lineRule="auto"/>
            <w:rPr>
              <w:lang w:val="es-MX"/>
            </w:rPr>
          </w:pPr>
          <w:r>
            <w:rPr>
              <w:lang w:val="es-MX"/>
            </w:rPr>
            <w:t>Institucional</w:t>
          </w:r>
        </w:p>
        <w:p w14:paraId="58A12744" w14:textId="3A2F1911" w:rsidR="00EB6B2F" w:rsidRDefault="00EB6B2F" w:rsidP="00EB6B2F">
          <w:pPr>
            <w:spacing w:line="360" w:lineRule="auto"/>
            <w:rPr>
              <w:lang w:val="es-MX"/>
            </w:rPr>
          </w:pPr>
          <w:r>
            <w:rPr>
              <w:lang w:val="es-MX"/>
            </w:rPr>
            <w:t xml:space="preserve">4.6 Desempeño del Área de Comunicaciones </w:t>
          </w:r>
        </w:p>
        <w:p w14:paraId="78230D07" w14:textId="533AF04C" w:rsidR="00EB6B2F" w:rsidRDefault="00EB6B2F" w:rsidP="00EB6B2F">
          <w:pPr>
            <w:spacing w:line="360" w:lineRule="auto"/>
            <w:rPr>
              <w:b/>
              <w:bCs/>
              <w:lang w:val="es-MX"/>
            </w:rPr>
          </w:pPr>
          <w:r w:rsidRPr="00EB6B2F">
            <w:rPr>
              <w:b/>
              <w:bCs/>
              <w:lang w:val="es-MX"/>
            </w:rPr>
            <w:t xml:space="preserve">V. </w:t>
          </w:r>
          <w:r>
            <w:rPr>
              <w:b/>
              <w:bCs/>
              <w:lang w:val="es-MX"/>
            </w:rPr>
            <w:t>SERVICIO AL CIUDADANO Y</w:t>
          </w:r>
        </w:p>
        <w:p w14:paraId="78AD03BB" w14:textId="7116E7B2" w:rsidR="00EB6B2F" w:rsidRDefault="00EB6B2F" w:rsidP="00EB6B2F">
          <w:pPr>
            <w:spacing w:line="360" w:lineRule="auto"/>
            <w:rPr>
              <w:b/>
              <w:bCs/>
              <w:lang w:val="es-MX"/>
            </w:rPr>
          </w:pPr>
          <w:r>
            <w:rPr>
              <w:b/>
              <w:bCs/>
              <w:lang w:val="es-MX"/>
            </w:rPr>
            <w:lastRenderedPageBreak/>
            <w:t>TRANSPARENCIA INSTITUCIONAL</w:t>
          </w:r>
        </w:p>
        <w:p w14:paraId="671F02FB" w14:textId="7C7087E8" w:rsidR="00EB6B2F" w:rsidRPr="00EB6B2F" w:rsidRDefault="00EB6B2F" w:rsidP="00EB6B2F">
          <w:pPr>
            <w:spacing w:line="360" w:lineRule="auto"/>
            <w:rPr>
              <w:lang w:val="es-MX"/>
            </w:rPr>
          </w:pPr>
          <w:r w:rsidRPr="00EB6B2F">
            <w:rPr>
              <w:lang w:val="es-MX"/>
            </w:rPr>
            <w:t>5.1 Nivel de la satisfacción con el servicio</w:t>
          </w:r>
        </w:p>
        <w:p w14:paraId="10691E52" w14:textId="4A26F83E" w:rsidR="00EB6B2F" w:rsidRPr="00EB6B2F" w:rsidRDefault="00EB6B2F" w:rsidP="00EB6B2F">
          <w:pPr>
            <w:spacing w:line="360" w:lineRule="auto"/>
            <w:rPr>
              <w:lang w:val="es-MX"/>
            </w:rPr>
          </w:pPr>
          <w:r w:rsidRPr="00EB6B2F">
            <w:rPr>
              <w:lang w:val="es-MX"/>
            </w:rPr>
            <w:t xml:space="preserve">5.2 Nivel de cumplimiento acceso a la información </w:t>
          </w:r>
        </w:p>
        <w:p w14:paraId="43FD2D20" w14:textId="1DE0B470" w:rsidR="00EB6B2F" w:rsidRPr="00EB6B2F" w:rsidRDefault="00EB6B2F" w:rsidP="00EB6B2F">
          <w:pPr>
            <w:spacing w:line="360" w:lineRule="auto"/>
            <w:rPr>
              <w:lang w:val="es-MX"/>
            </w:rPr>
          </w:pPr>
          <w:r w:rsidRPr="00EB6B2F">
            <w:rPr>
              <w:lang w:val="es-MX"/>
            </w:rPr>
            <w:t>5.3 Resultados Sistema de Quejas, Reclamos y</w:t>
          </w:r>
        </w:p>
        <w:p w14:paraId="1C6CA443" w14:textId="7B4B34FB" w:rsidR="00EB6B2F" w:rsidRPr="00EB6B2F" w:rsidRDefault="00EB6B2F" w:rsidP="00EB6B2F">
          <w:pPr>
            <w:spacing w:line="360" w:lineRule="auto"/>
            <w:rPr>
              <w:lang w:val="es-MX"/>
            </w:rPr>
          </w:pPr>
          <w:r w:rsidRPr="00EB6B2F">
            <w:rPr>
              <w:lang w:val="es-MX"/>
            </w:rPr>
            <w:t>Sugerencias</w:t>
          </w:r>
        </w:p>
        <w:p w14:paraId="7D8505C7" w14:textId="514E45E1" w:rsidR="00EB6B2F" w:rsidRPr="00EB6B2F" w:rsidRDefault="00EB6B2F" w:rsidP="00EB6B2F">
          <w:pPr>
            <w:spacing w:line="360" w:lineRule="auto"/>
            <w:rPr>
              <w:lang w:val="es-MX"/>
            </w:rPr>
          </w:pPr>
          <w:r w:rsidRPr="00EB6B2F">
            <w:rPr>
              <w:lang w:val="es-MX"/>
            </w:rPr>
            <w:t>5.4 Resultados de medición del portal de</w:t>
          </w:r>
        </w:p>
        <w:p w14:paraId="3FB90AB5" w14:textId="1049164D" w:rsidR="00EB6B2F" w:rsidRDefault="00EB6B2F" w:rsidP="00EB6B2F">
          <w:pPr>
            <w:spacing w:line="360" w:lineRule="auto"/>
            <w:rPr>
              <w:lang w:val="es-MX"/>
            </w:rPr>
          </w:pPr>
          <w:r w:rsidRPr="00EB6B2F">
            <w:rPr>
              <w:lang w:val="es-MX"/>
            </w:rPr>
            <w:t>transparencia</w:t>
          </w:r>
        </w:p>
        <w:p w14:paraId="7FCE9C74" w14:textId="3D596EBA" w:rsidR="00EB6B2F" w:rsidRDefault="00EB6B2F" w:rsidP="00EB6B2F">
          <w:pPr>
            <w:spacing w:line="360" w:lineRule="auto"/>
            <w:rPr>
              <w:b/>
              <w:bCs/>
              <w:lang w:val="es-MX"/>
            </w:rPr>
          </w:pPr>
          <w:r w:rsidRPr="00EB6B2F">
            <w:rPr>
              <w:b/>
              <w:bCs/>
              <w:lang w:val="es-MX"/>
            </w:rPr>
            <w:t>V</w:t>
          </w:r>
          <w:r>
            <w:rPr>
              <w:b/>
              <w:bCs/>
              <w:lang w:val="es-MX"/>
            </w:rPr>
            <w:t>I</w:t>
          </w:r>
          <w:r w:rsidRPr="00EB6B2F">
            <w:rPr>
              <w:b/>
              <w:bCs/>
              <w:lang w:val="es-MX"/>
            </w:rPr>
            <w:t>.</w:t>
          </w:r>
          <w:r>
            <w:rPr>
              <w:b/>
              <w:bCs/>
              <w:lang w:val="es-MX"/>
            </w:rPr>
            <w:t xml:space="preserve"> PROYECCIONES DEL PROXIMO AÑO</w:t>
          </w:r>
        </w:p>
        <w:p w14:paraId="03FBE39B" w14:textId="0BD21527" w:rsidR="00EB6B2F" w:rsidRDefault="00EB6B2F" w:rsidP="00EB6B2F">
          <w:pPr>
            <w:spacing w:line="360" w:lineRule="auto"/>
            <w:rPr>
              <w:b/>
              <w:bCs/>
              <w:lang w:val="es-MX"/>
            </w:rPr>
          </w:pPr>
          <w:r>
            <w:rPr>
              <w:b/>
              <w:bCs/>
              <w:lang w:val="es-MX"/>
            </w:rPr>
            <w:t>VII. ANEXOS</w:t>
          </w:r>
        </w:p>
        <w:p w14:paraId="4732C7AC" w14:textId="06B1D386" w:rsidR="00EB6B2F" w:rsidRPr="006565E8" w:rsidRDefault="00EB6B2F" w:rsidP="00EB6B2F">
          <w:pPr>
            <w:pStyle w:val="Prrafodelista"/>
            <w:numPr>
              <w:ilvl w:val="0"/>
              <w:numId w:val="35"/>
            </w:numPr>
            <w:spacing w:line="360" w:lineRule="auto"/>
            <w:rPr>
              <w:lang w:val="es-MX"/>
            </w:rPr>
          </w:pPr>
          <w:r w:rsidRPr="006565E8">
            <w:rPr>
              <w:lang w:val="es-MX"/>
            </w:rPr>
            <w:t>Matriz de logros relevantes</w:t>
          </w:r>
        </w:p>
        <w:p w14:paraId="4B2B1908" w14:textId="27E9F687" w:rsidR="00EB6B2F" w:rsidRPr="006565E8" w:rsidRDefault="00EB6B2F" w:rsidP="00EB6B2F">
          <w:pPr>
            <w:pStyle w:val="Prrafodelista"/>
            <w:numPr>
              <w:ilvl w:val="0"/>
              <w:numId w:val="35"/>
            </w:numPr>
            <w:spacing w:line="360" w:lineRule="auto"/>
            <w:rPr>
              <w:lang w:val="es-MX"/>
            </w:rPr>
          </w:pPr>
          <w:r w:rsidRPr="006565E8">
            <w:rPr>
              <w:lang w:val="es-MX"/>
            </w:rPr>
            <w:t>Matriz de Gestión Presupuestaria Anual</w:t>
          </w:r>
        </w:p>
        <w:p w14:paraId="75E08ECB" w14:textId="723A2770" w:rsidR="00EB6B2F" w:rsidRPr="006565E8" w:rsidRDefault="00EB6B2F" w:rsidP="00EB6B2F">
          <w:pPr>
            <w:pStyle w:val="Prrafodelista"/>
            <w:numPr>
              <w:ilvl w:val="0"/>
              <w:numId w:val="35"/>
            </w:numPr>
            <w:spacing w:line="360" w:lineRule="auto"/>
            <w:rPr>
              <w:lang w:val="es-MX"/>
            </w:rPr>
          </w:pPr>
          <w:r w:rsidRPr="006565E8">
            <w:rPr>
              <w:lang w:val="es-MX"/>
            </w:rPr>
            <w:t>Matriz de principales indicadores del POA</w:t>
          </w:r>
        </w:p>
        <w:p w14:paraId="162D3A23" w14:textId="7657FC45" w:rsidR="00EB6B2F" w:rsidRPr="006565E8" w:rsidRDefault="00EB6B2F" w:rsidP="00EB6B2F">
          <w:pPr>
            <w:pStyle w:val="Prrafodelista"/>
            <w:numPr>
              <w:ilvl w:val="0"/>
              <w:numId w:val="35"/>
            </w:numPr>
            <w:spacing w:line="360" w:lineRule="auto"/>
            <w:rPr>
              <w:lang w:val="es-MX"/>
            </w:rPr>
          </w:pPr>
          <w:r w:rsidRPr="006565E8">
            <w:rPr>
              <w:lang w:val="es-MX"/>
            </w:rPr>
            <w:t>Resumen del Plan de Compras</w:t>
          </w:r>
        </w:p>
        <w:p w14:paraId="7E294500" w14:textId="34550AAC" w:rsidR="00EB6B2F" w:rsidRPr="00EB6B2F" w:rsidRDefault="00EB6B2F" w:rsidP="00EB6B2F">
          <w:pPr>
            <w:spacing w:line="360" w:lineRule="auto"/>
            <w:rPr>
              <w:lang w:val="es-MX"/>
            </w:rPr>
          </w:pPr>
        </w:p>
        <w:p w14:paraId="553BCE7C" w14:textId="77777777" w:rsidR="00EB6B2F" w:rsidRDefault="00EB6B2F" w:rsidP="00EB6B2F">
          <w:pPr>
            <w:spacing w:after="0" w:line="360" w:lineRule="auto"/>
            <w:rPr>
              <w:lang w:val="es-MX"/>
            </w:rPr>
          </w:pPr>
        </w:p>
        <w:p w14:paraId="66CFF4ED" w14:textId="77777777" w:rsidR="00EB6B2F" w:rsidRDefault="00EB6B2F" w:rsidP="00EB6B2F">
          <w:pPr>
            <w:spacing w:after="0" w:line="360" w:lineRule="auto"/>
            <w:rPr>
              <w:lang w:val="es-MX"/>
            </w:rPr>
          </w:pPr>
        </w:p>
        <w:p w14:paraId="22412D73" w14:textId="77777777" w:rsidR="00EB6B2F" w:rsidRDefault="00EB6B2F" w:rsidP="00EB6B2F">
          <w:pPr>
            <w:rPr>
              <w:lang w:val="es-MX"/>
            </w:rPr>
          </w:pPr>
        </w:p>
        <w:p w14:paraId="7B3D457F" w14:textId="6A157DCC" w:rsidR="00EB6B2F" w:rsidRDefault="00000000">
          <w:pPr>
            <w:pStyle w:val="TDC3"/>
            <w:ind w:left="446"/>
          </w:pP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FE55BE">
          <w:footerReference w:type="first" r:id="rId15"/>
          <w:pgSz w:w="12240" w:h="15840"/>
          <w:pgMar w:top="1440" w:right="2160" w:bottom="1440" w:left="2160" w:header="720" w:footer="720" w:gutter="0"/>
          <w:cols w:space="720"/>
          <w:docGrid w:linePitch="360"/>
        </w:sectPr>
      </w:pPr>
    </w:p>
    <w:p w14:paraId="4CFB9BFE" w14:textId="7BE2D754" w:rsidR="00C52FE6" w:rsidRPr="009C7BFB" w:rsidRDefault="00FE55BE" w:rsidP="00C52FE6">
      <w:pPr>
        <w:pStyle w:val="Ttulo1"/>
        <w:rPr>
          <w:rFonts w:cs="Times New Roman"/>
          <w:color w:val="4C4747"/>
          <w:lang w:val="es-DO"/>
        </w:rPr>
      </w:pPr>
      <w:bookmarkStart w:id="1" w:name="_Hlk86403204"/>
      <w:r>
        <w:rPr>
          <w:rFonts w:cs="Times New Roman"/>
          <w:color w:val="4C4747"/>
          <w:lang w:val="es-DO"/>
        </w:rPr>
        <w:lastRenderedPageBreak/>
        <w:t>PRESENTACION</w:t>
      </w:r>
    </w:p>
    <w:p w14:paraId="6B9C4C24" w14:textId="77777777" w:rsidR="00C52FE6" w:rsidRPr="00FE55BE" w:rsidRDefault="00C52FE6" w:rsidP="00FE55BE">
      <w:pPr>
        <w:spacing w:line="360" w:lineRule="auto"/>
        <w:jc w:val="both"/>
        <w:rPr>
          <w:rFonts w:eastAsia="Calibri"/>
          <w:noProof/>
          <w:lang w:val="es-DO"/>
        </w:rPr>
      </w:pPr>
      <w:r w:rsidRPr="0058331C">
        <w:rPr>
          <w:rFonts w:eastAsia="Calibri"/>
          <w:noProof/>
          <w:color w:val="4C4747"/>
          <w:sz w:val="18"/>
        </w:rPr>
        <mc:AlternateContent>
          <mc:Choice Requires="wps">
            <w:drawing>
              <wp:anchor distT="0" distB="0" distL="114300" distR="114300" simplePos="0" relativeHeight="251684864" behindDoc="0" locked="0" layoutInCell="1" allowOverlap="1" wp14:anchorId="6621FE5B" wp14:editId="4127DDDF">
                <wp:simplePos x="0" y="0"/>
                <wp:positionH relativeFrom="margin">
                  <wp:posOffset>2254250</wp:posOffset>
                </wp:positionH>
                <wp:positionV relativeFrom="paragraph">
                  <wp:posOffset>100625</wp:posOffset>
                </wp:positionV>
                <wp:extent cx="463550" cy="0"/>
                <wp:effectExtent l="22860" t="15875" r="18415" b="22225"/>
                <wp:wrapNone/>
                <wp:docPr id="92604204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2DF2D" id="Straight Connector 21"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466E817" w14:textId="77777777" w:rsidR="00FE55BE" w:rsidRDefault="00FE55BE" w:rsidP="00FE55BE">
      <w:pPr>
        <w:spacing w:line="360" w:lineRule="auto"/>
        <w:jc w:val="both"/>
        <w:rPr>
          <w:rFonts w:eastAsia="Calibri"/>
          <w:noProof/>
          <w:lang w:val="es-DO"/>
        </w:rPr>
      </w:pPr>
      <w:r w:rsidRPr="00FE55BE">
        <w:rPr>
          <w:rFonts w:eastAsia="Calibri"/>
          <w:noProof/>
          <w:lang w:val="es-DO"/>
        </w:rPr>
        <w:t xml:space="preserve">La presente Memoria Institucional recoge los principales avances, resultados y aprendizajes de la gestión desarrollada por la Dirección General de Museos durante el año 2025, en cumplimiento de nuestro compromiso con la rendición de cuentas, la transparencia en el uso de los recursos públicos y el fortalecimiento continuo de la política cultural del Estado dominicano. </w:t>
      </w:r>
    </w:p>
    <w:p w14:paraId="1CB55D10" w14:textId="17A73347" w:rsidR="00FE55BE" w:rsidRPr="00FE55BE" w:rsidRDefault="00FE55BE" w:rsidP="00FE55BE">
      <w:pPr>
        <w:spacing w:line="360" w:lineRule="auto"/>
        <w:jc w:val="both"/>
        <w:rPr>
          <w:rFonts w:eastAsia="Calibri"/>
          <w:noProof/>
          <w:lang w:val="es-DO"/>
        </w:rPr>
      </w:pPr>
      <w:r w:rsidRPr="00FE55BE">
        <w:rPr>
          <w:rFonts w:eastAsia="Calibri"/>
          <w:noProof/>
          <w:lang w:val="es-DO"/>
        </w:rPr>
        <w:t>Este ejercicio no solo responde a una obligación administrativa, sino que constituye una herramienta fundamental para evaluar el impacto de nuestras acciones, identificar oportunidades de mejora y reafirmar la confianza de la ciudadanía en las instituciones culturales.</w:t>
      </w:r>
    </w:p>
    <w:p w14:paraId="593531BA" w14:textId="77777777" w:rsidR="00FE55BE" w:rsidRDefault="00FE55BE" w:rsidP="00FE55BE">
      <w:pPr>
        <w:spacing w:line="360" w:lineRule="auto"/>
        <w:jc w:val="both"/>
        <w:rPr>
          <w:rFonts w:eastAsia="Calibri"/>
          <w:noProof/>
          <w:lang w:val="es-DO"/>
        </w:rPr>
      </w:pPr>
      <w:r w:rsidRPr="00FE55BE">
        <w:rPr>
          <w:rFonts w:eastAsia="Calibri"/>
          <w:noProof/>
          <w:lang w:val="es-DO"/>
        </w:rPr>
        <w:t xml:space="preserve">Durante el período evaluado, la Dirección General de Museos orientó su gestión al fortalecimiento del sistema museístico nacional, impulsando acciones dirigidas a la conservación del patrimonio cultural mueble, la mejora de la infraestructura museística, la innovación en los modelos de gestión y la ampliación del acceso ciudadano a los museos. </w:t>
      </w:r>
    </w:p>
    <w:p w14:paraId="052FEAD2" w14:textId="7AE25DCB" w:rsidR="00FE55BE" w:rsidRPr="00FE55BE" w:rsidRDefault="00FE55BE" w:rsidP="00FE55BE">
      <w:pPr>
        <w:spacing w:line="360" w:lineRule="auto"/>
        <w:jc w:val="both"/>
        <w:rPr>
          <w:rFonts w:eastAsia="Calibri"/>
          <w:noProof/>
          <w:lang w:val="es-DO"/>
        </w:rPr>
      </w:pPr>
      <w:r w:rsidRPr="00FE55BE">
        <w:rPr>
          <w:rFonts w:eastAsia="Calibri"/>
          <w:noProof/>
          <w:lang w:val="es-DO"/>
        </w:rPr>
        <w:t>Estas acciones se desarrollaron mediante una planificación estratégica orientada a resultados, la articulación interinstitucional y la movilización responsable de recursos públicos, privados y de cooperación internacional.</w:t>
      </w:r>
    </w:p>
    <w:p w14:paraId="0F325E50" w14:textId="77777777" w:rsidR="00FE55BE" w:rsidRPr="00FE55BE" w:rsidRDefault="00FE55BE" w:rsidP="00FE55BE">
      <w:pPr>
        <w:spacing w:line="360" w:lineRule="auto"/>
        <w:jc w:val="both"/>
        <w:rPr>
          <w:rFonts w:eastAsia="Calibri"/>
          <w:noProof/>
          <w:lang w:val="es-DO"/>
        </w:rPr>
      </w:pPr>
      <w:r w:rsidRPr="00FE55BE">
        <w:rPr>
          <w:rFonts w:eastAsia="Calibri"/>
          <w:noProof/>
          <w:lang w:val="es-DO"/>
        </w:rPr>
        <w:t xml:space="preserve">Los museos, concebidos como espacios sociales, educativos y de encuentro ciudadano, desempeñan un rol esencial en la formación de valores, la construcción de memoria colectiva y el fortalecimiento de la identidad nacional. En ese sentido, la gestión 2025 reafirmó la función social de los museos como plataformas de educación no </w:t>
      </w:r>
      <w:r w:rsidRPr="00FE55BE">
        <w:rPr>
          <w:rFonts w:eastAsia="Calibri"/>
          <w:noProof/>
          <w:lang w:val="es-DO"/>
        </w:rPr>
        <w:lastRenderedPageBreak/>
        <w:t>formal, inclusión, diálogo comunitario y participación cultural, acercando el patrimonio a públicos diversos y promoviendo una cultura accesible, democrática y territorialmente equilibrada.</w:t>
      </w:r>
    </w:p>
    <w:p w14:paraId="632BBD5E" w14:textId="77777777" w:rsidR="00FE55BE" w:rsidRDefault="00FE55BE" w:rsidP="00FE55BE">
      <w:pPr>
        <w:spacing w:line="360" w:lineRule="auto"/>
        <w:jc w:val="both"/>
        <w:rPr>
          <w:rFonts w:eastAsia="Calibri"/>
          <w:noProof/>
          <w:lang w:val="es-DO"/>
        </w:rPr>
      </w:pPr>
      <w:r w:rsidRPr="00FE55BE">
        <w:rPr>
          <w:rFonts w:eastAsia="Calibri"/>
          <w:noProof/>
          <w:lang w:val="es-DO"/>
        </w:rPr>
        <w:t xml:space="preserve">La Dirección General de Museos reitera, a través de esta memoria, su compromiso con el desarrollo sostenible de la comunidad museística nacional, la adopción de buenas prácticas de gestión pública y la consolidación de los museos como aliados estratégicos del desarrollo cultural, educativo y social del país. </w:t>
      </w:r>
    </w:p>
    <w:p w14:paraId="4D939BB0" w14:textId="68C18582" w:rsidR="00C52FE6" w:rsidRDefault="00FE55BE" w:rsidP="00FE55BE">
      <w:pPr>
        <w:spacing w:line="360" w:lineRule="auto"/>
        <w:jc w:val="both"/>
        <w:rPr>
          <w:rFonts w:eastAsia="Calibri"/>
          <w:noProof/>
          <w:lang w:val="es-DO"/>
        </w:rPr>
      </w:pPr>
      <w:r w:rsidRPr="00FE55BE">
        <w:rPr>
          <w:rFonts w:eastAsia="Calibri"/>
          <w:noProof/>
          <w:lang w:val="es-DO"/>
        </w:rPr>
        <w:t>Los resultados aquí presentados reflejan una visión institucional orientada al servicio público, la innovación responsable y la construcción de un legado cultural que fortalezca la identidad dominicana para las generaciones presentes y futuras.</w:t>
      </w:r>
    </w:p>
    <w:p w14:paraId="1FEE2138" w14:textId="77777777" w:rsidR="00FE55BE" w:rsidRDefault="00FE55BE" w:rsidP="00FE55BE">
      <w:pPr>
        <w:spacing w:after="0" w:line="240" w:lineRule="auto"/>
        <w:jc w:val="both"/>
        <w:rPr>
          <w:rFonts w:eastAsia="Calibri"/>
          <w:noProof/>
          <w:lang w:val="es-DO"/>
        </w:rPr>
      </w:pPr>
    </w:p>
    <w:p w14:paraId="11374A2A" w14:textId="5DDBD1E8" w:rsidR="00FE55BE" w:rsidRDefault="00FE55BE" w:rsidP="00FE55BE">
      <w:pPr>
        <w:spacing w:after="0" w:line="240" w:lineRule="auto"/>
        <w:jc w:val="center"/>
        <w:rPr>
          <w:rFonts w:eastAsia="Calibri"/>
          <w:b/>
          <w:bCs/>
          <w:noProof/>
          <w:lang w:val="es-DO"/>
        </w:rPr>
      </w:pPr>
      <w:r w:rsidRPr="00FE55BE">
        <w:rPr>
          <w:rFonts w:eastAsia="Calibri"/>
          <w:b/>
          <w:bCs/>
          <w:noProof/>
          <w:lang w:val="es-DO"/>
        </w:rPr>
        <w:t>Carlos Andújar</w:t>
      </w:r>
    </w:p>
    <w:p w14:paraId="16CD5D56" w14:textId="44A2B92E" w:rsidR="00FE55BE" w:rsidRPr="00FE55BE" w:rsidRDefault="00FE55BE" w:rsidP="00FE55BE">
      <w:pPr>
        <w:spacing w:line="360" w:lineRule="auto"/>
        <w:jc w:val="center"/>
        <w:rPr>
          <w:rFonts w:eastAsia="Calibri"/>
          <w:noProof/>
          <w:lang w:val="es-DO"/>
        </w:rPr>
      </w:pPr>
      <w:r w:rsidRPr="00FE55BE">
        <w:rPr>
          <w:rFonts w:eastAsia="Calibri"/>
          <w:noProof/>
          <w:lang w:val="es-DO"/>
        </w:rPr>
        <w:t>Director General de Museos</w:t>
      </w:r>
      <w:r w:rsidRPr="00FE55BE">
        <w:rPr>
          <w:rFonts w:eastAsia="Calibri"/>
          <w:noProof/>
          <w:lang w:val="es-DO"/>
        </w:rPr>
        <w:br/>
      </w:r>
    </w:p>
    <w:p w14:paraId="62E39E63" w14:textId="77777777" w:rsidR="00FE55BE" w:rsidRDefault="00FE55BE" w:rsidP="00FE55BE">
      <w:pPr>
        <w:spacing w:after="0" w:line="240" w:lineRule="auto"/>
        <w:jc w:val="center"/>
        <w:rPr>
          <w:rFonts w:eastAsia="Calibri"/>
          <w:b/>
          <w:bCs/>
          <w:noProof/>
          <w:lang w:val="es-DO"/>
        </w:rPr>
      </w:pPr>
      <w:r w:rsidRPr="00FE55BE">
        <w:rPr>
          <w:rFonts w:eastAsia="Calibri"/>
          <w:b/>
          <w:bCs/>
          <w:noProof/>
          <w:lang w:val="es-DO"/>
        </w:rPr>
        <w:t>Ydalia Martínez</w:t>
      </w:r>
    </w:p>
    <w:p w14:paraId="2662A58A" w14:textId="409F9C01" w:rsidR="00FE55BE" w:rsidRPr="00FE55BE" w:rsidRDefault="00FE55BE" w:rsidP="00FE55BE">
      <w:pPr>
        <w:spacing w:after="0" w:line="240" w:lineRule="auto"/>
        <w:jc w:val="center"/>
        <w:rPr>
          <w:rFonts w:eastAsia="Calibri"/>
          <w:noProof/>
          <w:lang w:val="es-DO"/>
        </w:rPr>
      </w:pPr>
      <w:r w:rsidRPr="00FE55BE">
        <w:rPr>
          <w:rFonts w:eastAsia="Calibri"/>
          <w:noProof/>
          <w:lang w:val="es-DO"/>
        </w:rPr>
        <w:t>Enc. de Planificación y Desarrollo</w:t>
      </w:r>
    </w:p>
    <w:p w14:paraId="77D28921" w14:textId="77777777" w:rsidR="00FE55BE" w:rsidRPr="00FE55BE" w:rsidRDefault="00FE55BE" w:rsidP="00FE55BE">
      <w:pPr>
        <w:spacing w:line="360" w:lineRule="auto"/>
        <w:jc w:val="center"/>
        <w:rPr>
          <w:rFonts w:eastAsia="Calibri"/>
          <w:b/>
          <w:bCs/>
          <w:noProof/>
          <w:lang w:val="es-DO"/>
        </w:rPr>
      </w:pPr>
    </w:p>
    <w:p w14:paraId="53959C0F" w14:textId="77777777" w:rsidR="00FE55BE" w:rsidRDefault="00FE55BE" w:rsidP="00FE55BE">
      <w:pPr>
        <w:rPr>
          <w:lang w:val="es-DO"/>
        </w:rPr>
      </w:pPr>
    </w:p>
    <w:p w14:paraId="16688BF7" w14:textId="77777777" w:rsidR="00FE55BE" w:rsidRPr="00FE55BE" w:rsidRDefault="00FE55BE" w:rsidP="00FE55BE">
      <w:pPr>
        <w:rPr>
          <w:lang w:val="es-DO"/>
        </w:rPr>
        <w:sectPr w:rsidR="00FE55BE" w:rsidRPr="00FE55BE" w:rsidSect="00FE55BE">
          <w:headerReference w:type="default" r:id="rId16"/>
          <w:footerReference w:type="default" r:id="rId17"/>
          <w:pgSz w:w="12240" w:h="15840"/>
          <w:pgMar w:top="1440" w:right="2160" w:bottom="1440" w:left="2160" w:header="720" w:footer="720" w:gutter="0"/>
          <w:cols w:space="720"/>
          <w:docGrid w:linePitch="360"/>
        </w:sectPr>
      </w:pPr>
    </w:p>
    <w:p w14:paraId="649D29AD" w14:textId="4E67FB62" w:rsidR="001240D0" w:rsidRPr="009C7BFB" w:rsidRDefault="00C52FE6" w:rsidP="00654164">
      <w:pPr>
        <w:pStyle w:val="Ttulo1"/>
        <w:rPr>
          <w:rFonts w:cs="Times New Roman"/>
          <w:color w:val="4C4747"/>
          <w:lang w:val="es-DO"/>
        </w:rPr>
      </w:pPr>
      <w:r>
        <w:rPr>
          <w:rFonts w:cs="Times New Roman"/>
          <w:color w:val="4C4747"/>
          <w:lang w:val="es-DO"/>
        </w:rPr>
        <w:lastRenderedPageBreak/>
        <w:t>RESUMEN EJECUTIVO</w:t>
      </w:r>
    </w:p>
    <w:p w14:paraId="7C54AF21" w14:textId="26B7214D" w:rsidR="001240D0" w:rsidRPr="009C7BFB" w:rsidRDefault="00125D46" w:rsidP="001240D0">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41"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ED2D4" id="Straight Connector 2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7F83286B" w14:textId="77777777" w:rsidR="00C52FE6" w:rsidRDefault="00654164" w:rsidP="00C52FE6">
      <w:pPr>
        <w:jc w:val="center"/>
        <w:rPr>
          <w:rFonts w:eastAsia="Calibri"/>
          <w:color w:val="4C4747"/>
          <w:szCs w:val="36"/>
          <w:lang w:val="es-DO"/>
        </w:rPr>
      </w:pPr>
      <w:r w:rsidRPr="009C7BFB">
        <w:rPr>
          <w:rFonts w:eastAsia="Calibri"/>
          <w:color w:val="4C4747"/>
          <w:szCs w:val="36"/>
          <w:lang w:val="es-DO"/>
        </w:rPr>
        <w:t xml:space="preserve">Memoria </w:t>
      </w:r>
      <w:r w:rsidR="004A515E" w:rsidRPr="009C7BFB">
        <w:rPr>
          <w:rFonts w:eastAsia="Calibri"/>
          <w:color w:val="4C4747"/>
          <w:szCs w:val="36"/>
          <w:lang w:val="es-DO"/>
        </w:rPr>
        <w:t>Institu</w:t>
      </w:r>
      <w:r w:rsidR="009A466A" w:rsidRPr="009C7BFB">
        <w:rPr>
          <w:rFonts w:eastAsia="Calibri"/>
          <w:color w:val="4C4747"/>
          <w:szCs w:val="36"/>
          <w:lang w:val="es-DO"/>
        </w:rPr>
        <w:t>c</w:t>
      </w:r>
      <w:r w:rsidR="004A515E" w:rsidRPr="009C7BFB">
        <w:rPr>
          <w:rFonts w:eastAsia="Calibri"/>
          <w:color w:val="4C4747"/>
          <w:szCs w:val="36"/>
          <w:lang w:val="es-DO"/>
        </w:rPr>
        <w:t>ional</w:t>
      </w:r>
      <w:r w:rsidR="001240D0" w:rsidRPr="009C7BFB">
        <w:rPr>
          <w:rFonts w:eastAsia="Calibri"/>
          <w:color w:val="4C4747"/>
          <w:szCs w:val="36"/>
          <w:lang w:val="es-DO"/>
        </w:rPr>
        <w:t xml:space="preserve"> </w:t>
      </w:r>
      <w:r w:rsidR="007471AC" w:rsidRPr="009C7BFB">
        <w:rPr>
          <w:rFonts w:eastAsia="Calibri"/>
          <w:color w:val="4C4747"/>
          <w:szCs w:val="36"/>
          <w:lang w:val="es-DO"/>
        </w:rPr>
        <w:t>202</w:t>
      </w:r>
      <w:r w:rsidR="00450F91">
        <w:rPr>
          <w:rFonts w:eastAsia="Calibri"/>
          <w:color w:val="4C4747"/>
          <w:szCs w:val="36"/>
          <w:lang w:val="es-DO"/>
        </w:rPr>
        <w:t>5</w:t>
      </w:r>
      <w:bookmarkEnd w:id="1"/>
    </w:p>
    <w:p w14:paraId="5C0518C6" w14:textId="77777777" w:rsidR="00C52FE6" w:rsidRDefault="00C52FE6" w:rsidP="00C52FE6">
      <w:pPr>
        <w:spacing w:line="360" w:lineRule="auto"/>
        <w:jc w:val="both"/>
        <w:rPr>
          <w:rFonts w:eastAsia="Calibri"/>
          <w:noProof/>
          <w:lang w:val="es-DO"/>
        </w:rPr>
      </w:pPr>
      <w:r w:rsidRPr="00C52FE6">
        <w:rPr>
          <w:rFonts w:eastAsia="Calibri"/>
          <w:noProof/>
          <w:lang w:val="es-DO"/>
        </w:rPr>
        <w:t xml:space="preserve">Durante el año 2025, la Dirección General de Museos (DGM) consolidó avances sustantivos en la gestión del patrimonio cultural mueble y en el fortalecimiento del sistema museístico nacional, en un contexto de transición institucional y presupuestaria. </w:t>
      </w:r>
    </w:p>
    <w:p w14:paraId="34E13241" w14:textId="77777777" w:rsidR="00C52FE6" w:rsidRDefault="00C52FE6" w:rsidP="00C52FE6">
      <w:pPr>
        <w:spacing w:line="360" w:lineRule="auto"/>
        <w:jc w:val="both"/>
        <w:rPr>
          <w:rFonts w:eastAsia="Calibri"/>
          <w:noProof/>
          <w:lang w:val="es-DO"/>
        </w:rPr>
      </w:pPr>
      <w:r w:rsidRPr="00C52FE6">
        <w:rPr>
          <w:rFonts w:eastAsia="Calibri"/>
          <w:noProof/>
          <w:lang w:val="es-DO"/>
        </w:rPr>
        <w:t>A través de una planificación orientada a resultados, la DGM garantizó la continuidad operativa de los museos estatales</w:t>
      </w:r>
      <w:r>
        <w:rPr>
          <w:rFonts w:eastAsia="Calibri"/>
          <w:noProof/>
          <w:lang w:val="es-DO"/>
        </w:rPr>
        <w:t xml:space="preserve"> bajo su administración</w:t>
      </w:r>
      <w:r w:rsidRPr="00C52FE6">
        <w:rPr>
          <w:rFonts w:eastAsia="Calibri"/>
          <w:noProof/>
          <w:lang w:val="es-DO"/>
        </w:rPr>
        <w:t>, fortaleció la transparencia, amplió el acceso ciudadano a la cultura y articuló inversiones públicas y privadas para la mejora de la infraestructura, la conservación de colecciones y la innovación museística.</w:t>
      </w:r>
    </w:p>
    <w:p w14:paraId="6D3E5C62" w14:textId="0A6E8399" w:rsidR="00C52FE6" w:rsidRDefault="00C52FE6" w:rsidP="00C52FE6">
      <w:pPr>
        <w:spacing w:line="360" w:lineRule="auto"/>
        <w:jc w:val="both"/>
        <w:rPr>
          <w:rFonts w:eastAsia="Calibri"/>
          <w:noProof/>
          <w:lang w:val="es-DO"/>
        </w:rPr>
      </w:pPr>
      <w:r w:rsidRPr="00C52FE6">
        <w:rPr>
          <w:rFonts w:eastAsia="Calibri"/>
          <w:noProof/>
          <w:lang w:val="es-DO"/>
        </w:rPr>
        <w:t xml:space="preserve">En el ámbito de la conservación y salvaguarda de las colecciones, se logró un avance histórico en el registro y digitalización del patrimonio cultural mueble, alcanzando la digitalización del 92 % de los bienes inventariados, equivalentes a más de 19,000 piezas, </w:t>
      </w:r>
      <w:r>
        <w:rPr>
          <w:rFonts w:eastAsia="Calibri"/>
          <w:noProof/>
          <w:lang w:val="es-DO"/>
        </w:rPr>
        <w:t xml:space="preserve">con la finalidad de tenerlos </w:t>
      </w:r>
      <w:r w:rsidRPr="00C52FE6">
        <w:rPr>
          <w:rFonts w:eastAsia="Calibri"/>
          <w:noProof/>
          <w:lang w:val="es-DO"/>
        </w:rPr>
        <w:t xml:space="preserve">disponibles en plataformas digitales para consulta pública. </w:t>
      </w:r>
    </w:p>
    <w:p w14:paraId="1DB0CBAC" w14:textId="77777777" w:rsidR="00C52FE6" w:rsidRDefault="00C52FE6" w:rsidP="00C52FE6">
      <w:pPr>
        <w:spacing w:line="360" w:lineRule="auto"/>
        <w:jc w:val="both"/>
        <w:rPr>
          <w:rFonts w:eastAsia="Calibri"/>
          <w:noProof/>
          <w:lang w:val="es-DO"/>
        </w:rPr>
      </w:pPr>
      <w:r w:rsidRPr="00C52FE6">
        <w:rPr>
          <w:rFonts w:eastAsia="Calibri"/>
          <w:noProof/>
          <w:lang w:val="es-DO"/>
        </w:rPr>
        <w:t>Estas acciones se desarrollaron en museos del Distrito Nacional y del interior del país, beneficiando a investigadores, estudiantes y ciudadanía en general, y fortaleciendo la prevención del tráfico ilícito de bienes culturales mediante sistemas de trazabilidad y control técnico.</w:t>
      </w:r>
    </w:p>
    <w:p w14:paraId="14AD3673" w14:textId="77777777" w:rsidR="00C52FE6" w:rsidRDefault="00C52FE6" w:rsidP="00C52FE6">
      <w:pPr>
        <w:spacing w:line="360" w:lineRule="auto"/>
        <w:jc w:val="both"/>
        <w:rPr>
          <w:rFonts w:eastAsia="Calibri"/>
          <w:noProof/>
          <w:lang w:val="es-DO"/>
        </w:rPr>
      </w:pPr>
      <w:r w:rsidRPr="00C52FE6">
        <w:rPr>
          <w:rFonts w:eastAsia="Calibri"/>
          <w:noProof/>
          <w:lang w:val="es-DO"/>
        </w:rPr>
        <w:t xml:space="preserve">De manera complementaria, la DGM ejecutó y articuló intervenciones de conservación y restauración especializada de bienes culturales, incluyendo murales, esculturas, bienes históricos y colecciones museográficas, con especial énfasis en el Museo Monumento a los </w:t>
      </w:r>
      <w:r w:rsidRPr="00C52FE6">
        <w:rPr>
          <w:rFonts w:eastAsia="Calibri"/>
          <w:noProof/>
          <w:lang w:val="es-DO"/>
        </w:rPr>
        <w:lastRenderedPageBreak/>
        <w:t>Héroes de la Restauración, el Museo del Hombre Dominicano, el Museo Alcázar de Colón y el Museo de la Familia Dominicana del Siglo XIX. Estas acciones beneficiaron directamente a miles de visitantes y garantizaron la preservación de bienes patrimoniales de alto valor simbólico e histórico, mediante inversiones provenientes de alianzas público-privadas y cooperación interinstitucional.</w:t>
      </w:r>
    </w:p>
    <w:p w14:paraId="0AAA77B6" w14:textId="77777777" w:rsidR="00C52FE6" w:rsidRPr="00C52FE6" w:rsidRDefault="00C52FE6" w:rsidP="00C52FE6">
      <w:pPr>
        <w:spacing w:line="360" w:lineRule="auto"/>
        <w:jc w:val="both"/>
        <w:rPr>
          <w:rFonts w:eastAsia="Calibri"/>
          <w:bCs/>
          <w:noProof/>
          <w:lang w:val="es-DO"/>
        </w:rPr>
      </w:pPr>
      <w:r w:rsidRPr="00C52FE6">
        <w:rPr>
          <w:rFonts w:eastAsia="Calibri"/>
          <w:bCs/>
          <w:noProof/>
          <w:lang w:val="es-DO"/>
        </w:rPr>
        <w:t xml:space="preserve">En materia de infraestructura museística, la Dirección General de Museos gestionó y coordinó inversiones superiores a RD$76.6 millones, orientadas al acondicionamiento funcional, la consolidación estructural, la accesibilidad universal y la mejora de la experiencia del visitante en aproximadamente diez museos estatales. </w:t>
      </w:r>
    </w:p>
    <w:p w14:paraId="25900B9C" w14:textId="77777777" w:rsidR="00BD6592" w:rsidRDefault="00C52FE6" w:rsidP="00BD6592">
      <w:pPr>
        <w:spacing w:line="360" w:lineRule="auto"/>
        <w:jc w:val="both"/>
        <w:rPr>
          <w:rFonts w:eastAsia="Calibri"/>
          <w:bCs/>
          <w:noProof/>
          <w:lang w:val="es-DO"/>
        </w:rPr>
      </w:pPr>
      <w:r w:rsidRPr="00C52FE6">
        <w:rPr>
          <w:rFonts w:eastAsia="Calibri"/>
          <w:bCs/>
          <w:noProof/>
          <w:lang w:val="es-DO"/>
        </w:rPr>
        <w:t>Estas intervenciones se ejecutaron en el Distrito Nacional, Santiago, Puerto Plata y otras localidades, beneficiando tanto a usuarios locales como a visitantes nacionales e internacionales, y evidenciando la capacidad de autogestión institucional y de movilización de recursos externos.</w:t>
      </w:r>
    </w:p>
    <w:p w14:paraId="57F1F2EB" w14:textId="298825A5" w:rsidR="00BD6592" w:rsidRDefault="00C52FE6" w:rsidP="00BD6592">
      <w:pPr>
        <w:spacing w:line="360" w:lineRule="auto"/>
        <w:jc w:val="both"/>
        <w:rPr>
          <w:rFonts w:eastAsia="Calibri"/>
          <w:b/>
          <w:noProof/>
          <w:lang w:val="es-DO"/>
        </w:rPr>
      </w:pPr>
      <w:r w:rsidRPr="00BD6592">
        <w:rPr>
          <w:rFonts w:eastAsia="Calibri"/>
          <w:bCs/>
          <w:noProof/>
          <w:lang w:val="es-DO"/>
        </w:rPr>
        <w:t>En el eje de acceso, difusión cultural y participación ciudadana,</w:t>
      </w:r>
      <w:r w:rsidRPr="00C52FE6">
        <w:rPr>
          <w:rFonts w:eastAsia="Calibri"/>
          <w:b/>
          <w:noProof/>
          <w:lang w:val="es-DO"/>
        </w:rPr>
        <w:t xml:space="preserve"> los museos </w:t>
      </w:r>
      <w:r w:rsidR="00BD6592">
        <w:rPr>
          <w:rFonts w:eastAsia="Calibri"/>
          <w:b/>
          <w:noProof/>
          <w:lang w:val="es-DO"/>
        </w:rPr>
        <w:t xml:space="preserve">que reportan al Sistema de Monitoreo de Visitas, incluidos museos públicos y privados, </w:t>
      </w:r>
      <w:r w:rsidRPr="00C52FE6">
        <w:rPr>
          <w:rFonts w:eastAsia="Calibri"/>
          <w:b/>
          <w:noProof/>
          <w:lang w:val="es-DO"/>
        </w:rPr>
        <w:t xml:space="preserve">registraron </w:t>
      </w:r>
      <w:r w:rsidR="00BD6592" w:rsidRPr="00BD6592">
        <w:rPr>
          <w:rFonts w:eastAsia="Calibri"/>
          <w:b/>
          <w:noProof/>
          <w:lang w:val="es-DO"/>
        </w:rPr>
        <w:t>1,417,740</w:t>
      </w:r>
      <w:r w:rsidR="00BD6592">
        <w:rPr>
          <w:rFonts w:eastAsia="Calibri"/>
          <w:b/>
          <w:noProof/>
          <w:lang w:val="es-DO"/>
        </w:rPr>
        <w:t xml:space="preserve"> </w:t>
      </w:r>
      <w:r w:rsidRPr="00C52FE6">
        <w:rPr>
          <w:rFonts w:eastAsia="Calibri"/>
          <w:b/>
          <w:noProof/>
          <w:lang w:val="es-DO"/>
        </w:rPr>
        <w:t xml:space="preserve">visitas al cierre de diciembre de 2025, </w:t>
      </w:r>
      <w:r w:rsidR="00BD6592" w:rsidRPr="00BD6592">
        <w:rPr>
          <w:rFonts w:eastAsia="Calibri"/>
          <w:bCs/>
          <w:noProof/>
          <w:lang w:val="es-DO"/>
        </w:rPr>
        <w:t xml:space="preserve">incluyendo las visitas regulares a las exposiciones, </w:t>
      </w:r>
      <w:r w:rsidRPr="00BD6592">
        <w:rPr>
          <w:rFonts w:eastAsia="Calibri"/>
          <w:bCs/>
          <w:noProof/>
          <w:lang w:val="es-DO"/>
        </w:rPr>
        <w:t xml:space="preserve">participantes en actividades educativas, misionales y comunitarias, </w:t>
      </w:r>
      <w:r w:rsidR="00BD6592" w:rsidRPr="00BD6592">
        <w:rPr>
          <w:rFonts w:eastAsia="Calibri"/>
          <w:bCs/>
          <w:noProof/>
          <w:lang w:val="es-DO"/>
        </w:rPr>
        <w:t>y las</w:t>
      </w:r>
      <w:r w:rsidRPr="00BD6592">
        <w:rPr>
          <w:rFonts w:eastAsia="Calibri"/>
          <w:bCs/>
          <w:noProof/>
          <w:lang w:val="es-DO"/>
        </w:rPr>
        <w:t xml:space="preserve"> visitas a exposiciones itinerantes.</w:t>
      </w:r>
      <w:r w:rsidRPr="00C52FE6">
        <w:rPr>
          <w:rFonts w:eastAsia="Calibri"/>
          <w:b/>
          <w:noProof/>
          <w:lang w:val="es-DO"/>
        </w:rPr>
        <w:t xml:space="preserve"> </w:t>
      </w:r>
    </w:p>
    <w:p w14:paraId="62E3C56B" w14:textId="77777777" w:rsidR="00BD6592" w:rsidRDefault="00C52FE6" w:rsidP="00BD6592">
      <w:pPr>
        <w:spacing w:line="360" w:lineRule="auto"/>
        <w:jc w:val="both"/>
        <w:rPr>
          <w:rFonts w:eastAsia="Calibri"/>
          <w:bCs/>
          <w:noProof/>
          <w:lang w:val="es-DO"/>
        </w:rPr>
      </w:pPr>
      <w:r w:rsidRPr="00BD6592">
        <w:rPr>
          <w:rFonts w:eastAsia="Calibri"/>
          <w:bCs/>
          <w:noProof/>
          <w:lang w:val="es-DO"/>
        </w:rPr>
        <w:t>Estas acciones beneficiaron a públicos diversos</w:t>
      </w:r>
      <w:r w:rsidR="00BD6592" w:rsidRPr="00BD6592">
        <w:rPr>
          <w:rFonts w:eastAsia="Calibri"/>
          <w:bCs/>
          <w:noProof/>
          <w:lang w:val="es-DO"/>
        </w:rPr>
        <w:t xml:space="preserve">, </w:t>
      </w:r>
      <w:r w:rsidRPr="00BD6592">
        <w:rPr>
          <w:rFonts w:eastAsia="Calibri"/>
          <w:bCs/>
          <w:noProof/>
          <w:lang w:val="es-DO"/>
        </w:rPr>
        <w:t>estudiantes, familias, personas con discapacidad y comunidades</w:t>
      </w:r>
      <w:r w:rsidR="00BD6592" w:rsidRPr="00BD6592">
        <w:rPr>
          <w:rFonts w:eastAsia="Calibri"/>
          <w:bCs/>
          <w:noProof/>
          <w:lang w:val="es-DO"/>
        </w:rPr>
        <w:t>,</w:t>
      </w:r>
      <w:r w:rsidRPr="00BD6592">
        <w:rPr>
          <w:rFonts w:eastAsia="Calibri"/>
          <w:bCs/>
          <w:noProof/>
          <w:lang w:val="es-DO"/>
        </w:rPr>
        <w:t xml:space="preserve"> y reafirmaron el rol de los museos como espacios vivos de educación, inclusión y cohesión social.</w:t>
      </w:r>
    </w:p>
    <w:p w14:paraId="740CA78A" w14:textId="77777777" w:rsidR="00BD6592" w:rsidRDefault="00C52FE6" w:rsidP="00BD6592">
      <w:pPr>
        <w:spacing w:line="360" w:lineRule="auto"/>
        <w:jc w:val="both"/>
        <w:rPr>
          <w:rFonts w:eastAsia="Calibri"/>
          <w:bCs/>
          <w:noProof/>
          <w:lang w:val="es-DO"/>
        </w:rPr>
      </w:pPr>
      <w:r w:rsidRPr="00BD6592">
        <w:rPr>
          <w:rFonts w:eastAsia="Calibri"/>
          <w:bCs/>
          <w:noProof/>
          <w:lang w:val="es-DO"/>
        </w:rPr>
        <w:lastRenderedPageBreak/>
        <w:t xml:space="preserve">Programas emblemáticos como la </w:t>
      </w:r>
      <w:r w:rsidRPr="00BD6592">
        <w:rPr>
          <w:rFonts w:eastAsia="Calibri"/>
          <w:b/>
          <w:noProof/>
          <w:lang w:val="es-DO"/>
        </w:rPr>
        <w:t xml:space="preserve">Noche Larga de los Museos y las Noches de Navidad en los Museos </w:t>
      </w:r>
      <w:r w:rsidRPr="00BD6592">
        <w:rPr>
          <w:rFonts w:eastAsia="Calibri"/>
          <w:bCs/>
          <w:noProof/>
          <w:lang w:val="es-DO"/>
        </w:rPr>
        <w:t xml:space="preserve">permitieron ampliar el acceso cultural en horarios extendidos y contextos festivos, alcanzando en conjunto </w:t>
      </w:r>
      <w:r w:rsidRPr="00BD6592">
        <w:rPr>
          <w:rFonts w:eastAsia="Calibri"/>
          <w:b/>
          <w:noProof/>
          <w:lang w:val="es-DO"/>
        </w:rPr>
        <w:t>más de 38,000 visitas</w:t>
      </w:r>
      <w:r w:rsidRPr="00BD6592">
        <w:rPr>
          <w:rFonts w:eastAsia="Calibri"/>
          <w:bCs/>
          <w:noProof/>
          <w:lang w:val="es-DO"/>
        </w:rPr>
        <w:t xml:space="preserve">, con una </w:t>
      </w:r>
      <w:r w:rsidRPr="00BD6592">
        <w:rPr>
          <w:rFonts w:eastAsia="Calibri"/>
          <w:b/>
          <w:noProof/>
          <w:lang w:val="es-DO"/>
        </w:rPr>
        <w:t>inversión aproximada de RD$3.6 millone</w:t>
      </w:r>
      <w:r w:rsidRPr="00BD6592">
        <w:rPr>
          <w:rFonts w:eastAsia="Calibri"/>
          <w:bCs/>
          <w:noProof/>
          <w:lang w:val="es-DO"/>
        </w:rPr>
        <w:t>s, ejecutada de manera eficiente mediante alianzas institucionales y patrocinio privado.</w:t>
      </w:r>
    </w:p>
    <w:p w14:paraId="3CE5E249" w14:textId="15DE813D" w:rsidR="005374D2" w:rsidRPr="005374D2" w:rsidRDefault="005374D2" w:rsidP="005374D2">
      <w:pPr>
        <w:spacing w:line="360" w:lineRule="auto"/>
        <w:jc w:val="both"/>
        <w:rPr>
          <w:rFonts w:eastAsia="Calibri"/>
          <w:bCs/>
          <w:noProof/>
          <w:lang w:val="es-DO"/>
        </w:rPr>
      </w:pPr>
      <w:r w:rsidRPr="005374D2">
        <w:rPr>
          <w:rFonts w:eastAsia="Calibri"/>
          <w:bCs/>
          <w:noProof/>
          <w:lang w:val="es-DO"/>
        </w:rPr>
        <w:t xml:space="preserve">Durante el período de verano de 2025, los museos administrados por la Dirección General de Museos (DGM) desarrollaron una </w:t>
      </w:r>
      <w:r w:rsidRPr="005374D2">
        <w:rPr>
          <w:rFonts w:eastAsia="Calibri"/>
          <w:b/>
          <w:noProof/>
          <w:lang w:val="es-DO"/>
        </w:rPr>
        <w:t>programación especial de campamentos y talleres de verano</w:t>
      </w:r>
      <w:r w:rsidRPr="005374D2">
        <w:rPr>
          <w:rFonts w:eastAsia="Calibri"/>
          <w:bCs/>
          <w:noProof/>
          <w:lang w:val="es-DO"/>
        </w:rPr>
        <w:t xml:space="preserve">, </w:t>
      </w:r>
      <w:r>
        <w:rPr>
          <w:rFonts w:eastAsia="Calibri"/>
          <w:bCs/>
          <w:noProof/>
          <w:lang w:val="es-DO"/>
        </w:rPr>
        <w:t xml:space="preserve">con una inversión de RD$385,900, estos </w:t>
      </w:r>
      <w:r w:rsidRPr="005374D2">
        <w:rPr>
          <w:rFonts w:eastAsia="Calibri"/>
          <w:bCs/>
          <w:noProof/>
          <w:lang w:val="es-DO"/>
        </w:rPr>
        <w:t>espacios de aprendizaje, recreación y acercamiento temprano al patrimonio cultural</w:t>
      </w:r>
      <w:r>
        <w:rPr>
          <w:rFonts w:eastAsia="Calibri"/>
          <w:bCs/>
          <w:noProof/>
          <w:lang w:val="es-DO"/>
        </w:rPr>
        <w:t>, beneficiaron un total de 350 niños y niñas, con edades entre 7 y 12 años</w:t>
      </w:r>
      <w:r w:rsidRPr="005374D2">
        <w:rPr>
          <w:rFonts w:eastAsia="Calibri"/>
          <w:bCs/>
          <w:noProof/>
          <w:lang w:val="es-DO"/>
        </w:rPr>
        <w:t xml:space="preserve">. </w:t>
      </w:r>
    </w:p>
    <w:p w14:paraId="5A26DBAA" w14:textId="77777777" w:rsidR="005374D2" w:rsidRPr="005374D2" w:rsidRDefault="005374D2" w:rsidP="005374D2">
      <w:pPr>
        <w:spacing w:line="360" w:lineRule="auto"/>
        <w:jc w:val="both"/>
        <w:rPr>
          <w:rFonts w:eastAsia="Calibri"/>
          <w:bCs/>
          <w:noProof/>
          <w:lang w:val="es-DO"/>
        </w:rPr>
      </w:pPr>
      <w:r w:rsidRPr="005374D2">
        <w:rPr>
          <w:rFonts w:eastAsia="Calibri"/>
          <w:bCs/>
          <w:noProof/>
          <w:lang w:val="es-DO"/>
        </w:rPr>
        <w:t xml:space="preserve">Estas iniciativas estuvieron orientadas principalmente a niños, niñas y adolescentes, con el objetivo de fomentar el interés por la historia, el arte, la identidad nacional y las expresiones culturales, mediante metodologías participativas y experiencias educativas no formales. Los campamentos y talleres integraron actividades como recorridos guiados adaptados por edades, talleres creativos, dinámicas lúdicas, actividades artísticas, charlas educativas y ejercicios de mediación cultural, utilizando las colecciones y los espacios museísticos como recursos pedagógicos. </w:t>
      </w:r>
    </w:p>
    <w:p w14:paraId="1FC5FE19" w14:textId="77777777" w:rsidR="005374D2" w:rsidRPr="005374D2" w:rsidRDefault="005374D2" w:rsidP="005374D2">
      <w:pPr>
        <w:spacing w:line="360" w:lineRule="auto"/>
        <w:jc w:val="both"/>
        <w:rPr>
          <w:rFonts w:eastAsia="Calibri"/>
          <w:bCs/>
          <w:noProof/>
          <w:lang w:val="es-DO"/>
        </w:rPr>
      </w:pPr>
      <w:r w:rsidRPr="005374D2">
        <w:rPr>
          <w:rFonts w:eastAsia="Calibri"/>
          <w:bCs/>
          <w:noProof/>
          <w:lang w:val="es-DO"/>
        </w:rPr>
        <w:t xml:space="preserve">Esta programación permitió fortalecer el vínculo de las nuevas generaciones con los museos, promoviendo valores de respeto, cuidado del patrimonio y apropiación social de la cultura desde edades tempranas. Los campamentos y talleres de verano reafirmaron el rol de los museos como espacios vivos de formación, inclusión y desarrollo integral, contribuyendo a ampliar y diversificar los </w:t>
      </w:r>
      <w:r w:rsidRPr="005374D2">
        <w:rPr>
          <w:rFonts w:eastAsia="Calibri"/>
          <w:bCs/>
          <w:noProof/>
          <w:lang w:val="es-DO"/>
        </w:rPr>
        <w:lastRenderedPageBreak/>
        <w:t>públicos y a consolidar una cultura de acceso continuo al patrimonio cultural dominicano.</w:t>
      </w:r>
    </w:p>
    <w:p w14:paraId="1D749010" w14:textId="09B1C9CB" w:rsidR="005374D2" w:rsidRDefault="005374D2" w:rsidP="005374D2">
      <w:pPr>
        <w:spacing w:line="360" w:lineRule="auto"/>
        <w:jc w:val="both"/>
        <w:rPr>
          <w:rFonts w:eastAsia="Calibri"/>
          <w:bCs/>
          <w:noProof/>
          <w:lang w:val="es-DO"/>
        </w:rPr>
      </w:pPr>
      <w:r w:rsidRPr="005374D2">
        <w:rPr>
          <w:rFonts w:eastAsia="Calibri"/>
          <w:bCs/>
          <w:noProof/>
          <w:lang w:val="es-DO"/>
        </w:rPr>
        <w:t>Otro logro relevante del año 2025 fue la inauguración de la Mediateca Aquiles Azar es un espacio cultural inaugurado en el 14 de diciembre de 2025 en el Museo de Arte Moderno de Santo Domingo, concebido como un centro de acceso a materiales de lectura, consulta e investigación relacionados con las artes visuales y la cultura dominicana.</w:t>
      </w:r>
    </w:p>
    <w:p w14:paraId="5D54A96A" w14:textId="77777777" w:rsidR="00BD6592" w:rsidRDefault="00C52FE6" w:rsidP="00BD6592">
      <w:pPr>
        <w:spacing w:line="360" w:lineRule="auto"/>
        <w:jc w:val="both"/>
        <w:rPr>
          <w:rFonts w:eastAsia="Calibri"/>
          <w:bCs/>
          <w:noProof/>
          <w:lang w:val="es-DO"/>
        </w:rPr>
      </w:pPr>
      <w:r w:rsidRPr="00BD6592">
        <w:rPr>
          <w:rFonts w:eastAsia="Calibri"/>
          <w:bCs/>
          <w:noProof/>
          <w:lang w:val="es-DO"/>
        </w:rPr>
        <w:t>En el ámbito de la innovación y modernización de la gestión, la DGM avanzó en la implementación del Sistema de Monitoreo de Visitas, una herramienta tecnológica que, al cierre de 2025, integra información de 45 museos públicos y privados.</w:t>
      </w:r>
      <w:r w:rsidRPr="00C52FE6">
        <w:rPr>
          <w:rFonts w:eastAsia="Calibri"/>
          <w:b/>
          <w:noProof/>
          <w:lang w:val="es-DO"/>
        </w:rPr>
        <w:t xml:space="preserve"> </w:t>
      </w:r>
      <w:r w:rsidRPr="00BD6592">
        <w:rPr>
          <w:rFonts w:eastAsia="Calibri"/>
          <w:bCs/>
          <w:noProof/>
          <w:lang w:val="es-DO"/>
        </w:rPr>
        <w:t>Este sistema fue fortalecido con la donación de 100 tabletas electrónicas por parte de la Oficina Nacional de Estadística (ONE), permitiendo estandarizar la recolección de datos, mejorar la calidad de la información y fortalecer la toma de decisiones basada en evidencia.</w:t>
      </w:r>
    </w:p>
    <w:p w14:paraId="75674C9F" w14:textId="77777777" w:rsidR="00BD6592" w:rsidRDefault="00C52FE6" w:rsidP="00BD6592">
      <w:pPr>
        <w:spacing w:line="360" w:lineRule="auto"/>
        <w:jc w:val="both"/>
        <w:rPr>
          <w:rFonts w:eastAsia="Calibri"/>
          <w:bCs/>
          <w:noProof/>
          <w:lang w:val="es-DO"/>
        </w:rPr>
      </w:pPr>
      <w:r w:rsidRPr="00BD6592">
        <w:rPr>
          <w:rFonts w:eastAsia="Calibri"/>
          <w:bCs/>
          <w:noProof/>
          <w:lang w:val="es-DO"/>
        </w:rPr>
        <w:t>Asimismo, se registraron avances relevantes en cooperación internacional, destacándose la participación activa de la DGM en el Programa Ibermuseos, la colaboración técnica con el Museum of Modern Art (MoMA) y la ejecución de una consultoría financiada por el Banco Interamericano de Desarrollo (BID) para la elaboración del Plan de Gestión de Riesgos de Desastres de los museos de la Ciudad Colonial, fortaleciendo la resiliencia del patrimonio ante eventos naturales y emergencias.</w:t>
      </w:r>
    </w:p>
    <w:p w14:paraId="44B03664" w14:textId="77777777" w:rsidR="00BD6592" w:rsidRDefault="00C52FE6" w:rsidP="00BD6592">
      <w:pPr>
        <w:spacing w:line="360" w:lineRule="auto"/>
        <w:jc w:val="both"/>
        <w:rPr>
          <w:rFonts w:eastAsia="Calibri"/>
          <w:bCs/>
          <w:noProof/>
          <w:lang w:val="es-DO"/>
        </w:rPr>
      </w:pPr>
      <w:r w:rsidRPr="00BD6592">
        <w:rPr>
          <w:rFonts w:eastAsia="Calibri"/>
          <w:bCs/>
          <w:noProof/>
          <w:lang w:val="es-DO"/>
        </w:rPr>
        <w:t xml:space="preserve">En cuanto a la territorialización de la oferta museística, durante 2025 se consolidaron proyectos estratégicos para la creación y desarrollo de nuevos museos en Santiago, Cotuí, Dajabón y San Pedro de Macorís, así como el acompañamiento técnico a iniciativas impulsadas por gobiernos locales, universidades, asociaciones </w:t>
      </w:r>
      <w:r w:rsidRPr="00BD6592">
        <w:rPr>
          <w:rFonts w:eastAsia="Calibri"/>
          <w:bCs/>
          <w:noProof/>
          <w:lang w:val="es-DO"/>
        </w:rPr>
        <w:lastRenderedPageBreak/>
        <w:t>comunitarias y el sector privado. Estas acciones fortalecen la equidad territorial y democratizan el acceso a la cultura más allá del Distrito Nacional.</w:t>
      </w:r>
    </w:p>
    <w:p w14:paraId="2607D07A" w14:textId="77777777" w:rsidR="002548A4" w:rsidRDefault="002548A4" w:rsidP="00BD6592">
      <w:pPr>
        <w:spacing w:line="360" w:lineRule="auto"/>
        <w:jc w:val="both"/>
        <w:rPr>
          <w:rFonts w:eastAsia="Calibri"/>
          <w:bCs/>
          <w:noProof/>
          <w:lang w:val="es-DO"/>
        </w:rPr>
      </w:pPr>
      <w:r w:rsidRPr="002548A4">
        <w:rPr>
          <w:rFonts w:eastAsia="Calibri"/>
          <w:bCs/>
          <w:noProof/>
          <w:lang w:val="es-DO"/>
        </w:rPr>
        <w:t xml:space="preserve">En el marco del fortalecimiento de los derechos culturales y la transversalización del enfoque de género en la política cultural, durante el año 2025 la Dirección General de Museos organizó, en articulación con el Tribunal Constitucional de la República Dominicana, el </w:t>
      </w:r>
      <w:r w:rsidRPr="002548A4">
        <w:rPr>
          <w:rFonts w:eastAsia="Calibri"/>
          <w:b/>
          <w:noProof/>
          <w:lang w:val="es-DO"/>
        </w:rPr>
        <w:t>Congreso “Mujer y Derecho a la Cultura”</w:t>
      </w:r>
      <w:r w:rsidRPr="002548A4">
        <w:rPr>
          <w:rFonts w:eastAsia="Calibri"/>
          <w:bCs/>
          <w:noProof/>
          <w:lang w:val="es-DO"/>
        </w:rPr>
        <w:t xml:space="preserve">. </w:t>
      </w:r>
    </w:p>
    <w:p w14:paraId="6001DB8A" w14:textId="77777777" w:rsidR="002548A4" w:rsidRDefault="002548A4" w:rsidP="00BD6592">
      <w:pPr>
        <w:spacing w:line="360" w:lineRule="auto"/>
        <w:jc w:val="both"/>
        <w:rPr>
          <w:rFonts w:eastAsia="Calibri"/>
          <w:bCs/>
          <w:noProof/>
          <w:lang w:val="es-DO"/>
        </w:rPr>
      </w:pPr>
      <w:r w:rsidRPr="002548A4">
        <w:rPr>
          <w:rFonts w:eastAsia="Calibri"/>
          <w:bCs/>
          <w:noProof/>
          <w:lang w:val="es-DO"/>
        </w:rPr>
        <w:t xml:space="preserve">Esta iniciativa se desarrolló como un espacio nacional de análisis, diálogo e intercambio de experiencias sobre el acceso equitativo de las mujeres a la vida cultural, su participación en la gestión del patrimonio y el reconocimiento de sus aportes en los ámbitos artístico, histórico y comunitario. </w:t>
      </w:r>
    </w:p>
    <w:p w14:paraId="1565E1F1" w14:textId="77777777" w:rsidR="002548A4" w:rsidRDefault="002548A4" w:rsidP="00BD6592">
      <w:pPr>
        <w:spacing w:line="360" w:lineRule="auto"/>
        <w:jc w:val="both"/>
        <w:rPr>
          <w:rFonts w:eastAsia="Calibri"/>
          <w:bCs/>
          <w:noProof/>
          <w:lang w:val="es-DO"/>
        </w:rPr>
      </w:pPr>
      <w:r w:rsidRPr="002548A4">
        <w:rPr>
          <w:rFonts w:eastAsia="Calibri"/>
          <w:bCs/>
          <w:noProof/>
          <w:lang w:val="es-DO"/>
        </w:rPr>
        <w:t xml:space="preserve">El congreso contó con la participación de representantes del sector público, académicas, gestoras culturales, artistas, juristas y organizaciones de la sociedad civil, beneficiando a </w:t>
      </w:r>
      <w:r>
        <w:rPr>
          <w:rFonts w:eastAsia="Calibri"/>
          <w:bCs/>
          <w:noProof/>
          <w:lang w:val="es-DO"/>
        </w:rPr>
        <w:t>117</w:t>
      </w:r>
      <w:r w:rsidRPr="002548A4">
        <w:rPr>
          <w:rFonts w:eastAsia="Calibri"/>
          <w:bCs/>
          <w:noProof/>
          <w:lang w:val="es-DO"/>
        </w:rPr>
        <w:t xml:space="preserve"> participantes provenientes de distintas regiones del país, con una inversión aproximada de RD$305,311.77. </w:t>
      </w:r>
    </w:p>
    <w:p w14:paraId="66CD600C" w14:textId="425015EC" w:rsidR="00BD6592" w:rsidRDefault="002548A4" w:rsidP="00BD6592">
      <w:pPr>
        <w:spacing w:line="360" w:lineRule="auto"/>
        <w:jc w:val="both"/>
        <w:rPr>
          <w:rFonts w:eastAsia="Calibri"/>
          <w:bCs/>
          <w:noProof/>
          <w:lang w:val="es-DO"/>
        </w:rPr>
      </w:pPr>
      <w:r w:rsidRPr="002548A4">
        <w:rPr>
          <w:rFonts w:eastAsia="Calibri"/>
          <w:bCs/>
          <w:noProof/>
          <w:lang w:val="es-DO"/>
        </w:rPr>
        <w:t>Esta acción consolidó a los museos como plataformas de reflexión cívica y promoción de derechos fundamentales, fortaleciendo la articulación cultura–justicia–género y aportando al cumplimiento de los compromisos nacionales e internacionales en materia de igualdad, inclusión y desarrollo sostenible.</w:t>
      </w:r>
    </w:p>
    <w:p w14:paraId="7EB7EB77" w14:textId="3723785D" w:rsidR="00C52FE6" w:rsidRPr="002548A4" w:rsidRDefault="00C52FE6" w:rsidP="00BD6592">
      <w:pPr>
        <w:spacing w:line="360" w:lineRule="auto"/>
        <w:jc w:val="both"/>
        <w:rPr>
          <w:rFonts w:eastAsia="Calibri"/>
          <w:bCs/>
          <w:noProof/>
          <w:lang w:val="es-DO"/>
        </w:rPr>
        <w:sectPr w:rsidR="00C52FE6" w:rsidRPr="002548A4" w:rsidSect="00FE55BE">
          <w:footerReference w:type="default" r:id="rId18"/>
          <w:pgSz w:w="12240" w:h="15840"/>
          <w:pgMar w:top="1440" w:right="2160" w:bottom="1440" w:left="2160" w:header="720" w:footer="720" w:gutter="0"/>
          <w:cols w:space="720"/>
          <w:docGrid w:linePitch="360"/>
        </w:sectPr>
      </w:pPr>
      <w:r w:rsidRPr="002548A4">
        <w:rPr>
          <w:rFonts w:eastAsia="Calibri"/>
          <w:bCs/>
          <w:noProof/>
          <w:lang w:val="es-DO"/>
        </w:rPr>
        <w:t xml:space="preserve">En síntesis, los resultados alcanzados durante 2025 reflejan una gestión institucional sólida, transparente y orientada al impacto social, que posiciona a la Dirección General de Museos como un actor clave en la preservación del patrimonio cultural, la educación ciudadana y el desarrollo cultural sostenible de la República </w:t>
      </w:r>
      <w:r w:rsidRPr="002548A4">
        <w:rPr>
          <w:rFonts w:eastAsia="Calibri"/>
          <w:bCs/>
          <w:noProof/>
          <w:lang w:val="es-DO"/>
        </w:rPr>
        <w:lastRenderedPageBreak/>
        <w:t>Dominicana, sentando bases firmes para la consolidación del sistema museístico nacional en los años venideros.</w:t>
      </w:r>
    </w:p>
    <w:p w14:paraId="6384D0D4" w14:textId="2D7E952E" w:rsidR="00654164" w:rsidRPr="000F346E" w:rsidRDefault="00654164" w:rsidP="00654164">
      <w:pPr>
        <w:pStyle w:val="Ttulo1"/>
        <w:rPr>
          <w:rFonts w:cs="Times New Roman"/>
          <w:color w:val="4C4747"/>
          <w:lang w:val="es-DO"/>
        </w:rPr>
      </w:pPr>
      <w:r w:rsidRPr="000F346E">
        <w:rPr>
          <w:rFonts w:cs="Times New Roman"/>
          <w:color w:val="4C4747"/>
          <w:lang w:val="es-DO"/>
        </w:rPr>
        <w:lastRenderedPageBreak/>
        <w:t>INFORMACIÓN INSTITUCIONAL</w:t>
      </w:r>
    </w:p>
    <w:p w14:paraId="794C2FD3" w14:textId="73C7B9AC" w:rsidR="00654164" w:rsidRPr="000F346E"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45"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4BB32" id="Straight Connector 8" o:spid="_x0000_s1026" style="position:absolute;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49C63BEB" w:rsidR="00654164" w:rsidRPr="000F346E" w:rsidRDefault="00654164" w:rsidP="00654164">
      <w:pPr>
        <w:jc w:val="center"/>
        <w:rPr>
          <w:rFonts w:eastAsia="Calibri"/>
          <w:color w:val="4C4747"/>
          <w:szCs w:val="36"/>
          <w:lang w:val="es-DO"/>
        </w:rPr>
      </w:pPr>
      <w:r w:rsidRPr="000F346E">
        <w:rPr>
          <w:rFonts w:eastAsia="Calibri"/>
          <w:color w:val="4C4747"/>
          <w:szCs w:val="36"/>
          <w:lang w:val="es-DO"/>
        </w:rPr>
        <w:t xml:space="preserve">Memoria </w:t>
      </w:r>
      <w:r w:rsidR="009547F0" w:rsidRPr="000F346E">
        <w:rPr>
          <w:rFonts w:eastAsia="Calibri"/>
          <w:color w:val="4C4747"/>
          <w:szCs w:val="36"/>
          <w:lang w:val="es-DO"/>
        </w:rPr>
        <w:t>I</w:t>
      </w:r>
      <w:r w:rsidRPr="000F346E">
        <w:rPr>
          <w:rFonts w:eastAsia="Calibri"/>
          <w:color w:val="4C4747"/>
          <w:szCs w:val="36"/>
          <w:lang w:val="es-DO"/>
        </w:rPr>
        <w:t xml:space="preserve">nstitucional </w:t>
      </w:r>
      <w:r w:rsidR="007471AC" w:rsidRPr="000F346E">
        <w:rPr>
          <w:rFonts w:eastAsia="Calibri"/>
          <w:color w:val="4C4747"/>
          <w:szCs w:val="36"/>
          <w:lang w:val="es-DO"/>
        </w:rPr>
        <w:t>202</w:t>
      </w:r>
      <w:r w:rsidR="00450F91">
        <w:rPr>
          <w:rFonts w:eastAsia="Calibri"/>
          <w:color w:val="4C4747"/>
          <w:szCs w:val="36"/>
          <w:lang w:val="es-DO"/>
        </w:rPr>
        <w:t>5</w:t>
      </w:r>
    </w:p>
    <w:p w14:paraId="2B666816" w14:textId="1C5D5AEE" w:rsidR="007F7044" w:rsidRPr="00857888" w:rsidRDefault="007F7044" w:rsidP="00DB2C88">
      <w:pPr>
        <w:shd w:val="clear" w:color="auto" w:fill="FFFFFF"/>
        <w:spacing w:line="360" w:lineRule="auto"/>
        <w:rPr>
          <w:b/>
          <w:bCs/>
          <w:noProof/>
          <w:lang w:val="es-DO"/>
        </w:rPr>
      </w:pPr>
      <w:r w:rsidRPr="00857888">
        <w:rPr>
          <w:b/>
          <w:bCs/>
          <w:noProof/>
          <w:lang w:val="es-DO"/>
        </w:rPr>
        <w:t>2.1 Marco Filosófico Institucional</w:t>
      </w:r>
    </w:p>
    <w:p w14:paraId="0F22AC31" w14:textId="77777777" w:rsidR="004C2636" w:rsidRPr="00857888" w:rsidRDefault="004C2636" w:rsidP="00DB2C88">
      <w:pPr>
        <w:spacing w:line="360" w:lineRule="auto"/>
        <w:jc w:val="both"/>
        <w:rPr>
          <w:rFonts w:eastAsia="Calibri"/>
          <w:noProof/>
          <w:lang w:val="es-DO"/>
        </w:rPr>
      </w:pPr>
      <w:r w:rsidRPr="00857888">
        <w:rPr>
          <w:rFonts w:eastAsia="Calibri"/>
          <w:noProof/>
          <w:lang w:val="es-DO"/>
        </w:rPr>
        <w:t>La cultura constituye un sistema dinámico de significados, prácticas y expresiones que modelan la manera en que las sociedades se reconocen, se organizan y proyectan su identidad en el tiempo. A través de ella se configuran valores, saberes, lenguajes y formas de convivencia que permiten interpretar tanto la memoria colectiva como los procesos contemporáneos de transformación social.</w:t>
      </w:r>
    </w:p>
    <w:p w14:paraId="3BAF0F86" w14:textId="77777777" w:rsidR="004C2636" w:rsidRPr="00857888" w:rsidRDefault="004C2636" w:rsidP="00DB2C88">
      <w:pPr>
        <w:spacing w:line="360" w:lineRule="auto"/>
        <w:jc w:val="both"/>
        <w:rPr>
          <w:rFonts w:eastAsia="Calibri"/>
          <w:noProof/>
          <w:lang w:val="es-DO"/>
        </w:rPr>
      </w:pPr>
      <w:r w:rsidRPr="00857888">
        <w:rPr>
          <w:rFonts w:eastAsia="Calibri"/>
          <w:noProof/>
          <w:lang w:val="es-DO"/>
        </w:rPr>
        <w:t>En este contexto, los museos se consolidan como espacios públicos de mediación cultural, conocimiento y diálogo social. Más allá de la exhibición patrimonial, su acción se orienta a la generación de experiencias educativas, investigativas y participativas que fortalecen la comprensión crítica de la historia, la ciencia y las artes, promoviendo la diversidad cultural y el acceso democrático al conocimiento.</w:t>
      </w:r>
    </w:p>
    <w:p w14:paraId="2475628D" w14:textId="77777777" w:rsidR="004C2636" w:rsidRPr="00857888" w:rsidRDefault="004C2636" w:rsidP="00DB2C88">
      <w:pPr>
        <w:spacing w:line="360" w:lineRule="auto"/>
        <w:jc w:val="both"/>
        <w:rPr>
          <w:rFonts w:eastAsia="Calibri"/>
          <w:noProof/>
          <w:lang w:val="es-DO"/>
        </w:rPr>
      </w:pPr>
      <w:r w:rsidRPr="00857888">
        <w:rPr>
          <w:rFonts w:eastAsia="Calibri"/>
          <w:noProof/>
          <w:lang w:val="es-DO"/>
        </w:rPr>
        <w:t>La Dirección General de Museos (DGM), como órgano del Estado Dominicano responsable de la gestión museística nacional, orienta su accionar al fortalecimiento del papel de los museos como agentes activos del desarrollo cultural y social. Su labor se centra en impulsar modelos de gestión que integren conservación, innovación, investigación y vinculación comunitaria, en coherencia con las políticas culturales nacionales.</w:t>
      </w:r>
    </w:p>
    <w:p w14:paraId="3B6FED4D" w14:textId="77777777" w:rsidR="006B75CA" w:rsidRPr="00857888" w:rsidRDefault="004C2636" w:rsidP="00DB2C88">
      <w:pPr>
        <w:spacing w:line="360" w:lineRule="auto"/>
        <w:jc w:val="both"/>
        <w:rPr>
          <w:rFonts w:eastAsia="Calibri"/>
          <w:noProof/>
          <w:lang w:val="es-DO"/>
        </w:rPr>
      </w:pPr>
      <w:r w:rsidRPr="00857888">
        <w:rPr>
          <w:rFonts w:eastAsia="Calibri"/>
          <w:noProof/>
          <w:lang w:val="es-DO"/>
        </w:rPr>
        <w:t xml:space="preserve">Para ello, la DGM diseña e implementa políticas públicas, programas y proyectos de inversión orientados a la protección y puesta en valor de los museos existentes, así como a la creación y fortalecimiento de </w:t>
      </w:r>
      <w:r w:rsidRPr="00857888">
        <w:rPr>
          <w:rFonts w:eastAsia="Calibri"/>
          <w:noProof/>
          <w:lang w:val="es-DO"/>
        </w:rPr>
        <w:lastRenderedPageBreak/>
        <w:t xml:space="preserve">nuevas iniciativas museales vinculadas a las distintas expresiones del patrimonio cultural. </w:t>
      </w:r>
    </w:p>
    <w:p w14:paraId="66EB927A" w14:textId="1058D855" w:rsidR="004C2636" w:rsidRPr="00857888" w:rsidRDefault="004C2636" w:rsidP="00DB2C88">
      <w:pPr>
        <w:spacing w:line="360" w:lineRule="auto"/>
        <w:jc w:val="both"/>
        <w:rPr>
          <w:rFonts w:eastAsia="Calibri"/>
          <w:noProof/>
          <w:lang w:val="es-DO"/>
        </w:rPr>
      </w:pPr>
      <w:r w:rsidRPr="00857888">
        <w:rPr>
          <w:rFonts w:eastAsia="Calibri"/>
          <w:noProof/>
          <w:lang w:val="es-DO"/>
        </w:rPr>
        <w:t>Estas acciones se articulan a través de la Red Nacional de Museos, concebida como un espacio de coordinación y cooperación entre instituciones públicas, privadas y mixtas.</w:t>
      </w:r>
    </w:p>
    <w:p w14:paraId="3F83AC28" w14:textId="77777777" w:rsidR="004C2636" w:rsidRPr="00857888" w:rsidRDefault="004C2636" w:rsidP="00DB2C88">
      <w:pPr>
        <w:spacing w:line="360" w:lineRule="auto"/>
        <w:jc w:val="both"/>
        <w:rPr>
          <w:rFonts w:eastAsia="Calibri"/>
          <w:noProof/>
          <w:lang w:val="es-DO"/>
        </w:rPr>
      </w:pPr>
      <w:r w:rsidRPr="00857888">
        <w:rPr>
          <w:rFonts w:eastAsia="Calibri"/>
          <w:noProof/>
          <w:lang w:val="es-DO"/>
        </w:rPr>
        <w:t>El marco filosófico institucional de la DGM establece los principios y valores que orientan su gestión, proporcionando un referente ético y conceptual para la toma de decisiones y la planificación estratégica. Dicho marco sustenta el compromiso de la institución con el fortalecimiento de la identidad cultural dominicana y la promoción de un sentido de pertenencia y corresponsabilidad social en torno al patrimonio cultural, tanto material como inmaterial.</w:t>
      </w:r>
    </w:p>
    <w:p w14:paraId="015F4B5A" w14:textId="77777777" w:rsidR="002A5C1C" w:rsidRPr="00857888" w:rsidRDefault="004C2636" w:rsidP="00DB2C88">
      <w:pPr>
        <w:spacing w:line="360" w:lineRule="auto"/>
        <w:jc w:val="both"/>
        <w:rPr>
          <w:rFonts w:eastAsia="Calibri"/>
          <w:noProof/>
          <w:lang w:val="es-DO"/>
        </w:rPr>
      </w:pPr>
      <w:r w:rsidRPr="00857888">
        <w:rPr>
          <w:rFonts w:eastAsia="Calibri"/>
          <w:noProof/>
          <w:lang w:val="es-DO"/>
        </w:rPr>
        <w:t>Desde esta perspectiva, la cultura es asumida como una dimensión transversal del desarrollo sostenible, con incidencia directa en la educación, la cohesión social, la salud y el bienestar de la población, contribuyendo a la construcción de sociedades más inclusivas, diversas y equitativas.</w:t>
      </w:r>
    </w:p>
    <w:p w14:paraId="44E5638E" w14:textId="1CB90771" w:rsidR="007F7044" w:rsidRPr="00857888" w:rsidRDefault="007F7044" w:rsidP="00DB2C88">
      <w:pPr>
        <w:spacing w:line="360" w:lineRule="auto"/>
        <w:jc w:val="both"/>
        <w:rPr>
          <w:rFonts w:eastAsia="Calibri"/>
          <w:noProof/>
          <w:lang w:val="es-DO"/>
        </w:rPr>
      </w:pPr>
      <w:r w:rsidRPr="00857888">
        <w:rPr>
          <w:rFonts w:eastAsia="Calibri"/>
          <w:noProof/>
          <w:lang w:val="es-DO"/>
        </w:rPr>
        <w:t>La fislosofia de la DGM está plasmada en los elementos institucionales distintivos, indicados a continuación:</w:t>
      </w:r>
    </w:p>
    <w:p w14:paraId="56B1DE3C" w14:textId="09CC005E" w:rsidR="007F7044" w:rsidRPr="00857888" w:rsidRDefault="007F7044" w:rsidP="00DB2C88">
      <w:pPr>
        <w:spacing w:line="360" w:lineRule="auto"/>
        <w:jc w:val="center"/>
        <w:rPr>
          <w:rFonts w:eastAsia="Calibri"/>
          <w:b/>
          <w:bCs/>
          <w:noProof/>
          <w:lang w:val="es-DO"/>
        </w:rPr>
      </w:pPr>
      <w:r w:rsidRPr="00857888">
        <w:rPr>
          <w:rFonts w:eastAsia="Calibri"/>
          <w:b/>
          <w:bCs/>
          <w:noProof/>
          <w:lang w:val="es-DO"/>
        </w:rPr>
        <w:t>Misión</w:t>
      </w:r>
    </w:p>
    <w:p w14:paraId="00A78296" w14:textId="77777777" w:rsidR="007F7044" w:rsidRPr="00857888" w:rsidRDefault="007F7044" w:rsidP="00DB2C88">
      <w:pPr>
        <w:spacing w:line="360" w:lineRule="auto"/>
        <w:jc w:val="both"/>
        <w:rPr>
          <w:rFonts w:eastAsia="Calibri"/>
          <w:noProof/>
          <w:lang w:val="es-DO"/>
        </w:rPr>
      </w:pPr>
      <w:r w:rsidRPr="00857888">
        <w:rPr>
          <w:rFonts w:eastAsia="Calibri"/>
          <w:noProof/>
          <w:lang w:val="es-DO"/>
        </w:rPr>
        <w:t>Conservar el patrimonio cultural, custodiar para protegerlo y ponerlo en valor, convirtiendo los museos en espacios vitales de las comunidades y de los públicos diversos, dialogando con la gente, haciendo museos más interactivos, innovadores, democratizados en sus programaciones y con sentido educativo, crítico y lúdico.</w:t>
      </w:r>
    </w:p>
    <w:p w14:paraId="47642D76" w14:textId="77777777" w:rsidR="000D365D" w:rsidRDefault="000D365D" w:rsidP="00DB2C88">
      <w:pPr>
        <w:spacing w:line="360" w:lineRule="auto"/>
        <w:jc w:val="center"/>
        <w:rPr>
          <w:rFonts w:eastAsia="Calibri"/>
          <w:b/>
          <w:bCs/>
          <w:noProof/>
          <w:lang w:val="es-DO"/>
        </w:rPr>
      </w:pPr>
    </w:p>
    <w:p w14:paraId="10FCA933" w14:textId="77777777" w:rsidR="000D365D" w:rsidRDefault="000D365D" w:rsidP="00DB2C88">
      <w:pPr>
        <w:spacing w:line="360" w:lineRule="auto"/>
        <w:jc w:val="center"/>
        <w:rPr>
          <w:rFonts w:eastAsia="Calibri"/>
          <w:b/>
          <w:bCs/>
          <w:noProof/>
          <w:lang w:val="es-DO"/>
        </w:rPr>
      </w:pPr>
    </w:p>
    <w:p w14:paraId="5ADBD5A3" w14:textId="6930D232" w:rsidR="007F7044" w:rsidRPr="00857888" w:rsidRDefault="007F7044" w:rsidP="00DB2C88">
      <w:pPr>
        <w:spacing w:line="360" w:lineRule="auto"/>
        <w:jc w:val="center"/>
        <w:rPr>
          <w:rFonts w:eastAsia="Calibri"/>
          <w:b/>
          <w:bCs/>
          <w:noProof/>
          <w:lang w:val="es-DO"/>
        </w:rPr>
      </w:pPr>
      <w:r w:rsidRPr="00857888">
        <w:rPr>
          <w:rFonts w:eastAsia="Calibri"/>
          <w:b/>
          <w:bCs/>
          <w:noProof/>
          <w:lang w:val="es-DO"/>
        </w:rPr>
        <w:lastRenderedPageBreak/>
        <w:t>Visión</w:t>
      </w:r>
    </w:p>
    <w:p w14:paraId="11AF383D" w14:textId="716BE622" w:rsidR="007F7044" w:rsidRPr="00857888" w:rsidRDefault="007F7044" w:rsidP="00DB2C88">
      <w:pPr>
        <w:spacing w:line="360" w:lineRule="auto"/>
        <w:jc w:val="both"/>
        <w:rPr>
          <w:rFonts w:eastAsia="Calibri"/>
          <w:noProof/>
          <w:lang w:val="es-DO"/>
        </w:rPr>
      </w:pPr>
      <w:r w:rsidRPr="00857888">
        <w:rPr>
          <w:rFonts w:eastAsia="Calibri"/>
          <w:noProof/>
          <w:lang w:val="es-DO"/>
        </w:rPr>
        <w:t>Ser el órgano del sector cultural que nuclee el Sistema Nacional de Museos, consolidando los museos estatales y ampliando la relación con los museos no estatales, para lograr una coordinación y resultados eficientes y satisfactorios en la oferta museística nacional y crear una comunidad museística.</w:t>
      </w:r>
    </w:p>
    <w:p w14:paraId="0A0D4704" w14:textId="77777777" w:rsidR="007F7044" w:rsidRPr="00857888" w:rsidRDefault="007F7044" w:rsidP="00DB2C88">
      <w:pPr>
        <w:spacing w:line="360" w:lineRule="auto"/>
        <w:jc w:val="center"/>
        <w:rPr>
          <w:rFonts w:eastAsia="Calibri"/>
          <w:b/>
          <w:bCs/>
          <w:noProof/>
          <w:lang w:val="es-DO"/>
        </w:rPr>
      </w:pPr>
      <w:r w:rsidRPr="00857888">
        <w:rPr>
          <w:rFonts w:eastAsia="Calibri"/>
          <w:b/>
          <w:bCs/>
          <w:noProof/>
          <w:lang w:val="es-DO"/>
        </w:rPr>
        <w:t>Valores</w:t>
      </w:r>
    </w:p>
    <w:p w14:paraId="3A6A298A"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Transparencia</w:t>
      </w:r>
    </w:p>
    <w:p w14:paraId="15C858BE"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Responsabilidad</w:t>
      </w:r>
    </w:p>
    <w:p w14:paraId="4201410C"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Compromiso</w:t>
      </w:r>
    </w:p>
    <w:p w14:paraId="452942E6"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Integridad</w:t>
      </w:r>
    </w:p>
    <w:p w14:paraId="5AF84DB7"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Cooperación</w:t>
      </w:r>
    </w:p>
    <w:p w14:paraId="02CA4F5C"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Ética</w:t>
      </w:r>
    </w:p>
    <w:p w14:paraId="265322C9"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Solidaridad</w:t>
      </w:r>
    </w:p>
    <w:p w14:paraId="5E6A52DC" w14:textId="77777777" w:rsidR="007F7044" w:rsidRPr="00857888" w:rsidRDefault="007F7044" w:rsidP="00DB2C88">
      <w:pPr>
        <w:spacing w:line="360" w:lineRule="auto"/>
        <w:jc w:val="center"/>
        <w:rPr>
          <w:rFonts w:eastAsia="Calibri"/>
          <w:noProof/>
          <w:lang w:val="es-DO"/>
        </w:rPr>
      </w:pPr>
      <w:r w:rsidRPr="00857888">
        <w:rPr>
          <w:rFonts w:eastAsia="Calibri"/>
          <w:noProof/>
          <w:lang w:val="es-DO"/>
        </w:rPr>
        <w:t>Socialización</w:t>
      </w:r>
    </w:p>
    <w:p w14:paraId="2FF9AA99" w14:textId="77777777" w:rsidR="007F7044" w:rsidRDefault="007F7044" w:rsidP="00DB2C88">
      <w:pPr>
        <w:spacing w:line="360" w:lineRule="auto"/>
        <w:jc w:val="center"/>
        <w:rPr>
          <w:rFonts w:eastAsia="Calibri"/>
          <w:noProof/>
          <w:lang w:val="es-DO"/>
        </w:rPr>
      </w:pPr>
      <w:r w:rsidRPr="00857888">
        <w:rPr>
          <w:rFonts w:eastAsia="Calibri"/>
          <w:noProof/>
          <w:lang w:val="es-DO"/>
        </w:rPr>
        <w:t>Tolerancia</w:t>
      </w:r>
    </w:p>
    <w:p w14:paraId="18C1B655" w14:textId="77777777" w:rsidR="007F7044" w:rsidRPr="00857888" w:rsidRDefault="007F7044" w:rsidP="00DB2C88">
      <w:pPr>
        <w:spacing w:line="360" w:lineRule="auto"/>
        <w:rPr>
          <w:b/>
          <w:bCs/>
          <w:noProof/>
          <w:lang w:val="es-DO"/>
        </w:rPr>
      </w:pPr>
      <w:r w:rsidRPr="00857888">
        <w:rPr>
          <w:b/>
          <w:bCs/>
          <w:noProof/>
          <w:lang w:val="es-DO"/>
        </w:rPr>
        <w:t>2.2 Base Legal</w:t>
      </w:r>
    </w:p>
    <w:p w14:paraId="61CBCBD1" w14:textId="49605A46" w:rsidR="00DB01B9" w:rsidRPr="00857888" w:rsidRDefault="00DB01B9" w:rsidP="00DB2C88">
      <w:pPr>
        <w:spacing w:line="360" w:lineRule="auto"/>
        <w:jc w:val="both"/>
        <w:rPr>
          <w:rFonts w:eastAsia="Calibri"/>
          <w:noProof/>
          <w:lang w:val="es-DO"/>
        </w:rPr>
      </w:pPr>
      <w:bookmarkStart w:id="2" w:name="_Hlk153272869"/>
      <w:r w:rsidRPr="00857888">
        <w:rPr>
          <w:rFonts w:eastAsia="Calibri"/>
          <w:noProof/>
          <w:lang w:val="es-DO"/>
        </w:rPr>
        <w:t>La cultura, reconocida en la Constitución de la República Dominicana como un derecho fundamental, constituye un eje estratégico para el desarrollo humano, la cohesión social y el fortalecimiento de la ciudadanía. Este enfoque ha orientado la evolución del marco institucional del sector cultural</w:t>
      </w:r>
      <w:r w:rsidR="001420C5" w:rsidRPr="00857888">
        <w:rPr>
          <w:rFonts w:eastAsia="Calibri"/>
          <w:noProof/>
          <w:lang w:val="es-DO"/>
        </w:rPr>
        <w:t xml:space="preserve"> nacional</w:t>
      </w:r>
      <w:r w:rsidRPr="00857888">
        <w:rPr>
          <w:rFonts w:eastAsia="Calibri"/>
          <w:noProof/>
          <w:lang w:val="es-DO"/>
        </w:rPr>
        <w:t>, en consonancia con los procesos de modernización del Estado y con los estándares internacionales en materia de derechos culturales y gestión pública.</w:t>
      </w:r>
    </w:p>
    <w:p w14:paraId="3E814FF5" w14:textId="77777777" w:rsidR="00DB01B9" w:rsidRPr="00857888" w:rsidRDefault="00DB01B9" w:rsidP="00DB2C88">
      <w:pPr>
        <w:spacing w:line="360" w:lineRule="auto"/>
        <w:jc w:val="both"/>
        <w:rPr>
          <w:rFonts w:eastAsia="Calibri"/>
          <w:noProof/>
          <w:lang w:val="es-DO"/>
        </w:rPr>
      </w:pPr>
      <w:r w:rsidRPr="00857888">
        <w:rPr>
          <w:rFonts w:eastAsia="Calibri"/>
          <w:noProof/>
          <w:lang w:val="es-DO"/>
        </w:rPr>
        <w:lastRenderedPageBreak/>
        <w:t>En el ámbito de la política cultural, la promulgación de la Ley núm. 41-00 consolidó un sistema institucional unificado, estableciendo las bases para la organización, rectoría y gestión del sector cultural público. En este marco, la Dirección General de Museos fue definida como la instancia responsable de la protección, conservación y desarrollo de los museos estatales, así como de la articulación de la Red Nacional de Museos.</w:t>
      </w:r>
    </w:p>
    <w:p w14:paraId="05EEAF22" w14:textId="77777777" w:rsidR="001420C5" w:rsidRPr="00857888" w:rsidRDefault="00DB01B9" w:rsidP="00DB2C88">
      <w:pPr>
        <w:spacing w:line="360" w:lineRule="auto"/>
        <w:jc w:val="both"/>
        <w:rPr>
          <w:rFonts w:eastAsia="Calibri"/>
          <w:noProof/>
          <w:lang w:val="es-DO"/>
        </w:rPr>
      </w:pPr>
      <w:r w:rsidRPr="00857888">
        <w:rPr>
          <w:rFonts w:eastAsia="Calibri"/>
          <w:noProof/>
          <w:lang w:val="es-DO"/>
        </w:rPr>
        <w:t xml:space="preserve">Un punto de inflexión en la gestión museística nacional lo constituye el Decreto núm. 251-22, que declara de interés nacional la intervención y creación de nuevos museos y dispone la desconcentración presupuestaria, administrativa, funcional y operativa de la Dirección General de Museos. </w:t>
      </w:r>
    </w:p>
    <w:p w14:paraId="5351882D" w14:textId="2F23A7F2" w:rsidR="00DB01B9" w:rsidRPr="00857888" w:rsidRDefault="00DB01B9" w:rsidP="00DB2C88">
      <w:pPr>
        <w:spacing w:line="360" w:lineRule="auto"/>
        <w:jc w:val="both"/>
        <w:rPr>
          <w:rFonts w:eastAsia="Calibri"/>
          <w:noProof/>
          <w:lang w:val="es-DO"/>
        </w:rPr>
      </w:pPr>
      <w:r w:rsidRPr="00857888">
        <w:rPr>
          <w:rFonts w:eastAsia="Calibri"/>
          <w:noProof/>
          <w:lang w:val="es-DO"/>
        </w:rPr>
        <w:t>Esta disposición fortalece de manera sustantiva la capacidad institucional de la DGM, al conferirle el rol de unidad ejecutora de proyectos, con competencias directas en planificación, formulación, ejecución y seguimiento de iniciativas de inversión pública en el ámbito museístico.</w:t>
      </w:r>
    </w:p>
    <w:p w14:paraId="40CC2311" w14:textId="77777777" w:rsidR="001420C5" w:rsidRPr="00857888" w:rsidRDefault="00DB01B9" w:rsidP="00DB2C88">
      <w:pPr>
        <w:spacing w:line="360" w:lineRule="auto"/>
        <w:jc w:val="both"/>
        <w:rPr>
          <w:rFonts w:eastAsia="Calibri"/>
          <w:noProof/>
          <w:lang w:val="es-DO"/>
        </w:rPr>
      </w:pPr>
      <w:r w:rsidRPr="00857888">
        <w:rPr>
          <w:rFonts w:eastAsia="Calibri"/>
          <w:noProof/>
          <w:lang w:val="es-DO"/>
        </w:rPr>
        <w:t xml:space="preserve">El impacto de este decreto se refleja en una mayor autonomía operativa, en la optimización de los procesos administrativos y en la mejora de los mecanismos de coordinación interinstitucional, permitiendo una gestión más eficiente y orientada a resultados. </w:t>
      </w:r>
    </w:p>
    <w:p w14:paraId="6D4DE433" w14:textId="1BCDCA07" w:rsidR="00DB01B9" w:rsidRPr="00857888" w:rsidRDefault="00DB01B9" w:rsidP="00DB2C88">
      <w:pPr>
        <w:spacing w:line="360" w:lineRule="auto"/>
        <w:jc w:val="both"/>
        <w:rPr>
          <w:rFonts w:eastAsia="Calibri"/>
          <w:noProof/>
          <w:lang w:val="es-DO"/>
        </w:rPr>
      </w:pPr>
      <w:r w:rsidRPr="00857888">
        <w:rPr>
          <w:rFonts w:eastAsia="Calibri"/>
          <w:noProof/>
          <w:lang w:val="es-DO"/>
        </w:rPr>
        <w:t>Asimismo, posibilita el fortalecimiento de la Red Nacional de Museos como plataforma de articulación territorial, estandarización de buenas prácticas y ampliación del acceso a la oferta museística.</w:t>
      </w:r>
    </w:p>
    <w:p w14:paraId="409ABEE4" w14:textId="77777777" w:rsidR="001420C5" w:rsidRPr="00857888" w:rsidRDefault="00DB01B9" w:rsidP="00DB2C88">
      <w:pPr>
        <w:spacing w:line="360" w:lineRule="auto"/>
        <w:jc w:val="both"/>
        <w:rPr>
          <w:rFonts w:eastAsia="Calibri"/>
          <w:noProof/>
          <w:lang w:val="es-DO"/>
        </w:rPr>
      </w:pPr>
      <w:r w:rsidRPr="00857888">
        <w:rPr>
          <w:rFonts w:eastAsia="Calibri"/>
          <w:noProof/>
          <w:lang w:val="es-DO"/>
        </w:rPr>
        <w:t xml:space="preserve">Desde esta perspectiva, la acción institucional de la DGM se orienta a resultados medibles, vinculados a indicadores de cobertura, conservación, calidad de los servicios museísticos, ejecución de </w:t>
      </w:r>
      <w:r w:rsidRPr="00857888">
        <w:rPr>
          <w:rFonts w:eastAsia="Calibri"/>
          <w:noProof/>
          <w:lang w:val="es-DO"/>
        </w:rPr>
        <w:lastRenderedPageBreak/>
        <w:t xml:space="preserve">proyectos de inversión y participación ciudadana, en coherencia con los instrumentos de planificación nacional y sectorial. </w:t>
      </w:r>
    </w:p>
    <w:p w14:paraId="2529ABC0" w14:textId="0909309D" w:rsidR="00DB01B9" w:rsidRPr="00857888" w:rsidRDefault="00DB01B9" w:rsidP="00DB2C88">
      <w:pPr>
        <w:spacing w:line="360" w:lineRule="auto"/>
        <w:jc w:val="both"/>
        <w:rPr>
          <w:rFonts w:eastAsia="Calibri"/>
          <w:noProof/>
          <w:lang w:val="es-DO"/>
        </w:rPr>
      </w:pPr>
      <w:r w:rsidRPr="00857888">
        <w:rPr>
          <w:rFonts w:eastAsia="Calibri"/>
          <w:noProof/>
          <w:lang w:val="es-DO"/>
        </w:rPr>
        <w:t>De este modo, la gestión museística se posiciona como un componente estratégico de las políticas públicas culturales, con impacto directo en el desarrollo sostenible, la inclusión social y la valorización del patrimonio cultural dominicano.</w:t>
      </w:r>
    </w:p>
    <w:p w14:paraId="1183AF82" w14:textId="123F659B" w:rsidR="007F7044" w:rsidRPr="00857888" w:rsidRDefault="007F7044" w:rsidP="00DB2C88">
      <w:pPr>
        <w:spacing w:line="360" w:lineRule="auto"/>
        <w:jc w:val="both"/>
        <w:rPr>
          <w:rFonts w:eastAsia="Calibri"/>
          <w:noProof/>
          <w:lang w:val="es-DO"/>
        </w:rPr>
      </w:pPr>
      <w:r w:rsidRPr="00857888">
        <w:rPr>
          <w:rFonts w:eastAsia="Calibri"/>
          <w:noProof/>
          <w:lang w:val="es-DO"/>
        </w:rPr>
        <w:t>Bajo este contexto, la Dirección General de Museos realiza sus operaciones al amparo de la legislación siguiente:</w:t>
      </w:r>
    </w:p>
    <w:p w14:paraId="03F0BFFC" w14:textId="77777777" w:rsidR="007F7044" w:rsidRPr="00857888" w:rsidRDefault="007F7044" w:rsidP="00DB2C88">
      <w:pPr>
        <w:pStyle w:val="Prrafodelista"/>
        <w:numPr>
          <w:ilvl w:val="0"/>
          <w:numId w:val="1"/>
        </w:numPr>
        <w:spacing w:line="360" w:lineRule="auto"/>
        <w:jc w:val="both"/>
        <w:rPr>
          <w:rFonts w:eastAsia="Calibri"/>
          <w:noProof/>
          <w:lang w:val="es-DO"/>
        </w:rPr>
      </w:pPr>
      <w:r w:rsidRPr="00857888">
        <w:rPr>
          <w:rFonts w:eastAsia="Calibri"/>
          <w:noProof/>
          <w:lang w:val="es-DO"/>
        </w:rPr>
        <w:t>Constitución de la República Dominicana del 13 de junio del año 2015.</w:t>
      </w:r>
    </w:p>
    <w:p w14:paraId="4601CB09" w14:textId="77777777" w:rsidR="007F7044" w:rsidRPr="00857888" w:rsidRDefault="007F7044" w:rsidP="00DB2C88">
      <w:pPr>
        <w:spacing w:line="360" w:lineRule="auto"/>
        <w:jc w:val="both"/>
        <w:rPr>
          <w:rFonts w:eastAsia="Calibri"/>
          <w:b/>
          <w:bCs/>
          <w:noProof/>
          <w:lang w:val="es-DO"/>
        </w:rPr>
      </w:pPr>
      <w:r w:rsidRPr="00857888">
        <w:rPr>
          <w:rFonts w:eastAsia="Calibri"/>
          <w:b/>
          <w:bCs/>
          <w:noProof/>
          <w:lang w:val="es-DO"/>
        </w:rPr>
        <w:t xml:space="preserve">Leyes </w:t>
      </w:r>
    </w:p>
    <w:p w14:paraId="4DD703B7" w14:textId="77777777" w:rsidR="007F7044" w:rsidRPr="00857888" w:rsidRDefault="007F7044" w:rsidP="00DB2C88">
      <w:pPr>
        <w:pStyle w:val="Prrafodelista"/>
        <w:numPr>
          <w:ilvl w:val="0"/>
          <w:numId w:val="1"/>
        </w:numPr>
        <w:spacing w:line="360" w:lineRule="auto"/>
        <w:jc w:val="both"/>
        <w:rPr>
          <w:rFonts w:eastAsia="Calibri"/>
          <w:noProof/>
          <w:lang w:val="es-DO"/>
        </w:rPr>
      </w:pPr>
      <w:r w:rsidRPr="00857888">
        <w:rPr>
          <w:rFonts w:eastAsia="Calibri"/>
          <w:noProof/>
          <w:lang w:val="es-DO"/>
        </w:rPr>
        <w:t>Ley núm. 41-00, del 28 de junio de 2000, que crea la Secretaría de Estado de Cultura (hoy Ministerio de Cultura). </w:t>
      </w:r>
    </w:p>
    <w:p w14:paraId="4CB66F74" w14:textId="77777777" w:rsidR="007F7044" w:rsidRPr="00857888" w:rsidRDefault="007F7044" w:rsidP="00DB2C88">
      <w:pPr>
        <w:pStyle w:val="Prrafodelista"/>
        <w:numPr>
          <w:ilvl w:val="0"/>
          <w:numId w:val="1"/>
        </w:numPr>
        <w:spacing w:line="360" w:lineRule="auto"/>
        <w:jc w:val="both"/>
        <w:rPr>
          <w:rFonts w:eastAsia="Calibri"/>
          <w:noProof/>
          <w:lang w:val="es-DO"/>
        </w:rPr>
      </w:pPr>
      <w:r w:rsidRPr="00857888">
        <w:rPr>
          <w:rFonts w:eastAsia="Calibri"/>
          <w:noProof/>
          <w:lang w:val="es-DO"/>
        </w:rPr>
        <w:t xml:space="preserve">Ley núm. 340-19, de fecha 17 de julio de 2019, que establece el Régimen de Incentivo y Fomento del Mecenazgo Cultural en la República Dominicana; y el Decreto núm. 558-21, de fecha 10 de septiembre de 2021, que aprueba el Reglamento para la aplicación. </w:t>
      </w:r>
    </w:p>
    <w:p w14:paraId="0DDE852B" w14:textId="77777777" w:rsidR="007F7044" w:rsidRPr="00857888" w:rsidRDefault="007F7044" w:rsidP="00DB2C88">
      <w:pPr>
        <w:pStyle w:val="Prrafodelista"/>
        <w:numPr>
          <w:ilvl w:val="0"/>
          <w:numId w:val="1"/>
        </w:numPr>
        <w:spacing w:line="360" w:lineRule="auto"/>
        <w:jc w:val="both"/>
        <w:rPr>
          <w:rFonts w:eastAsia="Calibri"/>
          <w:noProof/>
          <w:lang w:val="es-DO"/>
        </w:rPr>
      </w:pPr>
      <w:r w:rsidRPr="00857888">
        <w:rPr>
          <w:rFonts w:eastAsia="Calibri"/>
          <w:noProof/>
          <w:lang w:val="es-DO"/>
        </w:rPr>
        <w:t xml:space="preserve">Ley núm. 564, de 27 de septiembre de 1973, sobre la Protección y Conservación de Bienes Etnológicos y Arqueológicos Nacionales. </w:t>
      </w:r>
    </w:p>
    <w:p w14:paraId="2CA775CC" w14:textId="77777777" w:rsidR="007F7044" w:rsidRPr="00857888" w:rsidRDefault="007F7044" w:rsidP="00DB2C88">
      <w:pPr>
        <w:pStyle w:val="Prrafodelista"/>
        <w:numPr>
          <w:ilvl w:val="0"/>
          <w:numId w:val="1"/>
        </w:numPr>
        <w:spacing w:line="360" w:lineRule="auto"/>
        <w:jc w:val="both"/>
        <w:rPr>
          <w:rFonts w:eastAsia="Calibri"/>
          <w:noProof/>
          <w:lang w:val="es-DO"/>
        </w:rPr>
      </w:pPr>
      <w:r w:rsidRPr="00857888">
        <w:rPr>
          <w:rFonts w:eastAsia="Calibri"/>
          <w:noProof/>
          <w:lang w:val="es-DO"/>
        </w:rPr>
        <w:t>Ley núm. 564, del 27 de septiembre de 1972, sobre la prohibición de Exportación de Bienes Culturales.</w:t>
      </w:r>
    </w:p>
    <w:p w14:paraId="2F5EEF46" w14:textId="77777777" w:rsidR="007F7044" w:rsidRPr="00857888" w:rsidRDefault="007F7044" w:rsidP="00DB2C88">
      <w:pPr>
        <w:shd w:val="clear" w:color="auto" w:fill="FFFFFF"/>
        <w:spacing w:line="360" w:lineRule="auto"/>
        <w:jc w:val="both"/>
        <w:rPr>
          <w:rFonts w:eastAsia="Calibri"/>
          <w:b/>
          <w:bCs/>
          <w:noProof/>
          <w:lang w:val="es-DO"/>
        </w:rPr>
      </w:pPr>
      <w:r w:rsidRPr="00857888">
        <w:rPr>
          <w:rFonts w:eastAsia="Calibri"/>
          <w:noProof/>
          <w:lang w:val="es-DO"/>
        </w:rPr>
        <w:t> </w:t>
      </w:r>
      <w:r w:rsidRPr="00857888">
        <w:rPr>
          <w:rFonts w:eastAsia="Calibri"/>
          <w:b/>
          <w:bCs/>
          <w:noProof/>
          <w:lang w:val="es-DO"/>
        </w:rPr>
        <w:t>Leyes transversales</w:t>
      </w:r>
    </w:p>
    <w:p w14:paraId="680E13F0" w14:textId="77777777"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t xml:space="preserve">Ley núm. 340-06, del 18 de agosto de 2006, sobre Compras y Contrataciones de Bienes, Servicios, Obras y Concesiones, su modificación Ley No. 449-06, 6 de diciembre de 2006, y su </w:t>
      </w:r>
      <w:r w:rsidRPr="00857888">
        <w:rPr>
          <w:rFonts w:eastAsia="Calibri"/>
          <w:noProof/>
          <w:lang w:val="es-DO"/>
        </w:rPr>
        <w:lastRenderedPageBreak/>
        <w:t>reglamento de aplicación vigente, Decreto núm. 543-12, del 15 de septiembre de 2012.</w:t>
      </w:r>
    </w:p>
    <w:p w14:paraId="7F1FD146" w14:textId="77777777"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t xml:space="preserve">Ley núm. 41-08, de fecha 16 de enero de 2008, de Funcion Publica y crea la Secretaría de Estado de Administración Pública (hoy Ministerio de Administración Pública); y su reglamento de aplicación el Decreto núm. 528-09, de fecha 21 de julio de 2009. </w:t>
      </w:r>
    </w:p>
    <w:p w14:paraId="02AC6AA3" w14:textId="77777777"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t xml:space="preserve">Ley núm. 61-13 del 12 de abril de 2013, que establece el régimen jurídico del voluntariado en la República Dominicana, y su Reglamento de Aplicación núm. 237-22 de fecha 13 de mayo de 2022. </w:t>
      </w:r>
    </w:p>
    <w:p w14:paraId="2B839A9A" w14:textId="77777777"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t>Ley núm. 107-13, del 8 de agosto de 2013, sobre los Derechos de las Personas en sus Relaciones con la Administración y de Procedimiento Administrativo.</w:t>
      </w:r>
    </w:p>
    <w:p w14:paraId="72CEBFF0" w14:textId="77777777"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t>Ley núm. 247-12, del 9 de agosto de 2012, ley Orgánica de la Administración Pública.</w:t>
      </w:r>
    </w:p>
    <w:p w14:paraId="00A661A9" w14:textId="77777777"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t>Ley núm. 1-12, de fecha 25 de enero de 2012, Orgánica de la Estratégia Nacional de Desarrollo (END) 2030.</w:t>
      </w:r>
    </w:p>
    <w:p w14:paraId="09FD5375" w14:textId="77777777" w:rsidR="007F7044" w:rsidRPr="00857888" w:rsidRDefault="007F7044" w:rsidP="00DB2C88">
      <w:pPr>
        <w:pStyle w:val="Prrafodelista"/>
        <w:numPr>
          <w:ilvl w:val="0"/>
          <w:numId w:val="2"/>
        </w:numPr>
        <w:shd w:val="clear" w:color="auto" w:fill="FFFFFF"/>
        <w:spacing w:line="360" w:lineRule="auto"/>
        <w:jc w:val="both"/>
        <w:rPr>
          <w:rFonts w:eastAsia="Calibri"/>
          <w:noProof/>
          <w:lang w:val="es-DO"/>
        </w:rPr>
      </w:pPr>
      <w:r w:rsidRPr="00857888">
        <w:rPr>
          <w:rFonts w:eastAsia="Calibri"/>
          <w:noProof/>
          <w:lang w:val="es-DO"/>
        </w:rPr>
        <w:t>Ley núm. 481-08, de fecha 11 de diciembre de 2008; que crea el Archivo General de la Nación; y el Decreto No. 129-10 que establece su Reglamento para la Aplicación.</w:t>
      </w:r>
    </w:p>
    <w:p w14:paraId="567778C9" w14:textId="77777777" w:rsidR="007F7044" w:rsidRPr="00857888" w:rsidRDefault="007F7044" w:rsidP="00DB2C88">
      <w:pPr>
        <w:pStyle w:val="Prrafodelista"/>
        <w:numPr>
          <w:ilvl w:val="0"/>
          <w:numId w:val="2"/>
        </w:numPr>
        <w:shd w:val="clear" w:color="auto" w:fill="FFFFFF"/>
        <w:spacing w:line="360" w:lineRule="auto"/>
        <w:jc w:val="both"/>
        <w:rPr>
          <w:rFonts w:eastAsia="Calibri"/>
          <w:noProof/>
          <w:lang w:val="es-DO"/>
        </w:rPr>
      </w:pPr>
      <w:r w:rsidRPr="00857888">
        <w:rPr>
          <w:rFonts w:eastAsia="Calibri"/>
          <w:noProof/>
          <w:lang w:val="es-DO"/>
        </w:rPr>
        <w:t>Ley núm. 498-06, que crea el Sistema Nacional de Planificación e Inversión Pública y su Reglamento de Aplicación núm. 493-07</w:t>
      </w:r>
      <w:r w:rsidRPr="00857888">
        <w:rPr>
          <w:lang w:val="es-DO"/>
        </w:rPr>
        <w:t xml:space="preserve"> </w:t>
      </w:r>
    </w:p>
    <w:p w14:paraId="40618EB9" w14:textId="77777777" w:rsidR="007F7044" w:rsidRPr="00857888" w:rsidRDefault="007F7044" w:rsidP="00DB2C88">
      <w:pPr>
        <w:pStyle w:val="Prrafodelista"/>
        <w:numPr>
          <w:ilvl w:val="0"/>
          <w:numId w:val="2"/>
        </w:numPr>
        <w:shd w:val="clear" w:color="auto" w:fill="FFFFFF"/>
        <w:spacing w:line="360" w:lineRule="auto"/>
        <w:jc w:val="both"/>
        <w:rPr>
          <w:rFonts w:eastAsia="Calibri"/>
          <w:noProof/>
          <w:lang w:val="es-DO"/>
        </w:rPr>
      </w:pPr>
      <w:r w:rsidRPr="00857888">
        <w:rPr>
          <w:rFonts w:eastAsia="Calibri"/>
          <w:noProof/>
          <w:lang w:val="es-DO"/>
        </w:rPr>
        <w:t>Ley núm. 423-06, Orgánica de Presupuesto para el Sector Público y su reglamento.</w:t>
      </w:r>
    </w:p>
    <w:p w14:paraId="79AD2D50" w14:textId="77777777"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t>Ley núm. 122-05, para la regulación y fomento de las asociaciones sin fines de lucro, y su Reglamento de Aplicación núm. 40-08 de fecha 16 de mayo de 2008.</w:t>
      </w:r>
    </w:p>
    <w:p w14:paraId="03B05BAA" w14:textId="646F99E5" w:rsidR="007F7044" w:rsidRPr="00857888" w:rsidRDefault="007F7044" w:rsidP="00DB2C88">
      <w:pPr>
        <w:pStyle w:val="Prrafodelista"/>
        <w:numPr>
          <w:ilvl w:val="0"/>
          <w:numId w:val="2"/>
        </w:numPr>
        <w:spacing w:line="360" w:lineRule="auto"/>
        <w:jc w:val="both"/>
        <w:rPr>
          <w:rFonts w:eastAsia="Calibri"/>
          <w:noProof/>
          <w:lang w:val="es-DO"/>
        </w:rPr>
      </w:pPr>
      <w:r w:rsidRPr="00857888">
        <w:rPr>
          <w:rFonts w:eastAsia="Calibri"/>
          <w:noProof/>
          <w:lang w:val="es-DO"/>
        </w:rPr>
        <w:lastRenderedPageBreak/>
        <w:t>Ley núm. 200-04, del 28 de julio de 2004, sobre Libre Acceso a la Información Pública; y su Reglamento de aplicación del 130-05 de fecha 23 de febrero de 2005.</w:t>
      </w:r>
    </w:p>
    <w:p w14:paraId="0C5CEFFE" w14:textId="77777777" w:rsidR="009A5996" w:rsidRPr="00857888" w:rsidRDefault="007F7044" w:rsidP="00DB2C88">
      <w:pPr>
        <w:spacing w:line="360" w:lineRule="auto"/>
        <w:jc w:val="both"/>
        <w:rPr>
          <w:rFonts w:eastAsia="Calibri"/>
          <w:b/>
          <w:bCs/>
          <w:noProof/>
          <w:lang w:val="es-DO"/>
        </w:rPr>
      </w:pPr>
      <w:r w:rsidRPr="00857888">
        <w:rPr>
          <w:rFonts w:eastAsia="Calibri"/>
          <w:b/>
          <w:bCs/>
          <w:noProof/>
          <w:lang w:val="es-DO"/>
        </w:rPr>
        <w:t>Decretos</w:t>
      </w:r>
    </w:p>
    <w:p w14:paraId="1F852444" w14:textId="21B185B8" w:rsidR="007F7044" w:rsidRPr="00857888" w:rsidRDefault="007F7044" w:rsidP="00DB2C88">
      <w:pPr>
        <w:pStyle w:val="Prrafodelista"/>
        <w:numPr>
          <w:ilvl w:val="0"/>
          <w:numId w:val="20"/>
        </w:numPr>
        <w:spacing w:line="360" w:lineRule="auto"/>
        <w:jc w:val="both"/>
        <w:rPr>
          <w:rFonts w:eastAsia="Calibri"/>
          <w:noProof/>
          <w:lang w:val="es-DO"/>
        </w:rPr>
      </w:pPr>
      <w:r w:rsidRPr="00857888">
        <w:rPr>
          <w:rFonts w:eastAsia="Calibri"/>
          <w:noProof/>
          <w:lang w:val="es-DO"/>
        </w:rPr>
        <w:t>Decreto núm. 251-22, de fecha 19 de mayo del año 2022, que declara de interés nacional la intervención y establecimiento de nuevos museos, y ordena la desconcentración presupuestaria, administrativa, funcional y operativa de la Dirección General de Museos y sus dependencias.</w:t>
      </w:r>
    </w:p>
    <w:p w14:paraId="51CD036B" w14:textId="77777777" w:rsidR="007F7044" w:rsidRPr="00857888" w:rsidRDefault="007F7044" w:rsidP="00DB2C88">
      <w:pPr>
        <w:pStyle w:val="Prrafodelista"/>
        <w:numPr>
          <w:ilvl w:val="0"/>
          <w:numId w:val="3"/>
        </w:numPr>
        <w:shd w:val="clear" w:color="auto" w:fill="FFFFFF"/>
        <w:spacing w:line="360" w:lineRule="auto"/>
        <w:jc w:val="both"/>
        <w:rPr>
          <w:rFonts w:eastAsia="Calibri"/>
          <w:noProof/>
          <w:lang w:val="es-DO"/>
        </w:rPr>
      </w:pPr>
      <w:r w:rsidRPr="00857888">
        <w:rPr>
          <w:rFonts w:eastAsia="Calibri"/>
          <w:noProof/>
          <w:lang w:val="es-DO"/>
        </w:rPr>
        <w:t xml:space="preserve">Decreto núm. 283-21, de fecha 29 de abril de 2021, que crea el Comité para la Preservación de la Ciudad Colonial de Santo Domingo. </w:t>
      </w:r>
    </w:p>
    <w:p w14:paraId="4108FAFC" w14:textId="77777777" w:rsidR="007F7044" w:rsidRPr="00857888" w:rsidRDefault="007F7044" w:rsidP="00DB2C88">
      <w:pPr>
        <w:pStyle w:val="Prrafodelista"/>
        <w:numPr>
          <w:ilvl w:val="0"/>
          <w:numId w:val="3"/>
        </w:numPr>
        <w:spacing w:line="360" w:lineRule="auto"/>
        <w:jc w:val="both"/>
        <w:rPr>
          <w:rFonts w:eastAsia="Calibri"/>
          <w:noProof/>
          <w:lang w:val="es-DO"/>
        </w:rPr>
      </w:pPr>
      <w:r w:rsidRPr="00857888">
        <w:rPr>
          <w:rFonts w:eastAsia="Calibri"/>
          <w:noProof/>
          <w:lang w:val="es-DO"/>
        </w:rPr>
        <w:t>Decreto núm. 79-21; que crea el Comité Gestor de Voluntariados de Instituciones Públicas.</w:t>
      </w:r>
    </w:p>
    <w:p w14:paraId="10916A98" w14:textId="77777777" w:rsidR="007F7044" w:rsidRPr="00857888" w:rsidRDefault="007F7044" w:rsidP="00DB2C88">
      <w:pPr>
        <w:pStyle w:val="Prrafodelista"/>
        <w:numPr>
          <w:ilvl w:val="0"/>
          <w:numId w:val="3"/>
        </w:numPr>
        <w:spacing w:line="360" w:lineRule="auto"/>
        <w:jc w:val="both"/>
        <w:rPr>
          <w:rFonts w:eastAsia="Calibri"/>
          <w:noProof/>
          <w:lang w:val="es-DO"/>
        </w:rPr>
      </w:pPr>
      <w:r w:rsidRPr="00857888">
        <w:rPr>
          <w:rFonts w:eastAsia="Calibri"/>
          <w:noProof/>
          <w:lang w:val="es-DO"/>
        </w:rPr>
        <w:t>Decreto núm. 143-17 que establece las Comisiones de Ética Pública de las instituciones del Estado.</w:t>
      </w:r>
    </w:p>
    <w:p w14:paraId="35B302EA" w14:textId="77777777" w:rsidR="007F7044" w:rsidRPr="00857888" w:rsidRDefault="007F7044" w:rsidP="00DB2C88">
      <w:pPr>
        <w:pStyle w:val="Prrafodelista"/>
        <w:numPr>
          <w:ilvl w:val="0"/>
          <w:numId w:val="3"/>
        </w:numPr>
        <w:shd w:val="clear" w:color="auto" w:fill="FFFFFF"/>
        <w:spacing w:line="360" w:lineRule="auto"/>
        <w:jc w:val="both"/>
        <w:rPr>
          <w:rFonts w:eastAsia="Calibri"/>
          <w:noProof/>
          <w:lang w:val="es-DO"/>
        </w:rPr>
      </w:pPr>
      <w:r w:rsidRPr="00857888">
        <w:rPr>
          <w:rFonts w:eastAsia="Calibri"/>
          <w:noProof/>
          <w:lang w:val="es-DO"/>
        </w:rPr>
        <w:t>Decreto núm. 56-10, de fecha 06 de febrero de 2010, que cambia la denominación a las Secretarías de Estado a Ministerios.</w:t>
      </w:r>
    </w:p>
    <w:p w14:paraId="2F839F9A" w14:textId="77777777" w:rsidR="007F7044" w:rsidRPr="00857888" w:rsidRDefault="007F7044" w:rsidP="00DB2C88">
      <w:pPr>
        <w:pStyle w:val="Prrafodelista"/>
        <w:numPr>
          <w:ilvl w:val="0"/>
          <w:numId w:val="3"/>
        </w:numPr>
        <w:spacing w:line="360" w:lineRule="auto"/>
        <w:jc w:val="both"/>
        <w:rPr>
          <w:rFonts w:eastAsia="Calibri"/>
          <w:noProof/>
          <w:lang w:val="es-DO"/>
        </w:rPr>
      </w:pPr>
      <w:r w:rsidRPr="00857888">
        <w:rPr>
          <w:rFonts w:eastAsia="Calibri"/>
          <w:noProof/>
          <w:lang w:val="es-DO"/>
        </w:rPr>
        <w:t>Decreto núm. 99-03, que integra la Comisión Nacional de la República Dominicana para la UNESCO;</w:t>
      </w:r>
    </w:p>
    <w:p w14:paraId="678EB38E" w14:textId="77777777" w:rsidR="007F7044" w:rsidRPr="00857888" w:rsidRDefault="007F7044" w:rsidP="00DB2C88">
      <w:pPr>
        <w:pStyle w:val="Prrafodelista"/>
        <w:numPr>
          <w:ilvl w:val="0"/>
          <w:numId w:val="3"/>
        </w:numPr>
        <w:shd w:val="clear" w:color="auto" w:fill="FFFFFF"/>
        <w:spacing w:line="360" w:lineRule="auto"/>
        <w:jc w:val="both"/>
        <w:rPr>
          <w:rFonts w:eastAsia="Calibri"/>
          <w:noProof/>
          <w:lang w:val="es-DO"/>
        </w:rPr>
      </w:pPr>
      <w:r w:rsidRPr="00857888">
        <w:rPr>
          <w:rFonts w:eastAsia="Calibri"/>
          <w:noProof/>
          <w:lang w:val="es-DO"/>
        </w:rPr>
        <w:t xml:space="preserve">Decreto núm. 45-86 de fecha 17 de enero de 1986, que crea el Centro Interamericano de Restauración y Microfilmación de documentos, libros y fotografía (CENTROMIDCA), hoy denominado Centro Nacional de Conservación de Obras de Arte y Documentos (CENACOD). </w:t>
      </w:r>
    </w:p>
    <w:p w14:paraId="688B3BE7" w14:textId="77777777" w:rsidR="007F7044" w:rsidRPr="00857888" w:rsidRDefault="007F7044" w:rsidP="00DB2C88">
      <w:pPr>
        <w:pStyle w:val="Prrafodelista"/>
        <w:numPr>
          <w:ilvl w:val="0"/>
          <w:numId w:val="3"/>
        </w:numPr>
        <w:shd w:val="clear" w:color="auto" w:fill="FFFFFF"/>
        <w:spacing w:line="360" w:lineRule="auto"/>
        <w:jc w:val="both"/>
        <w:rPr>
          <w:rFonts w:eastAsia="Calibri"/>
          <w:noProof/>
          <w:lang w:val="es-DO"/>
        </w:rPr>
      </w:pPr>
      <w:r w:rsidRPr="00857888">
        <w:rPr>
          <w:rFonts w:eastAsia="Calibri"/>
          <w:noProof/>
          <w:lang w:val="es-DO"/>
        </w:rPr>
        <w:t>Decreto núm. 2310, del 6 de septiembre de 1976, que crea el Centro de Inventario de Bienes Culturales.</w:t>
      </w:r>
    </w:p>
    <w:p w14:paraId="5A2FA231" w14:textId="35BE5494" w:rsidR="005C6503" w:rsidRDefault="007F7044" w:rsidP="00DB2C88">
      <w:pPr>
        <w:pStyle w:val="Prrafodelista"/>
        <w:numPr>
          <w:ilvl w:val="0"/>
          <w:numId w:val="3"/>
        </w:numPr>
        <w:shd w:val="clear" w:color="auto" w:fill="FFFFFF"/>
        <w:spacing w:line="360" w:lineRule="auto"/>
        <w:jc w:val="both"/>
        <w:rPr>
          <w:rFonts w:eastAsia="Calibri"/>
          <w:noProof/>
          <w:lang w:val="es-DO"/>
        </w:rPr>
      </w:pPr>
      <w:r w:rsidRPr="00857888">
        <w:rPr>
          <w:rFonts w:eastAsia="Calibri"/>
          <w:noProof/>
          <w:lang w:val="es-DO"/>
        </w:rPr>
        <w:lastRenderedPageBreak/>
        <w:t>Decreto núm. 2149 de fecha 19 de febrero de 1965, el Decreto núm. 1497 de fecha 17 de septiembre de 1971 y el Decreto núm. 1073 de fecha 3 de julio de 1975 que crea la Comisión Nacional Dominicana de la UNESCO.</w:t>
      </w:r>
      <w:bookmarkEnd w:id="2"/>
    </w:p>
    <w:p w14:paraId="5FD2A272" w14:textId="69401341" w:rsidR="007F7044" w:rsidRPr="00857888" w:rsidRDefault="007F7044" w:rsidP="00DB2C88">
      <w:pPr>
        <w:shd w:val="clear" w:color="auto" w:fill="FFFFFF"/>
        <w:spacing w:line="360" w:lineRule="auto"/>
        <w:rPr>
          <w:b/>
          <w:bCs/>
          <w:noProof/>
          <w:lang w:val="es-DO"/>
        </w:rPr>
      </w:pPr>
      <w:r w:rsidRPr="00857888">
        <w:rPr>
          <w:b/>
          <w:bCs/>
          <w:noProof/>
          <w:lang w:val="es-DO"/>
        </w:rPr>
        <w:t>2.3 Estructura Organizativa</w:t>
      </w:r>
    </w:p>
    <w:p w14:paraId="469B8A1E" w14:textId="77777777" w:rsidR="00A81E14" w:rsidRPr="00857888" w:rsidRDefault="00A81E14" w:rsidP="00DB2C88">
      <w:pPr>
        <w:shd w:val="clear" w:color="auto" w:fill="FFFFFF"/>
        <w:spacing w:line="360" w:lineRule="auto"/>
        <w:jc w:val="both"/>
        <w:rPr>
          <w:rFonts w:eastAsia="Calibri"/>
          <w:noProof/>
          <w:lang w:val="es-DO"/>
        </w:rPr>
      </w:pPr>
      <w:r w:rsidRPr="00857888">
        <w:rPr>
          <w:rFonts w:eastAsia="Calibri"/>
          <w:noProof/>
          <w:lang w:val="es-DO"/>
        </w:rPr>
        <w:t xml:space="preserve">En cumplimiento de lo dispuesto en el Artículo 2 del Decreto núm. 251-22, el Ministerio de Cultura y el Ministerio de Administración Pública aprobaron la estructura organizativa de la Dirección General de Museos (DGM) mediante las Resoluciones núm. 13-2022 y 14-2022, ambas de fecha 14 de julio de 2022. </w:t>
      </w:r>
    </w:p>
    <w:p w14:paraId="10F4BC25" w14:textId="4FC7FF57" w:rsidR="007F7044" w:rsidRPr="00857888" w:rsidRDefault="00A81E14" w:rsidP="00DB2C88">
      <w:pPr>
        <w:shd w:val="clear" w:color="auto" w:fill="FFFFFF"/>
        <w:spacing w:line="360" w:lineRule="auto"/>
        <w:jc w:val="both"/>
        <w:rPr>
          <w:b/>
          <w:bCs/>
          <w:noProof/>
          <w:lang w:val="es-DO"/>
        </w:rPr>
      </w:pPr>
      <w:r w:rsidRPr="00857888">
        <w:rPr>
          <w:rFonts w:eastAsia="Calibri"/>
          <w:noProof/>
          <w:lang w:val="es-DO"/>
        </w:rPr>
        <w:t>A partir de esta aprobación, y conforme al organigrama institucional vigente, se identifican dieciséis (16) museos dentro de la estructura formal del sistema museístico nacional.</w:t>
      </w:r>
    </w:p>
    <w:p w14:paraId="17E28899" w14:textId="2FDD16FF" w:rsidR="007F7044" w:rsidRDefault="00A81E14" w:rsidP="007F7044">
      <w:pPr>
        <w:shd w:val="clear" w:color="auto" w:fill="FFFFFF"/>
        <w:spacing w:line="360" w:lineRule="auto"/>
        <w:jc w:val="both"/>
        <w:rPr>
          <w:b/>
          <w:bCs/>
          <w:noProof/>
          <w:sz w:val="28"/>
          <w:szCs w:val="28"/>
          <w:lang w:val="es-DO"/>
        </w:rPr>
      </w:pPr>
      <w:r w:rsidRPr="006B60CB">
        <w:rPr>
          <w:noProof/>
        </w:rPr>
        <w:drawing>
          <wp:anchor distT="0" distB="0" distL="114300" distR="114300" simplePos="0" relativeHeight="251635712" behindDoc="0" locked="0" layoutInCell="1" allowOverlap="1" wp14:anchorId="012A8341" wp14:editId="02A065BE">
            <wp:simplePos x="0" y="0"/>
            <wp:positionH relativeFrom="column">
              <wp:posOffset>-475615</wp:posOffset>
            </wp:positionH>
            <wp:positionV relativeFrom="paragraph">
              <wp:posOffset>52534</wp:posOffset>
            </wp:positionV>
            <wp:extent cx="6564630" cy="3817620"/>
            <wp:effectExtent l="0" t="0" r="7620" b="0"/>
            <wp:wrapNone/>
            <wp:docPr id="66211150" name="Imagen 6621115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84879" name="Imagen 1" descr="Interfaz de usuario gráfica, Aplicación&#10;&#10;Descripción generada automáticamente"/>
                    <pic:cNvPicPr/>
                  </pic:nvPicPr>
                  <pic:blipFill rotWithShape="1">
                    <a:blip r:embed="rId19">
                      <a:extLst>
                        <a:ext uri="{28A0092B-C50C-407E-A947-70E740481C1C}">
                          <a14:useLocalDpi xmlns:a14="http://schemas.microsoft.com/office/drawing/2010/main" val="0"/>
                        </a:ext>
                      </a:extLst>
                    </a:blip>
                    <a:srcRect l="25151" t="33670" r="19092" b="8687"/>
                    <a:stretch/>
                  </pic:blipFill>
                  <pic:spPr bwMode="auto">
                    <a:xfrm>
                      <a:off x="0" y="0"/>
                      <a:ext cx="6564630" cy="3817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9F0F0D" w14:textId="77777777" w:rsidR="007F7044" w:rsidRDefault="007F7044" w:rsidP="007F7044">
      <w:pPr>
        <w:shd w:val="clear" w:color="auto" w:fill="FFFFFF"/>
        <w:spacing w:line="360" w:lineRule="auto"/>
        <w:jc w:val="both"/>
        <w:rPr>
          <w:b/>
          <w:bCs/>
          <w:noProof/>
          <w:sz w:val="28"/>
          <w:szCs w:val="28"/>
          <w:lang w:val="es-DO"/>
        </w:rPr>
      </w:pPr>
    </w:p>
    <w:p w14:paraId="39114BC7" w14:textId="77777777" w:rsidR="007F7044" w:rsidRDefault="007F7044" w:rsidP="007F7044">
      <w:pPr>
        <w:shd w:val="clear" w:color="auto" w:fill="FFFFFF"/>
        <w:spacing w:line="360" w:lineRule="auto"/>
        <w:jc w:val="both"/>
        <w:rPr>
          <w:b/>
          <w:bCs/>
          <w:noProof/>
          <w:sz w:val="28"/>
          <w:szCs w:val="28"/>
          <w:lang w:val="es-DO"/>
        </w:rPr>
      </w:pPr>
    </w:p>
    <w:p w14:paraId="6794D3E7" w14:textId="77777777" w:rsidR="007F7044" w:rsidRDefault="007F7044" w:rsidP="007F7044">
      <w:pPr>
        <w:shd w:val="clear" w:color="auto" w:fill="FFFFFF"/>
        <w:spacing w:line="360" w:lineRule="auto"/>
        <w:jc w:val="both"/>
        <w:rPr>
          <w:b/>
          <w:bCs/>
          <w:noProof/>
          <w:sz w:val="28"/>
          <w:szCs w:val="28"/>
          <w:lang w:val="es-DO"/>
        </w:rPr>
      </w:pPr>
    </w:p>
    <w:p w14:paraId="5392311D" w14:textId="77777777" w:rsidR="007F7044" w:rsidRDefault="007F7044" w:rsidP="007F7044">
      <w:pPr>
        <w:shd w:val="clear" w:color="auto" w:fill="FFFFFF"/>
        <w:spacing w:line="360" w:lineRule="auto"/>
        <w:jc w:val="both"/>
        <w:rPr>
          <w:b/>
          <w:bCs/>
          <w:noProof/>
          <w:sz w:val="28"/>
          <w:szCs w:val="28"/>
          <w:lang w:val="es-DO"/>
        </w:rPr>
      </w:pPr>
    </w:p>
    <w:p w14:paraId="2A730A77" w14:textId="77777777" w:rsidR="007F7044" w:rsidRDefault="007F7044" w:rsidP="007F7044">
      <w:pPr>
        <w:shd w:val="clear" w:color="auto" w:fill="FFFFFF"/>
        <w:spacing w:line="360" w:lineRule="auto"/>
        <w:jc w:val="both"/>
        <w:rPr>
          <w:b/>
          <w:bCs/>
          <w:noProof/>
          <w:sz w:val="28"/>
          <w:szCs w:val="28"/>
          <w:lang w:val="es-DO"/>
        </w:rPr>
      </w:pPr>
    </w:p>
    <w:p w14:paraId="1A654469" w14:textId="77777777" w:rsidR="007F7044" w:rsidRDefault="007F7044" w:rsidP="007F7044">
      <w:pPr>
        <w:shd w:val="clear" w:color="auto" w:fill="FFFFFF"/>
        <w:spacing w:line="360" w:lineRule="auto"/>
        <w:jc w:val="both"/>
        <w:rPr>
          <w:b/>
          <w:bCs/>
          <w:noProof/>
          <w:sz w:val="28"/>
          <w:szCs w:val="28"/>
          <w:lang w:val="es-DO"/>
        </w:rPr>
      </w:pPr>
    </w:p>
    <w:p w14:paraId="39FE2711" w14:textId="77777777" w:rsidR="007F7044" w:rsidRDefault="007F7044" w:rsidP="007F7044">
      <w:pPr>
        <w:shd w:val="clear" w:color="auto" w:fill="FFFFFF"/>
        <w:spacing w:line="360" w:lineRule="auto"/>
        <w:jc w:val="both"/>
        <w:rPr>
          <w:b/>
          <w:bCs/>
          <w:noProof/>
          <w:sz w:val="28"/>
          <w:szCs w:val="28"/>
          <w:lang w:val="es-DO"/>
        </w:rPr>
      </w:pPr>
    </w:p>
    <w:p w14:paraId="662D967C" w14:textId="77777777" w:rsidR="007F7044" w:rsidRDefault="007F7044" w:rsidP="007F7044">
      <w:pPr>
        <w:shd w:val="clear" w:color="auto" w:fill="FFFFFF"/>
        <w:spacing w:line="360" w:lineRule="auto"/>
        <w:jc w:val="both"/>
        <w:rPr>
          <w:b/>
          <w:bCs/>
          <w:noProof/>
          <w:sz w:val="28"/>
          <w:szCs w:val="28"/>
          <w:lang w:val="es-DO"/>
        </w:rPr>
      </w:pPr>
    </w:p>
    <w:p w14:paraId="119330CB" w14:textId="77777777" w:rsidR="00ED0398" w:rsidRDefault="00ED0398" w:rsidP="00DB2C88">
      <w:pPr>
        <w:shd w:val="clear" w:color="auto" w:fill="FFFFFF"/>
        <w:spacing w:line="360" w:lineRule="auto"/>
        <w:jc w:val="both"/>
        <w:rPr>
          <w:b/>
          <w:bCs/>
          <w:noProof/>
          <w:sz w:val="28"/>
          <w:szCs w:val="28"/>
          <w:lang w:val="es-DO"/>
        </w:rPr>
      </w:pPr>
    </w:p>
    <w:p w14:paraId="3BBD5DE9" w14:textId="77777777" w:rsidR="001B2FFF" w:rsidRDefault="00A5225D" w:rsidP="00DB2C88">
      <w:pPr>
        <w:shd w:val="clear" w:color="auto" w:fill="FFFFFF"/>
        <w:spacing w:line="360" w:lineRule="auto"/>
        <w:jc w:val="both"/>
        <w:rPr>
          <w:rFonts w:eastAsia="Calibri"/>
          <w:noProof/>
          <w:lang w:val="es-DO"/>
        </w:rPr>
      </w:pPr>
      <w:r w:rsidRPr="00A5225D">
        <w:rPr>
          <w:rFonts w:eastAsia="Calibri"/>
          <w:noProof/>
          <w:lang w:val="es-DO"/>
        </w:rPr>
        <w:lastRenderedPageBreak/>
        <w:t xml:space="preserve">No obstante, es necesario precisar que el Museo </w:t>
      </w:r>
      <w:r w:rsidR="001B2FFF">
        <w:rPr>
          <w:rFonts w:eastAsia="Calibri"/>
          <w:noProof/>
          <w:lang w:val="es-DO"/>
        </w:rPr>
        <w:t xml:space="preserve">de Sitio Histórico </w:t>
      </w:r>
      <w:r w:rsidRPr="00A5225D">
        <w:rPr>
          <w:rFonts w:eastAsia="Calibri"/>
          <w:noProof/>
          <w:lang w:val="es-DO"/>
        </w:rPr>
        <w:t xml:space="preserve">de La Vega y el Museo </w:t>
      </w:r>
      <w:r w:rsidR="001B2FFF">
        <w:rPr>
          <w:rFonts w:eastAsia="Calibri"/>
          <w:noProof/>
          <w:lang w:val="es-DO"/>
        </w:rPr>
        <w:t xml:space="preserve">de Sitio Histórico </w:t>
      </w:r>
      <w:r w:rsidRPr="00A5225D">
        <w:rPr>
          <w:rFonts w:eastAsia="Calibri"/>
          <w:noProof/>
          <w:lang w:val="es-DO"/>
        </w:rPr>
        <w:t xml:space="preserve">de La Isabela son administrados por la Dirección Nacional de Patrimonio Monumental (DNPM), en atención a los criterios de gestión patrimonial establecidos por el Ministerio de Cultura. </w:t>
      </w:r>
    </w:p>
    <w:p w14:paraId="4961E614" w14:textId="674917E0" w:rsidR="007277EE" w:rsidRDefault="00BF6326" w:rsidP="00DB2C88">
      <w:pPr>
        <w:shd w:val="clear" w:color="auto" w:fill="FFFFFF"/>
        <w:spacing w:line="360" w:lineRule="auto"/>
        <w:jc w:val="both"/>
        <w:rPr>
          <w:rFonts w:eastAsia="Calibri"/>
          <w:noProof/>
          <w:lang w:val="es-DO"/>
        </w:rPr>
      </w:pPr>
      <w:r>
        <w:rPr>
          <w:rFonts w:eastAsia="Calibri"/>
          <w:noProof/>
          <w:lang w:val="es-DO"/>
        </w:rPr>
        <w:t xml:space="preserve">Por otro lado, </w:t>
      </w:r>
      <w:r w:rsidR="00003B88" w:rsidRPr="00107B35">
        <w:rPr>
          <w:rFonts w:eastAsia="Calibri"/>
          <w:noProof/>
          <w:lang w:val="es-DO"/>
        </w:rPr>
        <w:t>en octubre de 2023</w:t>
      </w:r>
      <w:r w:rsidR="00003B88">
        <w:rPr>
          <w:rFonts w:eastAsia="Calibri"/>
          <w:noProof/>
          <w:lang w:val="es-DO"/>
        </w:rPr>
        <w:t xml:space="preserve">, </w:t>
      </w:r>
      <w:r w:rsidR="00107B35" w:rsidRPr="00107B35">
        <w:rPr>
          <w:rFonts w:eastAsia="Calibri"/>
          <w:noProof/>
          <w:lang w:val="es-DO"/>
        </w:rPr>
        <w:t xml:space="preserve">se incorpora </w:t>
      </w:r>
      <w:r w:rsidR="00003B88">
        <w:rPr>
          <w:rFonts w:eastAsia="Calibri"/>
          <w:noProof/>
          <w:lang w:val="es-DO"/>
        </w:rPr>
        <w:t xml:space="preserve">a </w:t>
      </w:r>
      <w:r w:rsidR="00003B88" w:rsidRPr="00107B35">
        <w:rPr>
          <w:rFonts w:eastAsia="Calibri"/>
          <w:noProof/>
          <w:lang w:val="es-DO"/>
        </w:rPr>
        <w:t xml:space="preserve">la administración </w:t>
      </w:r>
      <w:r w:rsidR="00003B88">
        <w:rPr>
          <w:rFonts w:eastAsia="Calibri"/>
          <w:noProof/>
          <w:lang w:val="es-DO"/>
        </w:rPr>
        <w:t xml:space="preserve">de la DGM </w:t>
      </w:r>
      <w:r w:rsidR="00107B35" w:rsidRPr="00107B35">
        <w:rPr>
          <w:rFonts w:eastAsia="Calibri"/>
          <w:noProof/>
          <w:lang w:val="es-DO"/>
        </w:rPr>
        <w:t xml:space="preserve">el Centro Cultural y Museo Horacio Vásquez, </w:t>
      </w:r>
      <w:r w:rsidR="007277EE">
        <w:rPr>
          <w:rFonts w:eastAsia="Calibri"/>
          <w:noProof/>
          <w:lang w:val="es-DO"/>
        </w:rPr>
        <w:t>creado</w:t>
      </w:r>
      <w:r w:rsidR="00107B35" w:rsidRPr="00107B35">
        <w:rPr>
          <w:rFonts w:eastAsia="Calibri"/>
          <w:noProof/>
          <w:lang w:val="es-DO"/>
        </w:rPr>
        <w:t xml:space="preserve"> por la propia </w:t>
      </w:r>
      <w:r w:rsidR="00C97598">
        <w:rPr>
          <w:rFonts w:eastAsia="Calibri"/>
          <w:noProof/>
          <w:lang w:val="es-DO"/>
        </w:rPr>
        <w:t>institución</w:t>
      </w:r>
      <w:r w:rsidR="00107B35" w:rsidRPr="00107B35">
        <w:rPr>
          <w:rFonts w:eastAsia="Calibri"/>
          <w:noProof/>
          <w:lang w:val="es-DO"/>
        </w:rPr>
        <w:t xml:space="preserve">, </w:t>
      </w:r>
      <w:r w:rsidR="00091E7C" w:rsidRPr="00091E7C">
        <w:rPr>
          <w:rFonts w:eastAsia="Calibri"/>
          <w:noProof/>
          <w:lang w:val="es-DO"/>
        </w:rPr>
        <w:t>lo que permitió ampliar la cobertura territorial del sistema museístico estatal y diversificar la oferta cultural institucional en la región norte del país.</w:t>
      </w:r>
      <w:r w:rsidR="00107B35" w:rsidRPr="00107B35">
        <w:rPr>
          <w:rFonts w:eastAsia="Calibri"/>
          <w:noProof/>
          <w:lang w:val="es-DO"/>
        </w:rPr>
        <w:t xml:space="preserve"> </w:t>
      </w:r>
    </w:p>
    <w:p w14:paraId="680AECA2" w14:textId="77777777" w:rsidR="007277EE" w:rsidRDefault="007277EE" w:rsidP="00DB2C88">
      <w:pPr>
        <w:shd w:val="clear" w:color="auto" w:fill="FFFFFF"/>
        <w:spacing w:line="360" w:lineRule="auto"/>
        <w:jc w:val="both"/>
        <w:rPr>
          <w:rFonts w:eastAsia="Calibri"/>
          <w:noProof/>
          <w:lang w:val="es-DO"/>
        </w:rPr>
      </w:pPr>
      <w:r>
        <w:rPr>
          <w:rFonts w:eastAsia="Calibri"/>
          <w:noProof/>
          <w:lang w:val="es-DO"/>
        </w:rPr>
        <w:t>E</w:t>
      </w:r>
      <w:r w:rsidRPr="00107B35">
        <w:rPr>
          <w:rFonts w:eastAsia="Calibri"/>
          <w:noProof/>
          <w:lang w:val="es-DO"/>
        </w:rPr>
        <w:t xml:space="preserve">n consecuencia, los museos bajo la administración efectiva de la Dirección General de Museos corresponden a aquellos en los que </w:t>
      </w:r>
      <w:r>
        <w:rPr>
          <w:rFonts w:eastAsia="Calibri"/>
          <w:noProof/>
          <w:lang w:val="es-DO"/>
        </w:rPr>
        <w:t>esta</w:t>
      </w:r>
      <w:r w:rsidRPr="00107B35">
        <w:rPr>
          <w:rFonts w:eastAsia="Calibri"/>
          <w:noProof/>
          <w:lang w:val="es-DO"/>
        </w:rPr>
        <w:t xml:space="preserve"> ejerce de manera directa funciones de gestión museística, conservación de colecciones, mantenimiento de infraestructura, programación cultural y vinculación con las comunidades, configurando así su ámbito real de intervención institucional.</w:t>
      </w:r>
    </w:p>
    <w:p w14:paraId="2AAC9804" w14:textId="77777777" w:rsidR="00306E25" w:rsidRDefault="00306E25" w:rsidP="00DB2C88">
      <w:pPr>
        <w:shd w:val="clear" w:color="auto" w:fill="FFFFFF"/>
        <w:spacing w:line="360" w:lineRule="auto"/>
        <w:jc w:val="both"/>
        <w:rPr>
          <w:rFonts w:eastAsia="Calibri"/>
          <w:noProof/>
          <w:lang w:val="es-DO"/>
        </w:rPr>
      </w:pPr>
      <w:r w:rsidRPr="00306E25">
        <w:rPr>
          <w:rFonts w:eastAsia="Calibri"/>
          <w:noProof/>
          <w:lang w:val="es-DO"/>
        </w:rPr>
        <w:t xml:space="preserve">En cuanto a la tipología museística correspondiente a cada uno de estos museos, esta se define conforme a los criterios generales de clasificación del Consejo Internacional de Museos (ICOM), atendiendo a la naturaleza de las colecciones, al discurso museográfico predominante y al tipo de inmueble que alberga cada espacio museístico (ICOM, 2017). </w:t>
      </w:r>
    </w:p>
    <w:p w14:paraId="755110C1" w14:textId="77777777" w:rsidR="000D0912" w:rsidRDefault="00306E25" w:rsidP="00DB2C88">
      <w:pPr>
        <w:shd w:val="clear" w:color="auto" w:fill="FFFFFF"/>
        <w:spacing w:line="360" w:lineRule="auto"/>
        <w:jc w:val="both"/>
        <w:rPr>
          <w:rFonts w:eastAsia="Calibri"/>
          <w:noProof/>
          <w:lang w:val="es-DO"/>
        </w:rPr>
      </w:pPr>
      <w:r w:rsidRPr="00306E25">
        <w:rPr>
          <w:rFonts w:eastAsia="Calibri"/>
          <w:noProof/>
          <w:lang w:val="es-DO"/>
        </w:rPr>
        <w:t>Esta categorización tiene fines descriptivos, de planificación y de análisis territorial, y no excluye la coexistencia de enfoques museológicos complementarios dentro de un mismo museo.</w:t>
      </w:r>
      <w:r>
        <w:rPr>
          <w:rFonts w:eastAsia="Calibri"/>
          <w:noProof/>
          <w:lang w:val="es-DO"/>
        </w:rPr>
        <w:t xml:space="preserve"> </w:t>
      </w:r>
    </w:p>
    <w:p w14:paraId="0EAD91E6" w14:textId="474320E0" w:rsidR="00BF6326" w:rsidRDefault="000D0912" w:rsidP="00DB2C88">
      <w:pPr>
        <w:shd w:val="clear" w:color="auto" w:fill="FFFFFF"/>
        <w:spacing w:line="360" w:lineRule="auto"/>
        <w:jc w:val="both"/>
        <w:rPr>
          <w:rFonts w:eastAsia="Calibri"/>
          <w:noProof/>
          <w:lang w:val="es-DO"/>
        </w:rPr>
      </w:pPr>
      <w:r w:rsidRPr="000D0912">
        <w:rPr>
          <w:rFonts w:eastAsia="Calibri"/>
          <w:noProof/>
          <w:lang w:val="es-DO"/>
        </w:rPr>
        <w:t>En el cuadro siguiente se presentan los museos adscritos a la Dirección General de Museos al cierre del año 2025, organizados por ubicación territorial y tipología museística.</w:t>
      </w:r>
    </w:p>
    <w:tbl>
      <w:tblPr>
        <w:tblW w:w="7933" w:type="dxa"/>
        <w:tblCellMar>
          <w:left w:w="70" w:type="dxa"/>
          <w:right w:w="70" w:type="dxa"/>
        </w:tblCellMar>
        <w:tblLook w:val="04A0" w:firstRow="1" w:lastRow="0" w:firstColumn="1" w:lastColumn="0" w:noHBand="0" w:noVBand="1"/>
      </w:tblPr>
      <w:tblGrid>
        <w:gridCol w:w="580"/>
        <w:gridCol w:w="1683"/>
        <w:gridCol w:w="1840"/>
        <w:gridCol w:w="1840"/>
        <w:gridCol w:w="1990"/>
      </w:tblGrid>
      <w:tr w:rsidR="00940CBA" w:rsidRPr="00940CBA" w14:paraId="2D8DD12D" w14:textId="77777777" w:rsidTr="007217BB">
        <w:trPr>
          <w:trHeight w:val="288"/>
          <w:tblHeader/>
        </w:trPr>
        <w:tc>
          <w:tcPr>
            <w:tcW w:w="58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66E0267" w14:textId="3CFE36C3" w:rsidR="00940CBA" w:rsidRPr="00940CBA" w:rsidRDefault="007217BB" w:rsidP="00940CBA">
            <w:pPr>
              <w:spacing w:after="0" w:line="240" w:lineRule="auto"/>
              <w:rPr>
                <w:rFonts w:eastAsia="Times New Roman"/>
                <w:b/>
                <w:bCs/>
                <w:color w:val="FFFFFF"/>
                <w:spacing w:val="0"/>
                <w:sz w:val="22"/>
                <w:szCs w:val="22"/>
                <w:lang w:val="es-MX" w:eastAsia="es-MX"/>
              </w:rPr>
            </w:pPr>
            <w:r w:rsidRPr="00940CBA">
              <w:rPr>
                <w:rFonts w:eastAsia="Times New Roman"/>
                <w:b/>
                <w:bCs/>
                <w:color w:val="FFFFFF"/>
                <w:spacing w:val="0"/>
                <w:sz w:val="22"/>
                <w:szCs w:val="22"/>
                <w:lang w:val="es-MX" w:eastAsia="es-MX"/>
              </w:rPr>
              <w:lastRenderedPageBreak/>
              <w:t>Ítem</w:t>
            </w:r>
          </w:p>
        </w:tc>
        <w:tc>
          <w:tcPr>
            <w:tcW w:w="1683" w:type="dxa"/>
            <w:tcBorders>
              <w:top w:val="single" w:sz="4" w:space="0" w:color="auto"/>
              <w:left w:val="nil"/>
              <w:bottom w:val="single" w:sz="4" w:space="0" w:color="auto"/>
              <w:right w:val="single" w:sz="4" w:space="0" w:color="auto"/>
            </w:tcBorders>
            <w:shd w:val="clear" w:color="000000" w:fill="002060"/>
            <w:noWrap/>
            <w:vAlign w:val="center"/>
            <w:hideMark/>
          </w:tcPr>
          <w:p w14:paraId="755F32E9" w14:textId="77777777" w:rsidR="00940CBA" w:rsidRPr="00940CBA" w:rsidRDefault="00940CBA" w:rsidP="00940CBA">
            <w:pPr>
              <w:spacing w:after="0" w:line="240" w:lineRule="auto"/>
              <w:jc w:val="center"/>
              <w:rPr>
                <w:rFonts w:eastAsia="Times New Roman"/>
                <w:b/>
                <w:bCs/>
                <w:color w:val="FFFFFF"/>
                <w:spacing w:val="0"/>
                <w:sz w:val="22"/>
                <w:szCs w:val="22"/>
                <w:lang w:val="es-MX" w:eastAsia="es-MX"/>
              </w:rPr>
            </w:pPr>
            <w:r w:rsidRPr="00940CBA">
              <w:rPr>
                <w:rFonts w:eastAsia="Times New Roman"/>
                <w:b/>
                <w:bCs/>
                <w:color w:val="FFFFFF"/>
                <w:spacing w:val="0"/>
                <w:sz w:val="22"/>
                <w:szCs w:val="22"/>
                <w:lang w:val="es-MX" w:eastAsia="es-MX"/>
              </w:rPr>
              <w:t>Museos registrados</w:t>
            </w:r>
          </w:p>
        </w:tc>
        <w:tc>
          <w:tcPr>
            <w:tcW w:w="1840" w:type="dxa"/>
            <w:tcBorders>
              <w:top w:val="single" w:sz="4" w:space="0" w:color="auto"/>
              <w:left w:val="nil"/>
              <w:bottom w:val="single" w:sz="4" w:space="0" w:color="auto"/>
              <w:right w:val="single" w:sz="4" w:space="0" w:color="auto"/>
            </w:tcBorders>
            <w:shd w:val="clear" w:color="000000" w:fill="002060"/>
            <w:noWrap/>
            <w:vAlign w:val="center"/>
            <w:hideMark/>
          </w:tcPr>
          <w:p w14:paraId="5205C81A" w14:textId="77777777" w:rsidR="00940CBA" w:rsidRPr="00940CBA" w:rsidRDefault="00940CBA" w:rsidP="00940CBA">
            <w:pPr>
              <w:spacing w:after="0" w:line="240" w:lineRule="auto"/>
              <w:jc w:val="center"/>
              <w:rPr>
                <w:rFonts w:eastAsia="Times New Roman"/>
                <w:b/>
                <w:bCs/>
                <w:color w:val="FFFFFF"/>
                <w:spacing w:val="0"/>
                <w:sz w:val="22"/>
                <w:szCs w:val="22"/>
                <w:lang w:val="es-MX" w:eastAsia="es-MX"/>
              </w:rPr>
            </w:pPr>
            <w:r w:rsidRPr="00940CBA">
              <w:rPr>
                <w:rFonts w:eastAsia="Times New Roman"/>
                <w:b/>
                <w:bCs/>
                <w:color w:val="FFFFFF"/>
                <w:spacing w:val="0"/>
                <w:sz w:val="22"/>
                <w:szCs w:val="22"/>
                <w:lang w:val="es-MX" w:eastAsia="es-MX"/>
              </w:rPr>
              <w:t>Provincia</w:t>
            </w:r>
          </w:p>
        </w:tc>
        <w:tc>
          <w:tcPr>
            <w:tcW w:w="1840" w:type="dxa"/>
            <w:tcBorders>
              <w:top w:val="single" w:sz="4" w:space="0" w:color="auto"/>
              <w:left w:val="nil"/>
              <w:bottom w:val="single" w:sz="4" w:space="0" w:color="auto"/>
              <w:right w:val="single" w:sz="4" w:space="0" w:color="auto"/>
            </w:tcBorders>
            <w:shd w:val="clear" w:color="000000" w:fill="002060"/>
            <w:noWrap/>
            <w:vAlign w:val="center"/>
            <w:hideMark/>
          </w:tcPr>
          <w:p w14:paraId="42DA669C" w14:textId="77777777" w:rsidR="00940CBA" w:rsidRPr="00940CBA" w:rsidRDefault="00940CBA" w:rsidP="00940CBA">
            <w:pPr>
              <w:spacing w:after="0" w:line="240" w:lineRule="auto"/>
              <w:jc w:val="center"/>
              <w:rPr>
                <w:rFonts w:eastAsia="Times New Roman"/>
                <w:b/>
                <w:bCs/>
                <w:color w:val="FFFFFF"/>
                <w:spacing w:val="0"/>
                <w:sz w:val="22"/>
                <w:szCs w:val="22"/>
                <w:lang w:val="es-MX" w:eastAsia="es-MX"/>
              </w:rPr>
            </w:pPr>
            <w:r w:rsidRPr="00940CBA">
              <w:rPr>
                <w:rFonts w:eastAsia="Times New Roman"/>
                <w:b/>
                <w:bCs/>
                <w:color w:val="FFFFFF"/>
                <w:spacing w:val="0"/>
                <w:sz w:val="22"/>
                <w:szCs w:val="22"/>
                <w:lang w:val="es-MX" w:eastAsia="es-MX"/>
              </w:rPr>
              <w:t>Municipio</w:t>
            </w:r>
          </w:p>
        </w:tc>
        <w:tc>
          <w:tcPr>
            <w:tcW w:w="1990" w:type="dxa"/>
            <w:tcBorders>
              <w:top w:val="single" w:sz="4" w:space="0" w:color="auto"/>
              <w:left w:val="nil"/>
              <w:bottom w:val="single" w:sz="4" w:space="0" w:color="auto"/>
              <w:right w:val="single" w:sz="4" w:space="0" w:color="auto"/>
            </w:tcBorders>
            <w:shd w:val="clear" w:color="000000" w:fill="002060"/>
            <w:noWrap/>
            <w:vAlign w:val="center"/>
            <w:hideMark/>
          </w:tcPr>
          <w:p w14:paraId="4F9F4E5B" w14:textId="6EB84635" w:rsidR="00940CBA" w:rsidRPr="00940CBA" w:rsidRDefault="00940CBA" w:rsidP="00940CBA">
            <w:pPr>
              <w:spacing w:after="0" w:line="240" w:lineRule="auto"/>
              <w:jc w:val="center"/>
              <w:rPr>
                <w:rFonts w:eastAsia="Times New Roman"/>
                <w:b/>
                <w:bCs/>
                <w:color w:val="FFFFFF"/>
                <w:spacing w:val="0"/>
                <w:sz w:val="22"/>
                <w:szCs w:val="22"/>
                <w:lang w:val="es-MX" w:eastAsia="es-MX"/>
              </w:rPr>
            </w:pPr>
            <w:r w:rsidRPr="00940CBA">
              <w:rPr>
                <w:rFonts w:eastAsia="Times New Roman"/>
                <w:b/>
                <w:bCs/>
                <w:color w:val="FFFFFF"/>
                <w:spacing w:val="0"/>
                <w:sz w:val="22"/>
                <w:szCs w:val="22"/>
                <w:lang w:val="es-MX" w:eastAsia="es-MX"/>
              </w:rPr>
              <w:t>Tipología museística</w:t>
            </w:r>
          </w:p>
        </w:tc>
      </w:tr>
      <w:tr w:rsidR="00940CBA" w:rsidRPr="00940CBA" w14:paraId="653EEB31"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349E7634"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1</w:t>
            </w:r>
          </w:p>
        </w:tc>
        <w:tc>
          <w:tcPr>
            <w:tcW w:w="1683" w:type="dxa"/>
            <w:tcBorders>
              <w:top w:val="nil"/>
              <w:left w:val="nil"/>
              <w:bottom w:val="single" w:sz="4" w:space="0" w:color="auto"/>
              <w:right w:val="single" w:sz="4" w:space="0" w:color="auto"/>
            </w:tcBorders>
            <w:noWrap/>
            <w:vAlign w:val="center"/>
            <w:hideMark/>
          </w:tcPr>
          <w:p w14:paraId="3E296DFA"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Arte Moderno</w:t>
            </w:r>
          </w:p>
        </w:tc>
        <w:tc>
          <w:tcPr>
            <w:tcW w:w="1840" w:type="dxa"/>
            <w:tcBorders>
              <w:top w:val="nil"/>
              <w:left w:val="nil"/>
              <w:bottom w:val="single" w:sz="4" w:space="0" w:color="auto"/>
              <w:right w:val="single" w:sz="4" w:space="0" w:color="auto"/>
            </w:tcBorders>
            <w:noWrap/>
            <w:vAlign w:val="center"/>
            <w:hideMark/>
          </w:tcPr>
          <w:p w14:paraId="2844ACFC"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6DAD1915"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24A83D28"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arte</w:t>
            </w:r>
          </w:p>
        </w:tc>
      </w:tr>
      <w:tr w:rsidR="00940CBA" w:rsidRPr="00940CBA" w14:paraId="35E7A9F6"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39D19177"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2</w:t>
            </w:r>
          </w:p>
        </w:tc>
        <w:tc>
          <w:tcPr>
            <w:tcW w:w="1683" w:type="dxa"/>
            <w:tcBorders>
              <w:top w:val="nil"/>
              <w:left w:val="nil"/>
              <w:bottom w:val="single" w:sz="4" w:space="0" w:color="auto"/>
              <w:right w:val="single" w:sz="4" w:space="0" w:color="auto"/>
            </w:tcBorders>
            <w:noWrap/>
            <w:vAlign w:val="center"/>
            <w:hideMark/>
          </w:tcPr>
          <w:p w14:paraId="37C653D4"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Nacional de Historia y Geografía</w:t>
            </w:r>
          </w:p>
        </w:tc>
        <w:tc>
          <w:tcPr>
            <w:tcW w:w="1840" w:type="dxa"/>
            <w:tcBorders>
              <w:top w:val="nil"/>
              <w:left w:val="nil"/>
              <w:bottom w:val="single" w:sz="4" w:space="0" w:color="auto"/>
              <w:right w:val="single" w:sz="4" w:space="0" w:color="auto"/>
            </w:tcBorders>
            <w:noWrap/>
            <w:vAlign w:val="center"/>
            <w:hideMark/>
          </w:tcPr>
          <w:p w14:paraId="3BB8A109"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3506A1A6"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5A742CCD"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historia</w:t>
            </w:r>
          </w:p>
        </w:tc>
      </w:tr>
      <w:tr w:rsidR="00940CBA" w:rsidRPr="00EE47D5" w14:paraId="6471CA97"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13701504"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3</w:t>
            </w:r>
          </w:p>
        </w:tc>
        <w:tc>
          <w:tcPr>
            <w:tcW w:w="1683" w:type="dxa"/>
            <w:tcBorders>
              <w:top w:val="nil"/>
              <w:left w:val="nil"/>
              <w:bottom w:val="single" w:sz="4" w:space="0" w:color="auto"/>
              <w:right w:val="single" w:sz="4" w:space="0" w:color="auto"/>
            </w:tcBorders>
            <w:noWrap/>
            <w:vAlign w:val="center"/>
            <w:hideMark/>
          </w:tcPr>
          <w:p w14:paraId="4DE2FB57"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del Hombre Dominicano</w:t>
            </w:r>
          </w:p>
        </w:tc>
        <w:tc>
          <w:tcPr>
            <w:tcW w:w="1840" w:type="dxa"/>
            <w:tcBorders>
              <w:top w:val="nil"/>
              <w:left w:val="nil"/>
              <w:bottom w:val="single" w:sz="4" w:space="0" w:color="auto"/>
              <w:right w:val="single" w:sz="4" w:space="0" w:color="auto"/>
            </w:tcBorders>
            <w:noWrap/>
            <w:vAlign w:val="center"/>
            <w:hideMark/>
          </w:tcPr>
          <w:p w14:paraId="4C781D2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3703E58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2B89E70E"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antropología y etnografía</w:t>
            </w:r>
          </w:p>
        </w:tc>
      </w:tr>
      <w:tr w:rsidR="00940CBA" w:rsidRPr="00940CBA" w14:paraId="63A4E9FC"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7C760022"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4</w:t>
            </w:r>
          </w:p>
        </w:tc>
        <w:tc>
          <w:tcPr>
            <w:tcW w:w="1683" w:type="dxa"/>
            <w:tcBorders>
              <w:top w:val="nil"/>
              <w:left w:val="nil"/>
              <w:bottom w:val="single" w:sz="4" w:space="0" w:color="auto"/>
              <w:right w:val="single" w:sz="4" w:space="0" w:color="auto"/>
            </w:tcBorders>
            <w:noWrap/>
            <w:vAlign w:val="center"/>
            <w:hideMark/>
          </w:tcPr>
          <w:p w14:paraId="55F00D2A"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Alcazar de Colón</w:t>
            </w:r>
          </w:p>
        </w:tc>
        <w:tc>
          <w:tcPr>
            <w:tcW w:w="1840" w:type="dxa"/>
            <w:tcBorders>
              <w:top w:val="nil"/>
              <w:left w:val="nil"/>
              <w:bottom w:val="single" w:sz="4" w:space="0" w:color="auto"/>
              <w:right w:val="single" w:sz="4" w:space="0" w:color="auto"/>
            </w:tcBorders>
            <w:noWrap/>
            <w:vAlign w:val="center"/>
            <w:hideMark/>
          </w:tcPr>
          <w:p w14:paraId="2F9EAAD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750D7197"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1FCBAC7D"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 en monumento</w:t>
            </w:r>
          </w:p>
        </w:tc>
      </w:tr>
      <w:tr w:rsidR="00940CBA" w:rsidRPr="00940CBA" w14:paraId="32B763F3"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48B159B0"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5</w:t>
            </w:r>
          </w:p>
        </w:tc>
        <w:tc>
          <w:tcPr>
            <w:tcW w:w="1683" w:type="dxa"/>
            <w:tcBorders>
              <w:top w:val="nil"/>
              <w:left w:val="nil"/>
              <w:bottom w:val="single" w:sz="4" w:space="0" w:color="auto"/>
              <w:right w:val="single" w:sz="4" w:space="0" w:color="auto"/>
            </w:tcBorders>
            <w:noWrap/>
            <w:vAlign w:val="center"/>
            <w:hideMark/>
          </w:tcPr>
          <w:p w14:paraId="56CA996A"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las Casas Reales</w:t>
            </w:r>
          </w:p>
        </w:tc>
        <w:tc>
          <w:tcPr>
            <w:tcW w:w="1840" w:type="dxa"/>
            <w:tcBorders>
              <w:top w:val="nil"/>
              <w:left w:val="nil"/>
              <w:bottom w:val="single" w:sz="4" w:space="0" w:color="auto"/>
              <w:right w:val="single" w:sz="4" w:space="0" w:color="auto"/>
            </w:tcBorders>
            <w:noWrap/>
            <w:vAlign w:val="center"/>
            <w:hideMark/>
          </w:tcPr>
          <w:p w14:paraId="1ACF4E99"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1E06FA48"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0CBC6690"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historia</w:t>
            </w:r>
          </w:p>
        </w:tc>
      </w:tr>
      <w:tr w:rsidR="00940CBA" w:rsidRPr="00EE47D5" w14:paraId="40063772" w14:textId="77777777" w:rsidTr="007217BB">
        <w:trPr>
          <w:trHeight w:val="525"/>
        </w:trPr>
        <w:tc>
          <w:tcPr>
            <w:tcW w:w="580" w:type="dxa"/>
            <w:tcBorders>
              <w:top w:val="nil"/>
              <w:left w:val="single" w:sz="4" w:space="0" w:color="auto"/>
              <w:bottom w:val="single" w:sz="4" w:space="0" w:color="auto"/>
              <w:right w:val="single" w:sz="4" w:space="0" w:color="auto"/>
            </w:tcBorders>
            <w:noWrap/>
            <w:vAlign w:val="center"/>
            <w:hideMark/>
          </w:tcPr>
          <w:p w14:paraId="40823F9D"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6</w:t>
            </w:r>
          </w:p>
        </w:tc>
        <w:tc>
          <w:tcPr>
            <w:tcW w:w="1683" w:type="dxa"/>
            <w:tcBorders>
              <w:top w:val="nil"/>
              <w:left w:val="nil"/>
              <w:bottom w:val="single" w:sz="4" w:space="0" w:color="auto"/>
              <w:right w:val="single" w:sz="4" w:space="0" w:color="auto"/>
            </w:tcBorders>
            <w:noWrap/>
            <w:vAlign w:val="center"/>
            <w:hideMark/>
          </w:tcPr>
          <w:p w14:paraId="5FCF37CF"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Fortaleza de Santo Domingo</w:t>
            </w:r>
          </w:p>
        </w:tc>
        <w:tc>
          <w:tcPr>
            <w:tcW w:w="1840" w:type="dxa"/>
            <w:tcBorders>
              <w:top w:val="nil"/>
              <w:left w:val="nil"/>
              <w:bottom w:val="single" w:sz="4" w:space="0" w:color="auto"/>
              <w:right w:val="single" w:sz="4" w:space="0" w:color="auto"/>
            </w:tcBorders>
            <w:noWrap/>
            <w:vAlign w:val="center"/>
            <w:hideMark/>
          </w:tcPr>
          <w:p w14:paraId="3E849F5A"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00E21E55"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7DB26629"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histórico-militar en monumento</w:t>
            </w:r>
          </w:p>
        </w:tc>
      </w:tr>
      <w:tr w:rsidR="00940CBA" w:rsidRPr="00EE47D5" w14:paraId="18D49AF1"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4989DBDE"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7</w:t>
            </w:r>
          </w:p>
        </w:tc>
        <w:tc>
          <w:tcPr>
            <w:tcW w:w="1683" w:type="dxa"/>
            <w:tcBorders>
              <w:top w:val="nil"/>
              <w:left w:val="nil"/>
              <w:bottom w:val="single" w:sz="4" w:space="0" w:color="auto"/>
              <w:right w:val="single" w:sz="4" w:space="0" w:color="auto"/>
            </w:tcBorders>
            <w:shd w:val="clear" w:color="000000" w:fill="FFFFFF"/>
            <w:noWrap/>
            <w:vAlign w:val="center"/>
            <w:hideMark/>
          </w:tcPr>
          <w:p w14:paraId="48C4AA1E"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las Atarazanas Reales</w:t>
            </w:r>
          </w:p>
        </w:tc>
        <w:tc>
          <w:tcPr>
            <w:tcW w:w="1840" w:type="dxa"/>
            <w:tcBorders>
              <w:top w:val="nil"/>
              <w:left w:val="nil"/>
              <w:bottom w:val="single" w:sz="4" w:space="0" w:color="auto"/>
              <w:right w:val="single" w:sz="4" w:space="0" w:color="auto"/>
            </w:tcBorders>
            <w:shd w:val="clear" w:color="000000" w:fill="FFFFFF"/>
            <w:noWrap/>
            <w:vAlign w:val="center"/>
            <w:hideMark/>
          </w:tcPr>
          <w:p w14:paraId="2B386FF1"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shd w:val="clear" w:color="000000" w:fill="FFFFFF"/>
            <w:noWrap/>
            <w:vAlign w:val="center"/>
            <w:hideMark/>
          </w:tcPr>
          <w:p w14:paraId="2F2B2DE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shd w:val="clear" w:color="000000" w:fill="FFFFFF"/>
            <w:vAlign w:val="center"/>
            <w:hideMark/>
          </w:tcPr>
          <w:p w14:paraId="268D6125"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arqueología e historia marítima</w:t>
            </w:r>
          </w:p>
        </w:tc>
      </w:tr>
      <w:tr w:rsidR="00940CBA" w:rsidRPr="00940CBA" w14:paraId="717582D8"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2F48C281"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8</w:t>
            </w:r>
          </w:p>
        </w:tc>
        <w:tc>
          <w:tcPr>
            <w:tcW w:w="1683" w:type="dxa"/>
            <w:tcBorders>
              <w:top w:val="nil"/>
              <w:left w:val="nil"/>
              <w:bottom w:val="single" w:sz="4" w:space="0" w:color="auto"/>
              <w:right w:val="single" w:sz="4" w:space="0" w:color="auto"/>
            </w:tcBorders>
            <w:noWrap/>
            <w:vAlign w:val="center"/>
            <w:hideMark/>
          </w:tcPr>
          <w:p w14:paraId="155A961F" w14:textId="3D0BE805"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de la Familia Dominicana del S</w:t>
            </w:r>
            <w:r>
              <w:rPr>
                <w:rFonts w:eastAsia="Times New Roman"/>
                <w:spacing w:val="0"/>
                <w:sz w:val="20"/>
                <w:szCs w:val="20"/>
                <w:lang w:val="es-MX" w:eastAsia="es-MX"/>
              </w:rPr>
              <w:t>.</w:t>
            </w:r>
            <w:r w:rsidRPr="00940CBA">
              <w:rPr>
                <w:rFonts w:eastAsia="Times New Roman"/>
                <w:spacing w:val="0"/>
                <w:sz w:val="20"/>
                <w:szCs w:val="20"/>
                <w:lang w:val="es-MX" w:eastAsia="es-MX"/>
              </w:rPr>
              <w:t xml:space="preserve">XIX </w:t>
            </w:r>
          </w:p>
        </w:tc>
        <w:tc>
          <w:tcPr>
            <w:tcW w:w="1840" w:type="dxa"/>
            <w:tcBorders>
              <w:top w:val="nil"/>
              <w:left w:val="nil"/>
              <w:bottom w:val="single" w:sz="4" w:space="0" w:color="auto"/>
              <w:right w:val="single" w:sz="4" w:space="0" w:color="auto"/>
            </w:tcBorders>
            <w:noWrap/>
            <w:vAlign w:val="center"/>
            <w:hideMark/>
          </w:tcPr>
          <w:p w14:paraId="16A55152"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5F2D74D4"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6DE7D223"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histórico-social</w:t>
            </w:r>
          </w:p>
        </w:tc>
      </w:tr>
      <w:tr w:rsidR="00940CBA" w:rsidRPr="00EE47D5" w14:paraId="04EF1122"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44299BAB"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9</w:t>
            </w:r>
          </w:p>
        </w:tc>
        <w:tc>
          <w:tcPr>
            <w:tcW w:w="1683" w:type="dxa"/>
            <w:tcBorders>
              <w:top w:val="nil"/>
              <w:left w:val="nil"/>
              <w:bottom w:val="single" w:sz="4" w:space="0" w:color="auto"/>
              <w:right w:val="single" w:sz="4" w:space="0" w:color="auto"/>
            </w:tcBorders>
            <w:noWrap/>
            <w:vAlign w:val="center"/>
            <w:hideMark/>
          </w:tcPr>
          <w:p w14:paraId="0B45CB10"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Casa de la Música</w:t>
            </w:r>
          </w:p>
        </w:tc>
        <w:tc>
          <w:tcPr>
            <w:tcW w:w="1840" w:type="dxa"/>
            <w:tcBorders>
              <w:top w:val="nil"/>
              <w:left w:val="nil"/>
              <w:bottom w:val="single" w:sz="4" w:space="0" w:color="auto"/>
              <w:right w:val="single" w:sz="4" w:space="0" w:color="auto"/>
            </w:tcBorders>
            <w:noWrap/>
            <w:vAlign w:val="center"/>
            <w:hideMark/>
          </w:tcPr>
          <w:p w14:paraId="023A88F7"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840" w:type="dxa"/>
            <w:tcBorders>
              <w:top w:val="nil"/>
              <w:left w:val="nil"/>
              <w:bottom w:val="single" w:sz="4" w:space="0" w:color="auto"/>
              <w:right w:val="single" w:sz="4" w:space="0" w:color="auto"/>
            </w:tcBorders>
            <w:noWrap/>
            <w:vAlign w:val="center"/>
            <w:hideMark/>
          </w:tcPr>
          <w:p w14:paraId="1AA51E16"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Distrito Nacional</w:t>
            </w:r>
          </w:p>
        </w:tc>
        <w:tc>
          <w:tcPr>
            <w:tcW w:w="1990" w:type="dxa"/>
            <w:tcBorders>
              <w:top w:val="nil"/>
              <w:left w:val="nil"/>
              <w:bottom w:val="single" w:sz="4" w:space="0" w:color="auto"/>
              <w:right w:val="single" w:sz="4" w:space="0" w:color="auto"/>
            </w:tcBorders>
            <w:vAlign w:val="center"/>
            <w:hideMark/>
          </w:tcPr>
          <w:p w14:paraId="4B7FE7DE"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especializado (música y patrimonio sonoro)</w:t>
            </w:r>
          </w:p>
        </w:tc>
      </w:tr>
      <w:tr w:rsidR="00940CBA" w:rsidRPr="00940CBA" w14:paraId="31386DD2" w14:textId="77777777" w:rsidTr="007217BB">
        <w:trPr>
          <w:trHeight w:val="288"/>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627104E4"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10</w:t>
            </w:r>
          </w:p>
        </w:tc>
        <w:tc>
          <w:tcPr>
            <w:tcW w:w="1683" w:type="dxa"/>
            <w:tcBorders>
              <w:top w:val="nil"/>
              <w:left w:val="nil"/>
              <w:bottom w:val="single" w:sz="4" w:space="0" w:color="auto"/>
              <w:right w:val="single" w:sz="4" w:space="0" w:color="auto"/>
            </w:tcBorders>
            <w:shd w:val="clear" w:color="000000" w:fill="FFFFFF"/>
            <w:noWrap/>
            <w:vAlign w:val="center"/>
            <w:hideMark/>
          </w:tcPr>
          <w:p w14:paraId="24D579DE"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Faro a Colón</w:t>
            </w:r>
          </w:p>
        </w:tc>
        <w:tc>
          <w:tcPr>
            <w:tcW w:w="1840" w:type="dxa"/>
            <w:tcBorders>
              <w:top w:val="nil"/>
              <w:left w:val="nil"/>
              <w:bottom w:val="single" w:sz="4" w:space="0" w:color="auto"/>
              <w:right w:val="single" w:sz="4" w:space="0" w:color="auto"/>
            </w:tcBorders>
            <w:shd w:val="clear" w:color="000000" w:fill="FFFFFF"/>
            <w:noWrap/>
            <w:vAlign w:val="center"/>
            <w:hideMark/>
          </w:tcPr>
          <w:p w14:paraId="1E822863"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 xml:space="preserve">Santo Domingo </w:t>
            </w:r>
          </w:p>
        </w:tc>
        <w:tc>
          <w:tcPr>
            <w:tcW w:w="1840" w:type="dxa"/>
            <w:tcBorders>
              <w:top w:val="nil"/>
              <w:left w:val="nil"/>
              <w:bottom w:val="single" w:sz="4" w:space="0" w:color="auto"/>
              <w:right w:val="single" w:sz="4" w:space="0" w:color="auto"/>
            </w:tcBorders>
            <w:shd w:val="clear" w:color="000000" w:fill="FFFFFF"/>
            <w:noWrap/>
            <w:vAlign w:val="center"/>
            <w:hideMark/>
          </w:tcPr>
          <w:p w14:paraId="02543230"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 xml:space="preserve">Santo Domingo Este </w:t>
            </w:r>
          </w:p>
        </w:tc>
        <w:tc>
          <w:tcPr>
            <w:tcW w:w="1990" w:type="dxa"/>
            <w:tcBorders>
              <w:top w:val="nil"/>
              <w:left w:val="nil"/>
              <w:bottom w:val="single" w:sz="4" w:space="0" w:color="auto"/>
              <w:right w:val="single" w:sz="4" w:space="0" w:color="auto"/>
            </w:tcBorders>
            <w:shd w:val="clear" w:color="000000" w:fill="FFFFFF"/>
            <w:vAlign w:val="center"/>
            <w:hideMark/>
          </w:tcPr>
          <w:p w14:paraId="73161534"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 y memorial</w:t>
            </w:r>
          </w:p>
        </w:tc>
      </w:tr>
      <w:tr w:rsidR="00940CBA" w:rsidRPr="00EE47D5" w14:paraId="044C2C2F"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5CD9DA7E"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11</w:t>
            </w:r>
          </w:p>
        </w:tc>
        <w:tc>
          <w:tcPr>
            <w:tcW w:w="1683" w:type="dxa"/>
            <w:tcBorders>
              <w:top w:val="nil"/>
              <w:left w:val="nil"/>
              <w:bottom w:val="single" w:sz="4" w:space="0" w:color="auto"/>
              <w:right w:val="single" w:sz="4" w:space="0" w:color="auto"/>
            </w:tcBorders>
            <w:noWrap/>
            <w:vAlign w:val="center"/>
            <w:hideMark/>
          </w:tcPr>
          <w:p w14:paraId="2C9FFF5F"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Juan Ponce de León</w:t>
            </w:r>
          </w:p>
        </w:tc>
        <w:tc>
          <w:tcPr>
            <w:tcW w:w="1840" w:type="dxa"/>
            <w:tcBorders>
              <w:top w:val="nil"/>
              <w:left w:val="nil"/>
              <w:bottom w:val="single" w:sz="4" w:space="0" w:color="auto"/>
              <w:right w:val="single" w:sz="4" w:space="0" w:color="auto"/>
            </w:tcBorders>
            <w:noWrap/>
            <w:vAlign w:val="center"/>
            <w:hideMark/>
          </w:tcPr>
          <w:p w14:paraId="62260E3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La Altagracia</w:t>
            </w:r>
          </w:p>
        </w:tc>
        <w:tc>
          <w:tcPr>
            <w:tcW w:w="1840" w:type="dxa"/>
            <w:tcBorders>
              <w:top w:val="nil"/>
              <w:left w:val="nil"/>
              <w:bottom w:val="single" w:sz="4" w:space="0" w:color="auto"/>
              <w:right w:val="single" w:sz="4" w:space="0" w:color="auto"/>
            </w:tcBorders>
            <w:noWrap/>
            <w:vAlign w:val="center"/>
            <w:hideMark/>
          </w:tcPr>
          <w:p w14:paraId="68FCC7B8"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San Rafael del Yuma</w:t>
            </w:r>
          </w:p>
        </w:tc>
        <w:tc>
          <w:tcPr>
            <w:tcW w:w="1990" w:type="dxa"/>
            <w:tcBorders>
              <w:top w:val="nil"/>
              <w:left w:val="nil"/>
              <w:bottom w:val="single" w:sz="4" w:space="0" w:color="auto"/>
              <w:right w:val="single" w:sz="4" w:space="0" w:color="auto"/>
            </w:tcBorders>
            <w:vAlign w:val="center"/>
            <w:hideMark/>
          </w:tcPr>
          <w:p w14:paraId="4486D953"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 en sitio patrimonial</w:t>
            </w:r>
          </w:p>
        </w:tc>
      </w:tr>
      <w:tr w:rsidR="00940CBA" w:rsidRPr="00940CBA" w14:paraId="0026E275"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7947B12E"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12</w:t>
            </w:r>
          </w:p>
        </w:tc>
        <w:tc>
          <w:tcPr>
            <w:tcW w:w="1683" w:type="dxa"/>
            <w:tcBorders>
              <w:top w:val="nil"/>
              <w:left w:val="nil"/>
              <w:bottom w:val="single" w:sz="4" w:space="0" w:color="auto"/>
              <w:right w:val="single" w:sz="4" w:space="0" w:color="auto"/>
            </w:tcBorders>
            <w:noWrap/>
            <w:vAlign w:val="center"/>
            <w:hideMark/>
          </w:tcPr>
          <w:p w14:paraId="4E65350F"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Monumento a los Héroes de la Restauración</w:t>
            </w:r>
          </w:p>
        </w:tc>
        <w:tc>
          <w:tcPr>
            <w:tcW w:w="1840" w:type="dxa"/>
            <w:tcBorders>
              <w:top w:val="nil"/>
              <w:left w:val="nil"/>
              <w:bottom w:val="single" w:sz="4" w:space="0" w:color="auto"/>
              <w:right w:val="single" w:sz="4" w:space="0" w:color="auto"/>
            </w:tcBorders>
            <w:noWrap/>
            <w:vAlign w:val="center"/>
            <w:hideMark/>
          </w:tcPr>
          <w:p w14:paraId="0048BEE2"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Santiago</w:t>
            </w:r>
          </w:p>
        </w:tc>
        <w:tc>
          <w:tcPr>
            <w:tcW w:w="1840" w:type="dxa"/>
            <w:tcBorders>
              <w:top w:val="nil"/>
              <w:left w:val="nil"/>
              <w:bottom w:val="single" w:sz="4" w:space="0" w:color="auto"/>
              <w:right w:val="single" w:sz="4" w:space="0" w:color="auto"/>
            </w:tcBorders>
            <w:noWrap/>
            <w:vAlign w:val="center"/>
            <w:hideMark/>
          </w:tcPr>
          <w:p w14:paraId="01CF9795"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Santiago</w:t>
            </w:r>
          </w:p>
        </w:tc>
        <w:tc>
          <w:tcPr>
            <w:tcW w:w="1990" w:type="dxa"/>
            <w:tcBorders>
              <w:top w:val="nil"/>
              <w:left w:val="nil"/>
              <w:bottom w:val="single" w:sz="4" w:space="0" w:color="auto"/>
              <w:right w:val="single" w:sz="4" w:space="0" w:color="auto"/>
            </w:tcBorders>
            <w:vAlign w:val="center"/>
            <w:hideMark/>
          </w:tcPr>
          <w:p w14:paraId="13F6DA71"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 en monumento</w:t>
            </w:r>
          </w:p>
        </w:tc>
      </w:tr>
      <w:tr w:rsidR="00940CBA" w:rsidRPr="00EE47D5" w14:paraId="0349E638"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6ECA45AE"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13</w:t>
            </w:r>
          </w:p>
        </w:tc>
        <w:tc>
          <w:tcPr>
            <w:tcW w:w="1683" w:type="dxa"/>
            <w:tcBorders>
              <w:top w:val="nil"/>
              <w:left w:val="nil"/>
              <w:bottom w:val="single" w:sz="4" w:space="0" w:color="auto"/>
              <w:right w:val="single" w:sz="4" w:space="0" w:color="auto"/>
            </w:tcBorders>
            <w:noWrap/>
            <w:vAlign w:val="center"/>
            <w:hideMark/>
          </w:tcPr>
          <w:p w14:paraId="60E01BFC"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Centro Cultural y Museo Horacio Vásquez</w:t>
            </w:r>
          </w:p>
        </w:tc>
        <w:tc>
          <w:tcPr>
            <w:tcW w:w="1840" w:type="dxa"/>
            <w:tcBorders>
              <w:top w:val="nil"/>
              <w:left w:val="nil"/>
              <w:bottom w:val="single" w:sz="4" w:space="0" w:color="auto"/>
              <w:right w:val="single" w:sz="4" w:space="0" w:color="auto"/>
            </w:tcBorders>
            <w:noWrap/>
            <w:vAlign w:val="center"/>
            <w:hideMark/>
          </w:tcPr>
          <w:p w14:paraId="2A041461"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Santiago</w:t>
            </w:r>
          </w:p>
        </w:tc>
        <w:tc>
          <w:tcPr>
            <w:tcW w:w="1840" w:type="dxa"/>
            <w:tcBorders>
              <w:top w:val="nil"/>
              <w:left w:val="nil"/>
              <w:bottom w:val="single" w:sz="4" w:space="0" w:color="auto"/>
              <w:right w:val="single" w:sz="4" w:space="0" w:color="auto"/>
            </w:tcBorders>
            <w:noWrap/>
            <w:vAlign w:val="center"/>
            <w:hideMark/>
          </w:tcPr>
          <w:p w14:paraId="798E8CB3"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Tamboril</w:t>
            </w:r>
          </w:p>
        </w:tc>
        <w:tc>
          <w:tcPr>
            <w:tcW w:w="1990" w:type="dxa"/>
            <w:tcBorders>
              <w:top w:val="nil"/>
              <w:left w:val="nil"/>
              <w:bottom w:val="single" w:sz="4" w:space="0" w:color="auto"/>
              <w:right w:val="single" w:sz="4" w:space="0" w:color="auto"/>
            </w:tcBorders>
            <w:vAlign w:val="center"/>
            <w:hideMark/>
          </w:tcPr>
          <w:p w14:paraId="6CB8A975"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 y centro cultural</w:t>
            </w:r>
          </w:p>
        </w:tc>
      </w:tr>
      <w:tr w:rsidR="00940CBA" w:rsidRPr="00940CBA" w14:paraId="62B30261"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4511976F"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14</w:t>
            </w:r>
          </w:p>
        </w:tc>
        <w:tc>
          <w:tcPr>
            <w:tcW w:w="1683" w:type="dxa"/>
            <w:tcBorders>
              <w:top w:val="nil"/>
              <w:left w:val="nil"/>
              <w:bottom w:val="single" w:sz="4" w:space="0" w:color="auto"/>
              <w:right w:val="single" w:sz="4" w:space="0" w:color="auto"/>
            </w:tcBorders>
            <w:noWrap/>
            <w:vAlign w:val="center"/>
            <w:hideMark/>
          </w:tcPr>
          <w:p w14:paraId="4EEB53C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 xml:space="preserve">Museo 26 de Julio </w:t>
            </w:r>
          </w:p>
        </w:tc>
        <w:tc>
          <w:tcPr>
            <w:tcW w:w="1840" w:type="dxa"/>
            <w:tcBorders>
              <w:top w:val="nil"/>
              <w:left w:val="nil"/>
              <w:bottom w:val="single" w:sz="4" w:space="0" w:color="auto"/>
              <w:right w:val="single" w:sz="4" w:space="0" w:color="auto"/>
            </w:tcBorders>
            <w:noWrap/>
            <w:vAlign w:val="center"/>
            <w:hideMark/>
          </w:tcPr>
          <w:p w14:paraId="075DDA12"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Espaillat</w:t>
            </w:r>
          </w:p>
        </w:tc>
        <w:tc>
          <w:tcPr>
            <w:tcW w:w="1840" w:type="dxa"/>
            <w:tcBorders>
              <w:top w:val="nil"/>
              <w:left w:val="nil"/>
              <w:bottom w:val="single" w:sz="4" w:space="0" w:color="auto"/>
              <w:right w:val="single" w:sz="4" w:space="0" w:color="auto"/>
            </w:tcBorders>
            <w:noWrap/>
            <w:vAlign w:val="center"/>
            <w:hideMark/>
          </w:tcPr>
          <w:p w14:paraId="3683A2B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Moca</w:t>
            </w:r>
          </w:p>
        </w:tc>
        <w:tc>
          <w:tcPr>
            <w:tcW w:w="1990" w:type="dxa"/>
            <w:tcBorders>
              <w:top w:val="nil"/>
              <w:left w:val="nil"/>
              <w:bottom w:val="single" w:sz="4" w:space="0" w:color="auto"/>
              <w:right w:val="single" w:sz="4" w:space="0" w:color="auto"/>
            </w:tcBorders>
            <w:vAlign w:val="center"/>
            <w:hideMark/>
          </w:tcPr>
          <w:p w14:paraId="7306B0A1"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w:t>
            </w:r>
          </w:p>
        </w:tc>
      </w:tr>
      <w:tr w:rsidR="00940CBA" w:rsidRPr="00EE47D5" w14:paraId="6595269D" w14:textId="77777777" w:rsidTr="007217BB">
        <w:trPr>
          <w:trHeight w:val="288"/>
        </w:trPr>
        <w:tc>
          <w:tcPr>
            <w:tcW w:w="580" w:type="dxa"/>
            <w:tcBorders>
              <w:top w:val="nil"/>
              <w:left w:val="single" w:sz="4" w:space="0" w:color="auto"/>
              <w:bottom w:val="single" w:sz="4" w:space="0" w:color="auto"/>
              <w:right w:val="single" w:sz="4" w:space="0" w:color="auto"/>
            </w:tcBorders>
            <w:noWrap/>
            <w:vAlign w:val="center"/>
            <w:hideMark/>
          </w:tcPr>
          <w:p w14:paraId="086F20AD" w14:textId="77777777" w:rsidR="00940CBA" w:rsidRPr="00940CBA" w:rsidRDefault="00940CBA" w:rsidP="00940CBA">
            <w:pPr>
              <w:spacing w:after="0" w:line="240" w:lineRule="auto"/>
              <w:jc w:val="center"/>
              <w:rPr>
                <w:rFonts w:eastAsia="Times New Roman"/>
                <w:spacing w:val="0"/>
                <w:sz w:val="20"/>
                <w:szCs w:val="20"/>
                <w:lang w:val="es-MX" w:eastAsia="es-MX"/>
              </w:rPr>
            </w:pPr>
            <w:r w:rsidRPr="00940CBA">
              <w:rPr>
                <w:rFonts w:eastAsia="Times New Roman"/>
                <w:spacing w:val="0"/>
                <w:sz w:val="20"/>
                <w:szCs w:val="20"/>
                <w:lang w:val="es-MX" w:eastAsia="es-MX"/>
              </w:rPr>
              <w:t>15</w:t>
            </w:r>
          </w:p>
        </w:tc>
        <w:tc>
          <w:tcPr>
            <w:tcW w:w="1683" w:type="dxa"/>
            <w:tcBorders>
              <w:top w:val="nil"/>
              <w:left w:val="nil"/>
              <w:bottom w:val="single" w:sz="4" w:space="0" w:color="auto"/>
              <w:right w:val="single" w:sz="4" w:space="0" w:color="auto"/>
            </w:tcBorders>
            <w:noWrap/>
            <w:vAlign w:val="center"/>
            <w:hideMark/>
          </w:tcPr>
          <w:p w14:paraId="2A4553BB"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 xml:space="preserve">Museo Fortaleza San Felipe </w:t>
            </w:r>
          </w:p>
        </w:tc>
        <w:tc>
          <w:tcPr>
            <w:tcW w:w="1840" w:type="dxa"/>
            <w:tcBorders>
              <w:top w:val="nil"/>
              <w:left w:val="nil"/>
              <w:bottom w:val="single" w:sz="4" w:space="0" w:color="auto"/>
              <w:right w:val="single" w:sz="4" w:space="0" w:color="auto"/>
            </w:tcBorders>
            <w:noWrap/>
            <w:vAlign w:val="center"/>
            <w:hideMark/>
          </w:tcPr>
          <w:p w14:paraId="54DB76B9"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Puerto Plata</w:t>
            </w:r>
          </w:p>
        </w:tc>
        <w:tc>
          <w:tcPr>
            <w:tcW w:w="1840" w:type="dxa"/>
            <w:tcBorders>
              <w:top w:val="nil"/>
              <w:left w:val="nil"/>
              <w:bottom w:val="single" w:sz="4" w:space="0" w:color="auto"/>
              <w:right w:val="single" w:sz="4" w:space="0" w:color="auto"/>
            </w:tcBorders>
            <w:noWrap/>
            <w:vAlign w:val="center"/>
            <w:hideMark/>
          </w:tcPr>
          <w:p w14:paraId="026679BE"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Puerto Plata</w:t>
            </w:r>
          </w:p>
        </w:tc>
        <w:tc>
          <w:tcPr>
            <w:tcW w:w="1990" w:type="dxa"/>
            <w:tcBorders>
              <w:top w:val="nil"/>
              <w:left w:val="nil"/>
              <w:bottom w:val="single" w:sz="4" w:space="0" w:color="auto"/>
              <w:right w:val="single" w:sz="4" w:space="0" w:color="auto"/>
            </w:tcBorders>
            <w:vAlign w:val="center"/>
            <w:hideMark/>
          </w:tcPr>
          <w:p w14:paraId="30591C08" w14:textId="77777777" w:rsidR="00940CBA" w:rsidRPr="00940CBA" w:rsidRDefault="00940CBA" w:rsidP="00940CBA">
            <w:pPr>
              <w:spacing w:after="0" w:line="240" w:lineRule="auto"/>
              <w:rPr>
                <w:rFonts w:eastAsia="Times New Roman"/>
                <w:spacing w:val="0"/>
                <w:sz w:val="20"/>
                <w:szCs w:val="20"/>
                <w:lang w:val="es-MX" w:eastAsia="es-MX"/>
              </w:rPr>
            </w:pPr>
            <w:r w:rsidRPr="00940CBA">
              <w:rPr>
                <w:rFonts w:eastAsia="Times New Roman"/>
                <w:spacing w:val="0"/>
                <w:sz w:val="20"/>
                <w:szCs w:val="20"/>
                <w:lang w:val="es-MX" w:eastAsia="es-MX"/>
              </w:rPr>
              <w:t>Museo histórico-militar en monumento</w:t>
            </w:r>
          </w:p>
        </w:tc>
      </w:tr>
      <w:tr w:rsidR="007F659D" w:rsidRPr="00EE47D5" w14:paraId="4CAD8DE0" w14:textId="77777777" w:rsidTr="007217BB">
        <w:trPr>
          <w:trHeight w:val="288"/>
        </w:trPr>
        <w:tc>
          <w:tcPr>
            <w:tcW w:w="7933" w:type="dxa"/>
            <w:gridSpan w:val="5"/>
            <w:tcBorders>
              <w:top w:val="single" w:sz="4" w:space="0" w:color="auto"/>
            </w:tcBorders>
            <w:noWrap/>
            <w:vAlign w:val="center"/>
          </w:tcPr>
          <w:p w14:paraId="74787857" w14:textId="2BA530D6" w:rsidR="007F659D" w:rsidRPr="00940CBA" w:rsidRDefault="007F659D" w:rsidP="00940CBA">
            <w:pPr>
              <w:spacing w:after="0" w:line="240" w:lineRule="auto"/>
              <w:rPr>
                <w:rFonts w:eastAsia="Times New Roman"/>
                <w:spacing w:val="0"/>
                <w:sz w:val="20"/>
                <w:szCs w:val="20"/>
                <w:lang w:val="es-MX" w:eastAsia="es-MX"/>
              </w:rPr>
            </w:pPr>
            <w:r w:rsidRPr="007F659D">
              <w:rPr>
                <w:rFonts w:eastAsia="Calibri"/>
                <w:i/>
                <w:iCs/>
                <w:noProof/>
                <w:sz w:val="20"/>
                <w:szCs w:val="20"/>
                <w:lang w:val="es-MX"/>
              </w:rPr>
              <w:t>Tabla No. 1 Museos administrados por la DGM, año 2025.</w:t>
            </w:r>
          </w:p>
        </w:tc>
      </w:tr>
    </w:tbl>
    <w:p w14:paraId="0D0F238F" w14:textId="77777777" w:rsidR="000847F1" w:rsidRDefault="000847F1" w:rsidP="000847F1">
      <w:pPr>
        <w:shd w:val="clear" w:color="auto" w:fill="FFFFFF"/>
        <w:spacing w:after="0" w:line="360" w:lineRule="auto"/>
        <w:jc w:val="both"/>
        <w:rPr>
          <w:rFonts w:eastAsia="Calibri"/>
          <w:noProof/>
          <w:lang w:val="es-MX"/>
        </w:rPr>
      </w:pPr>
    </w:p>
    <w:p w14:paraId="48692B4A" w14:textId="3777E168" w:rsidR="00ED0398" w:rsidRDefault="00084542" w:rsidP="00DB2C88">
      <w:pPr>
        <w:shd w:val="clear" w:color="auto" w:fill="FFFFFF"/>
        <w:spacing w:line="360" w:lineRule="auto"/>
        <w:jc w:val="both"/>
        <w:rPr>
          <w:rFonts w:eastAsia="Calibri"/>
          <w:noProof/>
          <w:lang w:val="es-DO"/>
        </w:rPr>
      </w:pPr>
      <w:r>
        <w:rPr>
          <w:rFonts w:eastAsia="Calibri"/>
          <w:noProof/>
          <w:lang w:val="es-DO"/>
        </w:rPr>
        <w:t xml:space="preserve">En otro marco juridico- administrativo, </w:t>
      </w:r>
      <w:r w:rsidR="00107B35" w:rsidRPr="00107B35">
        <w:rPr>
          <w:rFonts w:eastAsia="Calibri"/>
          <w:noProof/>
          <w:lang w:val="es-DO"/>
        </w:rPr>
        <w:t>a partir de mediados del año 2025, se integró el Museo Mayobanex Vargas</w:t>
      </w:r>
      <w:r w:rsidR="00290115">
        <w:rPr>
          <w:rFonts w:eastAsia="Calibri"/>
          <w:noProof/>
          <w:lang w:val="es-DO"/>
        </w:rPr>
        <w:t>, ubicado en Bonao, Provincia Monseñor Nouel;</w:t>
      </w:r>
      <w:r w:rsidR="00107B35" w:rsidRPr="00107B35">
        <w:rPr>
          <w:rFonts w:eastAsia="Calibri"/>
          <w:noProof/>
          <w:lang w:val="es-DO"/>
        </w:rPr>
        <w:t xml:space="preserve"> bajo un modelo de cogestión con la Fundación Mayobanex Vargas, en el cual la DGM realizó la mejora de la museografía y asume el pago del personal colaborador, mientras que la fundación es responsable de </w:t>
      </w:r>
      <w:r w:rsidR="00CD7853">
        <w:rPr>
          <w:rFonts w:eastAsia="Calibri"/>
          <w:noProof/>
          <w:lang w:val="es-DO"/>
        </w:rPr>
        <w:t>la operatividad</w:t>
      </w:r>
      <w:r w:rsidR="00107B35" w:rsidRPr="00107B35">
        <w:rPr>
          <w:rFonts w:eastAsia="Calibri"/>
          <w:noProof/>
          <w:lang w:val="es-DO"/>
        </w:rPr>
        <w:t xml:space="preserve">, constituyendo una </w:t>
      </w:r>
      <w:r w:rsidR="00107B35" w:rsidRPr="00107B35">
        <w:rPr>
          <w:rFonts w:eastAsia="Calibri"/>
          <w:noProof/>
          <w:lang w:val="es-DO"/>
        </w:rPr>
        <w:lastRenderedPageBreak/>
        <w:t>experiencia de articulación público–privada orientada al fortalecimiento de la gestión museística y a la sostenibilidad del espacio cultural.</w:t>
      </w:r>
    </w:p>
    <w:p w14:paraId="19909D89" w14:textId="27D6E945" w:rsidR="004E71BE" w:rsidRDefault="00FE55BE" w:rsidP="00FE55BE">
      <w:pPr>
        <w:shd w:val="clear" w:color="auto" w:fill="FFFFFF"/>
        <w:spacing w:after="0" w:line="240" w:lineRule="auto"/>
        <w:jc w:val="both"/>
        <w:rPr>
          <w:rFonts w:eastAsia="Calibri"/>
          <w:noProof/>
          <w:lang w:val="es-DO"/>
        </w:rPr>
      </w:pPr>
      <w:r w:rsidRPr="00FE55BE">
        <w:rPr>
          <w:rFonts w:eastAsia="Calibri"/>
          <w:noProof/>
          <w:lang w:val="es-DO"/>
        </w:rPr>
        <w:drawing>
          <wp:inline distT="0" distB="0" distL="0" distR="0" wp14:anchorId="7ABFBB27" wp14:editId="14DF05C0">
            <wp:extent cx="5086350" cy="3376930"/>
            <wp:effectExtent l="0" t="0" r="0" b="0"/>
            <wp:docPr id="1555736076" name="Imagen 1"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36076" name="Imagen 1" descr="Mapa&#10;&#10;El contenido generado por IA puede ser incorrecto."/>
                    <pic:cNvPicPr/>
                  </pic:nvPicPr>
                  <pic:blipFill>
                    <a:blip r:embed="rId20"/>
                    <a:stretch>
                      <a:fillRect/>
                    </a:stretch>
                  </pic:blipFill>
                  <pic:spPr>
                    <a:xfrm>
                      <a:off x="0" y="0"/>
                      <a:ext cx="5086350" cy="3376930"/>
                    </a:xfrm>
                    <a:prstGeom prst="rect">
                      <a:avLst/>
                    </a:prstGeom>
                  </pic:spPr>
                </pic:pic>
              </a:graphicData>
            </a:graphic>
          </wp:inline>
        </w:drawing>
      </w:r>
    </w:p>
    <w:p w14:paraId="6005838C" w14:textId="2E7A1997" w:rsidR="004E71BE" w:rsidRPr="00FE55BE" w:rsidRDefault="00FE55BE" w:rsidP="00FE55BE">
      <w:pPr>
        <w:shd w:val="clear" w:color="auto" w:fill="FFFFFF"/>
        <w:spacing w:after="0" w:line="240" w:lineRule="auto"/>
        <w:jc w:val="both"/>
        <w:rPr>
          <w:rFonts w:eastAsia="Calibri"/>
          <w:i/>
          <w:iCs/>
          <w:noProof/>
          <w:sz w:val="18"/>
          <w:szCs w:val="18"/>
          <w:lang w:val="es-DO"/>
        </w:rPr>
      </w:pPr>
      <w:r w:rsidRPr="00FE55BE">
        <w:rPr>
          <w:rFonts w:eastAsia="Calibri"/>
          <w:i/>
          <w:iCs/>
          <w:noProof/>
          <w:sz w:val="18"/>
          <w:szCs w:val="18"/>
          <w:lang w:val="es-DO"/>
        </w:rPr>
        <w:t>Gráfica 1. Mapa estratégico del Plan Estratégico Institucional de la Dirección General de Museos (PEI–DGM 2022–2024). Fuente: Elaboración propia</w:t>
      </w:r>
    </w:p>
    <w:p w14:paraId="3016D6A3" w14:textId="77777777" w:rsidR="004E71BE" w:rsidRDefault="004E71BE" w:rsidP="00DB2C88">
      <w:pPr>
        <w:shd w:val="clear" w:color="auto" w:fill="FFFFFF"/>
        <w:spacing w:line="360" w:lineRule="auto"/>
        <w:jc w:val="both"/>
        <w:rPr>
          <w:rFonts w:eastAsia="Calibri"/>
          <w:noProof/>
          <w:lang w:val="es-DO"/>
        </w:rPr>
      </w:pPr>
    </w:p>
    <w:p w14:paraId="7DF2EEAE" w14:textId="42D70738" w:rsidR="007F7044" w:rsidRPr="004B4ED4" w:rsidRDefault="007F7044" w:rsidP="00DB2C88">
      <w:pPr>
        <w:shd w:val="clear" w:color="auto" w:fill="FFFFFF"/>
        <w:spacing w:line="360" w:lineRule="auto"/>
        <w:jc w:val="both"/>
        <w:rPr>
          <w:b/>
          <w:bCs/>
          <w:noProof/>
          <w:sz w:val="28"/>
          <w:szCs w:val="28"/>
          <w:lang w:val="es-DO"/>
        </w:rPr>
      </w:pPr>
      <w:r w:rsidRPr="004B4ED4">
        <w:rPr>
          <w:b/>
          <w:bCs/>
          <w:noProof/>
          <w:sz w:val="28"/>
          <w:szCs w:val="28"/>
          <w:lang w:val="es-DO"/>
        </w:rPr>
        <w:t>2.4 Planificación Estratégica Institucional</w:t>
      </w:r>
    </w:p>
    <w:p w14:paraId="34BB7A50" w14:textId="6051EDD5" w:rsidR="00BC0D65" w:rsidRPr="00C82129" w:rsidRDefault="00BC0D65" w:rsidP="00DB2C88">
      <w:pPr>
        <w:shd w:val="clear" w:color="auto" w:fill="FFFFFF"/>
        <w:spacing w:line="360" w:lineRule="auto"/>
        <w:jc w:val="both"/>
        <w:rPr>
          <w:rFonts w:eastAsia="Calibri"/>
          <w:noProof/>
          <w:lang w:val="es-DO"/>
        </w:rPr>
      </w:pPr>
      <w:r w:rsidRPr="00C82129">
        <w:rPr>
          <w:rFonts w:eastAsia="Calibri"/>
          <w:noProof/>
          <w:lang w:val="es-DO"/>
        </w:rPr>
        <w:t xml:space="preserve">La gestión estratégica de la DGM se desarrolla en coherencia con los lineamientos sectoriales definidos por el Ministerio de Cultura, tomando como referencia </w:t>
      </w:r>
      <w:r w:rsidR="00C82129" w:rsidRPr="00C82129">
        <w:rPr>
          <w:rFonts w:eastAsia="Calibri"/>
          <w:noProof/>
          <w:lang w:val="es-DO"/>
        </w:rPr>
        <w:t>su</w:t>
      </w:r>
      <w:r w:rsidRPr="00C82129">
        <w:rPr>
          <w:rFonts w:eastAsia="Calibri"/>
          <w:noProof/>
          <w:lang w:val="es-DO"/>
        </w:rPr>
        <w:t xml:space="preserve"> Plan Estratégico Institucional (PEI) 2021–2024, el cual establece los ejes prioritarios que orientan la política cultural pública. Dichos ejes constituyen el marco de actuación para la planificación, ejecución y evaluación de las intervenciones museísticas a nivel nacional.</w:t>
      </w:r>
    </w:p>
    <w:p w14:paraId="74DFC9E5" w14:textId="30297ACA" w:rsidR="00BC0D65" w:rsidRPr="0082051D" w:rsidRDefault="00BC0D65" w:rsidP="00DB2C88">
      <w:pPr>
        <w:shd w:val="clear" w:color="auto" w:fill="FFFFFF"/>
        <w:spacing w:line="360" w:lineRule="auto"/>
        <w:jc w:val="both"/>
        <w:rPr>
          <w:rFonts w:eastAsia="Calibri"/>
          <w:noProof/>
          <w:lang w:val="es-DO"/>
        </w:rPr>
      </w:pPr>
      <w:r w:rsidRPr="0082051D">
        <w:rPr>
          <w:rFonts w:eastAsia="Calibri"/>
          <w:noProof/>
          <w:lang w:val="es-DO"/>
        </w:rPr>
        <w:t xml:space="preserve">Las acciones bajo la competencia de la Dirección General de Museos se concentran en el ámbito de la conservación, gestión y acceso al patrimonio cultural mueble, en correspondencia con el objetivo </w:t>
      </w:r>
      <w:r w:rsidRPr="0082051D">
        <w:rPr>
          <w:rFonts w:eastAsia="Calibri"/>
          <w:noProof/>
          <w:lang w:val="es-DO"/>
        </w:rPr>
        <w:lastRenderedPageBreak/>
        <w:t xml:space="preserve">estratégico 3.3 del PEI </w:t>
      </w:r>
      <w:r w:rsidR="0082051D" w:rsidRPr="0082051D">
        <w:rPr>
          <w:rFonts w:eastAsia="Calibri"/>
          <w:noProof/>
          <w:lang w:val="es-DO"/>
        </w:rPr>
        <w:t>del Ministerio de Cultura</w:t>
      </w:r>
      <w:r w:rsidRPr="0082051D">
        <w:rPr>
          <w:rFonts w:eastAsia="Calibri"/>
          <w:noProof/>
          <w:lang w:val="es-DO"/>
        </w:rPr>
        <w:t>, que orienta las iniciativas vinculadas a la protección, fortalecimiento institucional y ampliación de la oferta museística estatal.</w:t>
      </w:r>
    </w:p>
    <w:p w14:paraId="7221A13C" w14:textId="77777777" w:rsidR="00BC0D65" w:rsidRPr="0082051D" w:rsidRDefault="00BC0D65" w:rsidP="00DB2C88">
      <w:pPr>
        <w:shd w:val="clear" w:color="auto" w:fill="FFFFFF"/>
        <w:spacing w:line="360" w:lineRule="auto"/>
        <w:jc w:val="both"/>
        <w:rPr>
          <w:rFonts w:eastAsia="Calibri"/>
          <w:noProof/>
          <w:lang w:val="es-DO"/>
        </w:rPr>
      </w:pPr>
      <w:r w:rsidRPr="0082051D">
        <w:rPr>
          <w:rFonts w:eastAsia="Calibri"/>
          <w:noProof/>
          <w:lang w:val="es-DO"/>
        </w:rPr>
        <w:t>En el marco del proceso de transformación institucional impulsado a partir del Decreto núm. 251-22, la DGM cuenta con un Plan Estratégico Institucional propio (PEI-DGM 2022–2024), concebido como un instrumento operativo que permite traducir los lineamientos sectoriales en objetivos específicos, resultados verificables e indicadores de desempeño, fortaleciendo la capacidad de planificación y seguimiento de la institución.</w:t>
      </w:r>
    </w:p>
    <w:p w14:paraId="4139CC68" w14:textId="72C18CBA" w:rsidR="00BC0D65" w:rsidRPr="00BC0D65" w:rsidRDefault="00BC0D65" w:rsidP="00DB2C88">
      <w:pPr>
        <w:shd w:val="clear" w:color="auto" w:fill="FFFFFF"/>
        <w:spacing w:line="360" w:lineRule="auto"/>
        <w:jc w:val="both"/>
        <w:rPr>
          <w:rFonts w:eastAsia="Calibri"/>
          <w:noProof/>
          <w:lang w:val="es-DO"/>
        </w:rPr>
      </w:pPr>
      <w:r w:rsidRPr="00625F4B">
        <w:rPr>
          <w:rFonts w:eastAsia="Calibri"/>
          <w:noProof/>
          <w:lang w:val="es-DO"/>
        </w:rPr>
        <w:t>Durante el año 2025, la DGM mant</w:t>
      </w:r>
      <w:r w:rsidR="0082051D" w:rsidRPr="00625F4B">
        <w:rPr>
          <w:rFonts w:eastAsia="Calibri"/>
          <w:noProof/>
          <w:lang w:val="es-DO"/>
        </w:rPr>
        <w:t>uvo</w:t>
      </w:r>
      <w:r w:rsidRPr="00625F4B">
        <w:rPr>
          <w:rFonts w:eastAsia="Calibri"/>
          <w:noProof/>
          <w:lang w:val="es-DO"/>
        </w:rPr>
        <w:t xml:space="preserve"> como referencia estos instrumentos estratégicos en un contexto de transición del sistema nacional de planificación, derivado del proceso de formulación y aprobación del Plan Nacional Plurianual del Sector Público (PNPSP) 2025–2028 por parte de los órganos rectores. Este enfoque responde a la necesidad de asegurar continuidad operativa, estabilidad programática y coherencia en la medición de resultados, evitando rupturas en la ejecución institucional mientras se formaliza el nuevo marco plurianual.</w:t>
      </w:r>
    </w:p>
    <w:p w14:paraId="4899FA06" w14:textId="77777777" w:rsidR="00625F4B" w:rsidRDefault="00BC0D65" w:rsidP="00DB2C88">
      <w:pPr>
        <w:shd w:val="clear" w:color="auto" w:fill="FFFFFF"/>
        <w:spacing w:line="360" w:lineRule="auto"/>
        <w:jc w:val="both"/>
        <w:rPr>
          <w:rFonts w:eastAsia="Calibri"/>
          <w:noProof/>
          <w:lang w:val="es-DO"/>
        </w:rPr>
      </w:pPr>
      <w:r w:rsidRPr="00BC0D65">
        <w:rPr>
          <w:rFonts w:eastAsia="Calibri"/>
          <w:noProof/>
          <w:lang w:val="es-DO"/>
        </w:rPr>
        <w:t>Bajo este esquema, la planificación institucional de la DGM se orienta a la consolidación de capacidades, la optimización de procesos y el fortalecimiento de la gestión por resultados, manteniendo su alineación con la Estrategia Nacional de Desarrollo (END) 2030 y los Objetivos de Desarrollo Sostenible (ODS), y asegurando la articulación entre planificación estratégica, programación presupuestaria y evaluación del desempeño institucional.</w:t>
      </w:r>
    </w:p>
    <w:p w14:paraId="027AED89" w14:textId="7A4BCA3A" w:rsidR="007F7044" w:rsidRPr="00124FDC" w:rsidRDefault="007F7044" w:rsidP="00DB2C88">
      <w:pPr>
        <w:shd w:val="clear" w:color="auto" w:fill="FFFFFF"/>
        <w:spacing w:line="360" w:lineRule="auto"/>
        <w:jc w:val="both"/>
        <w:rPr>
          <w:rFonts w:eastAsia="Calibri"/>
          <w:noProof/>
          <w:lang w:val="es-DO"/>
        </w:rPr>
      </w:pPr>
      <w:r w:rsidRPr="00124FDC">
        <w:rPr>
          <w:rFonts w:eastAsia="Calibri"/>
          <w:noProof/>
          <w:lang w:val="es-DO"/>
        </w:rPr>
        <w:t>En la tabla siguiente se indica la alineación de los instrumentos de planificación estratégica a nivel país y los institucionales:</w:t>
      </w:r>
    </w:p>
    <w:tbl>
      <w:tblPr>
        <w:tblStyle w:val="Tablaconcuadrcula1"/>
        <w:tblW w:w="8365" w:type="dxa"/>
        <w:jc w:val="center"/>
        <w:tblLook w:val="04A0" w:firstRow="1" w:lastRow="0" w:firstColumn="1" w:lastColumn="0" w:noHBand="0" w:noVBand="1"/>
      </w:tblPr>
      <w:tblGrid>
        <w:gridCol w:w="1885"/>
        <w:gridCol w:w="2700"/>
        <w:gridCol w:w="1562"/>
        <w:gridCol w:w="2218"/>
      </w:tblGrid>
      <w:tr w:rsidR="007F7044" w:rsidRPr="006B60CB" w14:paraId="3BF01DE1" w14:textId="77777777" w:rsidTr="007E66CB">
        <w:trPr>
          <w:tblHeader/>
          <w:jc w:val="center"/>
        </w:trPr>
        <w:tc>
          <w:tcPr>
            <w:tcW w:w="1885" w:type="dxa"/>
            <w:tcBorders>
              <w:bottom w:val="single" w:sz="4" w:space="0" w:color="404040" w:themeColor="text1" w:themeTint="BF"/>
            </w:tcBorders>
            <w:shd w:val="clear" w:color="auto" w:fill="142F62"/>
            <w:vAlign w:val="center"/>
          </w:tcPr>
          <w:p w14:paraId="40F74735" w14:textId="77777777" w:rsidR="007F7044" w:rsidRPr="00D068C6" w:rsidRDefault="007F7044">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lastRenderedPageBreak/>
              <w:t>ODS 2030</w:t>
            </w:r>
          </w:p>
        </w:tc>
        <w:tc>
          <w:tcPr>
            <w:tcW w:w="2700" w:type="dxa"/>
            <w:tcBorders>
              <w:bottom w:val="single" w:sz="4" w:space="0" w:color="404040" w:themeColor="text1" w:themeTint="BF"/>
            </w:tcBorders>
            <w:shd w:val="clear" w:color="auto" w:fill="142F62"/>
            <w:vAlign w:val="center"/>
          </w:tcPr>
          <w:p w14:paraId="69739D10" w14:textId="77777777" w:rsidR="007F7044" w:rsidRPr="00D068C6" w:rsidRDefault="007F7044">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END 2030</w:t>
            </w:r>
          </w:p>
        </w:tc>
        <w:tc>
          <w:tcPr>
            <w:tcW w:w="1562" w:type="dxa"/>
            <w:tcBorders>
              <w:bottom w:val="single" w:sz="4" w:space="0" w:color="404040" w:themeColor="text1" w:themeTint="BF"/>
            </w:tcBorders>
            <w:shd w:val="clear" w:color="auto" w:fill="142F62"/>
            <w:vAlign w:val="center"/>
          </w:tcPr>
          <w:p w14:paraId="135D535F" w14:textId="77777777" w:rsidR="007F7044" w:rsidRPr="00D068C6" w:rsidRDefault="007F7044">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 xml:space="preserve">PNPSP </w:t>
            </w:r>
          </w:p>
          <w:p w14:paraId="7E540DD8" w14:textId="77777777" w:rsidR="007F7044" w:rsidRPr="00D068C6" w:rsidRDefault="007F7044">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2021-2024</w:t>
            </w:r>
          </w:p>
        </w:tc>
        <w:tc>
          <w:tcPr>
            <w:tcW w:w="2218" w:type="dxa"/>
            <w:tcBorders>
              <w:bottom w:val="single" w:sz="4" w:space="0" w:color="404040" w:themeColor="text1" w:themeTint="BF"/>
            </w:tcBorders>
            <w:shd w:val="clear" w:color="auto" w:fill="142F62"/>
            <w:vAlign w:val="center"/>
          </w:tcPr>
          <w:p w14:paraId="79A4095B" w14:textId="77777777" w:rsidR="007F7044" w:rsidRPr="00D068C6" w:rsidRDefault="007F7044">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PEI -MINC</w:t>
            </w:r>
          </w:p>
          <w:p w14:paraId="2507EBDC" w14:textId="77777777" w:rsidR="007F7044" w:rsidRPr="00D068C6" w:rsidRDefault="007F7044">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2021-2024</w:t>
            </w:r>
          </w:p>
        </w:tc>
      </w:tr>
      <w:tr w:rsidR="007F7044" w:rsidRPr="00EE47D5" w14:paraId="6DCB0BF4" w14:textId="77777777" w:rsidTr="0087691F">
        <w:trPr>
          <w:jc w:val="center"/>
        </w:trPr>
        <w:tc>
          <w:tcPr>
            <w:tcW w:w="1885"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05B71B1B" w14:textId="77777777" w:rsidR="007F7044" w:rsidRPr="006B60CB"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4:</w:t>
            </w:r>
          </w:p>
          <w:p w14:paraId="5C979088" w14:textId="77777777" w:rsidR="007F7044" w:rsidRPr="006B60CB"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Educación de Calidad</w:t>
            </w:r>
          </w:p>
          <w:p w14:paraId="3D909450"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p>
          <w:p w14:paraId="6E9691E8" w14:textId="77777777" w:rsidR="007F7044" w:rsidRPr="006B60CB"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8:</w:t>
            </w:r>
          </w:p>
          <w:p w14:paraId="2168711C" w14:textId="77777777" w:rsidR="007F7044" w:rsidRPr="006B60CB"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Trabajo decente y crecimiento económico</w:t>
            </w:r>
            <w:r w:rsidRPr="006B60CB">
              <w:rPr>
                <w:rFonts w:ascii="Times New Roman" w:eastAsia="Calibri" w:hAnsi="Times New Roman"/>
                <w:noProof/>
                <w:color w:val="767171"/>
                <w:spacing w:val="20"/>
                <w:kern w:val="0"/>
                <w:sz w:val="21"/>
                <w:szCs w:val="21"/>
                <w14:ligatures w14:val="none"/>
              </w:rPr>
              <w:t>.</w:t>
            </w:r>
          </w:p>
          <w:p w14:paraId="3EC81484"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p>
          <w:p w14:paraId="1CC7E186" w14:textId="77777777" w:rsidR="007F7044" w:rsidRPr="006B60CB"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11:</w:t>
            </w:r>
          </w:p>
          <w:p w14:paraId="3B2395CA"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Ciudades y comunidades sostenibles</w:t>
            </w:r>
          </w:p>
        </w:tc>
        <w:tc>
          <w:tcPr>
            <w:tcW w:w="2700"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5F36447E"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Eje Estratégico 2</w:t>
            </w:r>
            <w:r w:rsidRPr="00F95712">
              <w:rPr>
                <w:rFonts w:ascii="Times New Roman" w:eastAsia="Calibri" w:hAnsi="Times New Roman"/>
                <w:noProof/>
                <w:color w:val="767171"/>
                <w:spacing w:val="20"/>
                <w:kern w:val="0"/>
                <w:sz w:val="21"/>
                <w:szCs w:val="21"/>
                <w14:ligatures w14:val="none"/>
              </w:rPr>
              <w:t>. “Una sociedad con igualdad de derechos y oportunidades”.</w:t>
            </w:r>
          </w:p>
          <w:p w14:paraId="3A0BA265"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 General 2.6</w:t>
            </w:r>
            <w:r w:rsidRPr="00F95712">
              <w:rPr>
                <w:rFonts w:ascii="Times New Roman" w:eastAsia="Calibri" w:hAnsi="Times New Roman"/>
                <w:noProof/>
                <w:color w:val="767171"/>
                <w:spacing w:val="20"/>
                <w:kern w:val="0"/>
                <w:sz w:val="21"/>
                <w:szCs w:val="21"/>
                <w14:ligatures w14:val="none"/>
              </w:rPr>
              <w:t xml:space="preserve"> </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Cultura e identidad nacional en un mundo global​</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w:t>
            </w:r>
          </w:p>
          <w:p w14:paraId="24E5A045"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Objetivos específicos</w:t>
            </w:r>
            <w:r w:rsidRPr="00F95712">
              <w:rPr>
                <w:rFonts w:ascii="Times New Roman" w:eastAsia="Calibri" w:hAnsi="Times New Roman"/>
                <w:noProof/>
                <w:color w:val="767171"/>
                <w:spacing w:val="20"/>
                <w:kern w:val="0"/>
                <w:sz w:val="21"/>
                <w:szCs w:val="21"/>
                <w14:ligatures w14:val="none"/>
              </w:rPr>
              <w:t>:</w:t>
            </w:r>
          </w:p>
          <w:p w14:paraId="18422B72" w14:textId="77777777" w:rsidR="007F7044" w:rsidRPr="00205497" w:rsidRDefault="007F7044">
            <w:pPr>
              <w:ind w:left="-6"/>
              <w:jc w:val="center"/>
              <w:rPr>
                <w:rFonts w:ascii="Times New Roman" w:eastAsia="Calibri" w:hAnsi="Times New Roman"/>
                <w:noProof/>
                <w:color w:val="767171"/>
                <w:spacing w:val="20"/>
                <w:kern w:val="0"/>
                <w:sz w:val="21"/>
                <w:szCs w:val="21"/>
                <w14:ligatures w14:val="none"/>
              </w:rPr>
            </w:pPr>
            <w:r w:rsidRPr="00205497">
              <w:rPr>
                <w:rFonts w:ascii="Times New Roman" w:eastAsia="Calibri" w:hAnsi="Times New Roman"/>
                <w:noProof/>
                <w:color w:val="767171"/>
                <w:spacing w:val="20"/>
                <w:kern w:val="0"/>
                <w:sz w:val="21"/>
                <w:szCs w:val="21"/>
                <w14:ligatures w14:val="none"/>
              </w:rPr>
              <w:t>2.6.1 Recuperar, promover y desarrollar los diferentes procesos y manifestaciones culturales que reafirman la identidad nacional​.</w:t>
            </w:r>
          </w:p>
          <w:p w14:paraId="5B3289B2"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2.6.2 Promover el desarrollo de la industria cultural</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w:t>
            </w:r>
          </w:p>
        </w:tc>
        <w:tc>
          <w:tcPr>
            <w:tcW w:w="156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vAlign w:val="center"/>
          </w:tcPr>
          <w:p w14:paraId="3CD96AC0"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Cultura para el cambio</w:t>
            </w:r>
          </w:p>
        </w:tc>
        <w:tc>
          <w:tcPr>
            <w:tcW w:w="2218"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7BE10F9A"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Eje Estratégico 3.</w:t>
            </w:r>
            <w:r w:rsidRPr="00F95712">
              <w:rPr>
                <w:rFonts w:ascii="Times New Roman" w:eastAsia="Calibri" w:hAnsi="Times New Roman"/>
                <w:noProof/>
                <w:color w:val="767171"/>
                <w:spacing w:val="20"/>
                <w:kern w:val="0"/>
                <w:sz w:val="21"/>
                <w:szCs w:val="21"/>
                <w14:ligatures w14:val="none"/>
              </w:rPr>
              <w:t xml:space="preserve"> Conservación y salvaguarda del patrimonio material e inmaterial</w:t>
            </w:r>
          </w:p>
          <w:p w14:paraId="700A21D2" w14:textId="77777777" w:rsidR="007F7044" w:rsidRDefault="007F7044">
            <w:pPr>
              <w:jc w:val="center"/>
              <w:rPr>
                <w:rFonts w:ascii="Times New Roman" w:eastAsia="Calibri" w:hAnsi="Times New Roman"/>
                <w:b/>
                <w:bCs/>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w:t>
            </w:r>
            <w:r>
              <w:rPr>
                <w:rFonts w:ascii="Times New Roman" w:eastAsia="Calibri" w:hAnsi="Times New Roman"/>
                <w:b/>
                <w:bCs/>
                <w:noProof/>
                <w:color w:val="767171"/>
                <w:spacing w:val="20"/>
                <w:kern w:val="0"/>
                <w:sz w:val="21"/>
                <w:szCs w:val="21"/>
                <w14:ligatures w14:val="none"/>
              </w:rPr>
              <w:t xml:space="preserve">s </w:t>
            </w:r>
            <w:r w:rsidRPr="00F95712">
              <w:rPr>
                <w:rFonts w:ascii="Times New Roman" w:eastAsia="Calibri" w:hAnsi="Times New Roman"/>
                <w:b/>
                <w:bCs/>
                <w:noProof/>
                <w:color w:val="767171"/>
                <w:spacing w:val="20"/>
                <w:kern w:val="0"/>
                <w:sz w:val="21"/>
                <w:szCs w:val="21"/>
                <w14:ligatures w14:val="none"/>
              </w:rPr>
              <w:t>Estratégico</w:t>
            </w:r>
            <w:r>
              <w:rPr>
                <w:rFonts w:ascii="Times New Roman" w:eastAsia="Calibri" w:hAnsi="Times New Roman"/>
                <w:b/>
                <w:bCs/>
                <w:noProof/>
                <w:color w:val="767171"/>
                <w:spacing w:val="20"/>
                <w:kern w:val="0"/>
                <w:sz w:val="21"/>
                <w:szCs w:val="21"/>
                <w14:ligatures w14:val="none"/>
              </w:rPr>
              <w:t>s</w:t>
            </w:r>
          </w:p>
          <w:p w14:paraId="23C76759" w14:textId="77777777" w:rsidR="007F7044" w:rsidRPr="002F776E" w:rsidRDefault="007F7044">
            <w:pPr>
              <w:jc w:val="center"/>
              <w:rPr>
                <w:rFonts w:ascii="Times New Roman" w:eastAsia="Calibri" w:hAnsi="Times New Roman"/>
                <w:noProof/>
                <w:color w:val="767171"/>
                <w:spacing w:val="20"/>
                <w:kern w:val="0"/>
                <w:sz w:val="21"/>
                <w:szCs w:val="21"/>
                <w14:ligatures w14:val="none"/>
              </w:rPr>
            </w:pPr>
            <w:r w:rsidRPr="002F776E">
              <w:rPr>
                <w:rFonts w:ascii="Times New Roman" w:eastAsia="Calibri" w:hAnsi="Times New Roman"/>
                <w:noProof/>
                <w:color w:val="767171"/>
                <w:spacing w:val="20"/>
                <w:kern w:val="0"/>
                <w:sz w:val="21"/>
                <w:szCs w:val="21"/>
                <w14:ligatures w14:val="none"/>
              </w:rPr>
              <w:t>3.2 Fomentar el Patrimonio cultural inmueble en los territorios. </w:t>
            </w:r>
          </w:p>
          <w:p w14:paraId="7DE75D70" w14:textId="77777777" w:rsidR="007F7044" w:rsidRPr="00F95712" w:rsidRDefault="007F7044">
            <w:pPr>
              <w:jc w:val="center"/>
              <w:rPr>
                <w:rFonts w:ascii="Times New Roman" w:eastAsia="Calibri" w:hAnsi="Times New Roman"/>
                <w:noProof/>
                <w:color w:val="767171"/>
                <w:spacing w:val="20"/>
                <w:kern w:val="0"/>
                <w:sz w:val="21"/>
                <w:szCs w:val="21"/>
                <w14:ligatures w14:val="none"/>
              </w:rPr>
            </w:pPr>
            <w:r w:rsidRPr="002F776E">
              <w:rPr>
                <w:rFonts w:ascii="Times New Roman" w:eastAsia="Calibri" w:hAnsi="Times New Roman"/>
                <w:noProof/>
                <w:color w:val="767171"/>
                <w:spacing w:val="20"/>
                <w:kern w:val="0"/>
                <w:sz w:val="21"/>
                <w:szCs w:val="21"/>
                <w14:ligatures w14:val="none"/>
              </w:rPr>
              <w:t xml:space="preserve"> 3.3</w:t>
            </w:r>
            <w:r w:rsidRPr="00F95712">
              <w:rPr>
                <w:rFonts w:ascii="Times New Roman" w:eastAsia="Calibri" w:hAnsi="Times New Roman"/>
                <w:noProof/>
                <w:color w:val="767171"/>
                <w:spacing w:val="20"/>
                <w:kern w:val="0"/>
                <w:sz w:val="21"/>
                <w:szCs w:val="21"/>
                <w14:ligatures w14:val="none"/>
              </w:rPr>
              <w:t xml:space="preserve"> “Preservar, facilitar el acceso y concienciar sobre el Patrimonio Cultural Mueble nacional”.</w:t>
            </w:r>
          </w:p>
          <w:p w14:paraId="2FF89078" w14:textId="77777777" w:rsidR="007F7044" w:rsidRPr="00F95712" w:rsidRDefault="007F7044">
            <w:pPr>
              <w:jc w:val="both"/>
              <w:rPr>
                <w:rFonts w:ascii="Times New Roman" w:eastAsia="Calibri" w:hAnsi="Times New Roman"/>
                <w:noProof/>
                <w:color w:val="767171"/>
                <w:spacing w:val="20"/>
                <w:kern w:val="0"/>
                <w:sz w:val="21"/>
                <w:szCs w:val="21"/>
                <w14:ligatures w14:val="none"/>
              </w:rPr>
            </w:pPr>
          </w:p>
        </w:tc>
      </w:tr>
      <w:tr w:rsidR="00200346" w:rsidRPr="00EE47D5" w14:paraId="75F163BD" w14:textId="77777777" w:rsidTr="0087691F">
        <w:trPr>
          <w:trHeight w:val="86"/>
          <w:jc w:val="center"/>
        </w:trPr>
        <w:tc>
          <w:tcPr>
            <w:tcW w:w="8365" w:type="dxa"/>
            <w:gridSpan w:val="4"/>
            <w:tcBorders>
              <w:top w:val="single" w:sz="4" w:space="0" w:color="404040" w:themeColor="text1" w:themeTint="BF"/>
              <w:left w:val="nil"/>
              <w:bottom w:val="nil"/>
              <w:right w:val="nil"/>
            </w:tcBorders>
          </w:tcPr>
          <w:p w14:paraId="5184FD2C" w14:textId="45F49294" w:rsidR="00200346" w:rsidRPr="0087691F" w:rsidRDefault="00200346" w:rsidP="00200346">
            <w:pPr>
              <w:jc w:val="both"/>
              <w:rPr>
                <w:rFonts w:ascii="Times New Roman" w:eastAsia="Calibri" w:hAnsi="Times New Roman"/>
                <w:i/>
                <w:iCs/>
                <w:noProof/>
                <w:sz w:val="18"/>
                <w:szCs w:val="18"/>
              </w:rPr>
            </w:pPr>
            <w:r w:rsidRPr="0087691F">
              <w:rPr>
                <w:rFonts w:ascii="Times New Roman" w:eastAsia="Calibri" w:hAnsi="Times New Roman"/>
                <w:i/>
                <w:iCs/>
                <w:noProof/>
                <w:color w:val="767171"/>
                <w:spacing w:val="20"/>
                <w:kern w:val="0"/>
                <w:sz w:val="20"/>
                <w:szCs w:val="20"/>
                <w14:ligatures w14:val="none"/>
              </w:rPr>
              <w:t xml:space="preserve">Tabla No. </w:t>
            </w:r>
            <w:r w:rsidR="0087691F">
              <w:rPr>
                <w:rFonts w:ascii="Times New Roman" w:eastAsia="Calibri" w:hAnsi="Times New Roman"/>
                <w:i/>
                <w:iCs/>
                <w:noProof/>
                <w:color w:val="767171"/>
                <w:spacing w:val="20"/>
                <w:kern w:val="0"/>
                <w:sz w:val="20"/>
                <w:szCs w:val="20"/>
                <w14:ligatures w14:val="none"/>
              </w:rPr>
              <w:t>2</w:t>
            </w:r>
            <w:r w:rsidRPr="0087691F">
              <w:rPr>
                <w:rFonts w:ascii="Times New Roman" w:eastAsia="Calibri" w:hAnsi="Times New Roman"/>
                <w:i/>
                <w:iCs/>
                <w:noProof/>
                <w:color w:val="767171"/>
                <w:spacing w:val="20"/>
                <w:kern w:val="0"/>
                <w:sz w:val="20"/>
                <w:szCs w:val="20"/>
                <w14:ligatures w14:val="none"/>
              </w:rPr>
              <w:t xml:space="preserve"> Alineación de los instrumentos de planificación estratégica globales e institucionales</w:t>
            </w:r>
          </w:p>
        </w:tc>
      </w:tr>
    </w:tbl>
    <w:p w14:paraId="5114FD8D" w14:textId="77777777" w:rsidR="00FE55BE" w:rsidRDefault="00FE55BE" w:rsidP="00DB2C88">
      <w:pPr>
        <w:spacing w:line="360" w:lineRule="auto"/>
        <w:jc w:val="both"/>
        <w:rPr>
          <w:rFonts w:eastAsia="Calibri"/>
          <w:noProof/>
          <w:lang w:val="es-DO"/>
        </w:rPr>
      </w:pPr>
    </w:p>
    <w:p w14:paraId="4880F6BE" w14:textId="463096C6" w:rsidR="00635C12" w:rsidRPr="00635C12" w:rsidRDefault="00635C12" w:rsidP="00DB2C88">
      <w:pPr>
        <w:spacing w:line="360" w:lineRule="auto"/>
        <w:jc w:val="both"/>
        <w:rPr>
          <w:rFonts w:eastAsia="Calibri"/>
          <w:noProof/>
          <w:lang w:val="es-DO"/>
        </w:rPr>
      </w:pPr>
      <w:r w:rsidRPr="00635C12">
        <w:rPr>
          <w:rFonts w:eastAsia="Calibri"/>
          <w:noProof/>
          <w:lang w:val="es-DO"/>
        </w:rPr>
        <w:t>En el marco de la planificación orientada a resultados, el Plan Estratégico Institucional 2022–2024</w:t>
      </w:r>
      <w:r w:rsidR="00C96254">
        <w:rPr>
          <w:rFonts w:eastAsia="Calibri"/>
          <w:noProof/>
          <w:lang w:val="es-DO"/>
        </w:rPr>
        <w:t xml:space="preserve"> </w:t>
      </w:r>
      <w:r w:rsidRPr="00635C12">
        <w:rPr>
          <w:rFonts w:eastAsia="Calibri"/>
          <w:noProof/>
          <w:lang w:val="es-DO"/>
        </w:rPr>
        <w:t>definió cuatro ejes estratégicos que estructuran la acción de la Dirección General de Museos. Dichos ejes organizan las líneas de intervención dirigidas a operacionalizar las políticas de gestión museística estatal, con énfasis en la mejora del desempeño institucional, la calidad de los servicios museísticos y el fortalecimiento del Sistema Nacional de Museos.</w:t>
      </w:r>
    </w:p>
    <w:p w14:paraId="497811BB" w14:textId="77777777" w:rsidR="00635C12" w:rsidRPr="00635C12" w:rsidRDefault="00635C12" w:rsidP="00DB2C88">
      <w:pPr>
        <w:spacing w:line="360" w:lineRule="auto"/>
        <w:jc w:val="both"/>
        <w:rPr>
          <w:rFonts w:eastAsia="Calibri"/>
          <w:noProof/>
          <w:lang w:val="es-DO"/>
        </w:rPr>
      </w:pPr>
      <w:r w:rsidRPr="00635C12">
        <w:rPr>
          <w:rFonts w:eastAsia="Calibri"/>
          <w:noProof/>
          <w:lang w:val="es-DO"/>
        </w:rPr>
        <w:t>Este enfoque busca consolidar un sistema museístico con mayor capacidad de respuesta, innovación y alcance territorial, orientado a garantizar el acceso equitativo al patrimonio cultural mueble, fortalecer la identidad nacional y promover la apropiación social de las expresiones culturales en las distintas regiones del país, en diálogo con la cultura universal.</w:t>
      </w:r>
    </w:p>
    <w:p w14:paraId="06941297" w14:textId="77777777" w:rsidR="00635C12" w:rsidRDefault="00635C12" w:rsidP="00DB2C88">
      <w:pPr>
        <w:spacing w:line="360" w:lineRule="auto"/>
        <w:jc w:val="both"/>
        <w:rPr>
          <w:rFonts w:eastAsia="Calibri"/>
          <w:noProof/>
          <w:lang w:val="es-DO"/>
        </w:rPr>
      </w:pPr>
      <w:r w:rsidRPr="00635C12">
        <w:rPr>
          <w:rFonts w:eastAsia="Calibri"/>
          <w:noProof/>
          <w:lang w:val="es-DO"/>
        </w:rPr>
        <w:lastRenderedPageBreak/>
        <w:t>En coherencia con estos propósitos, se establecieron los siguientes ejes estratégicos:</w:t>
      </w:r>
    </w:p>
    <w:p w14:paraId="6F715A4E" w14:textId="43E36B31" w:rsidR="007F7044" w:rsidRPr="00124FDC" w:rsidRDefault="007F7044" w:rsidP="00DB2C88">
      <w:pPr>
        <w:spacing w:line="360" w:lineRule="auto"/>
        <w:jc w:val="both"/>
        <w:rPr>
          <w:rFonts w:eastAsia="Calibri"/>
          <w:b/>
          <w:bCs/>
          <w:noProof/>
          <w:lang w:val="es-DO"/>
        </w:rPr>
      </w:pPr>
      <w:r w:rsidRPr="00124FDC">
        <w:rPr>
          <w:rFonts w:eastAsia="Calibri"/>
          <w:b/>
          <w:bCs/>
          <w:noProof/>
          <w:lang w:val="es-DO"/>
        </w:rPr>
        <w:t>Eje Estratégico 1. Fortalecimiento Institucional</w:t>
      </w:r>
    </w:p>
    <w:p w14:paraId="6AA25C77" w14:textId="77777777" w:rsidR="007F7044" w:rsidRPr="00124FDC" w:rsidRDefault="007F7044" w:rsidP="00DB2C88">
      <w:pPr>
        <w:spacing w:line="360" w:lineRule="auto"/>
        <w:jc w:val="both"/>
        <w:textAlignment w:val="top"/>
        <w:rPr>
          <w:rFonts w:eastAsia="Calibri"/>
          <w:noProof/>
          <w:lang w:val="es-DO"/>
        </w:rPr>
      </w:pPr>
      <w:r w:rsidRPr="00124FDC">
        <w:rPr>
          <w:rFonts w:eastAsia="Calibri"/>
          <w:b/>
          <w:bCs/>
          <w:noProof/>
          <w:lang w:val="es-DO"/>
        </w:rPr>
        <w:t>Objetivo General:</w:t>
      </w:r>
      <w:r w:rsidRPr="00124FDC">
        <w:rPr>
          <w:rFonts w:eastAsia="Calibri"/>
          <w:noProof/>
          <w:lang w:val="es-DO"/>
        </w:rPr>
        <w:t xml:space="preserve"> Desarrollar y consolidar un Sistema Nacional de Museos, dentro del fortalecimiento general del Ministerio de Cultura, que ofrezca los mecanismos y estructuras de apoyo al desarrollo museístico en la República Dominicana.</w:t>
      </w:r>
    </w:p>
    <w:p w14:paraId="71C2446D" w14:textId="77777777" w:rsidR="007F7044" w:rsidRPr="00124FDC" w:rsidRDefault="007F7044" w:rsidP="00DB2C88">
      <w:pPr>
        <w:spacing w:line="360" w:lineRule="auto"/>
        <w:jc w:val="both"/>
        <w:rPr>
          <w:rFonts w:eastAsia="Calibri"/>
          <w:b/>
          <w:bCs/>
          <w:noProof/>
          <w:lang w:val="es-DO"/>
        </w:rPr>
      </w:pPr>
      <w:r w:rsidRPr="00124FDC">
        <w:rPr>
          <w:rFonts w:eastAsia="Calibri"/>
          <w:b/>
          <w:bCs/>
          <w:noProof/>
          <w:lang w:val="es-DO"/>
        </w:rPr>
        <w:t>Objetivos específicos:</w:t>
      </w:r>
    </w:p>
    <w:p w14:paraId="44C80BD3" w14:textId="77777777" w:rsidR="007F7044" w:rsidRPr="00124FDC" w:rsidRDefault="007F7044" w:rsidP="00DB2C88">
      <w:pPr>
        <w:spacing w:line="360" w:lineRule="auto"/>
        <w:jc w:val="both"/>
        <w:rPr>
          <w:rFonts w:eastAsia="Calibri"/>
          <w:b/>
          <w:bCs/>
          <w:noProof/>
          <w:lang w:val="es-DO"/>
        </w:rPr>
      </w:pPr>
      <w:r w:rsidRPr="00124FDC">
        <w:rPr>
          <w:rFonts w:eastAsia="Calibri"/>
          <w:noProof/>
          <w:lang w:val="es-DO"/>
        </w:rPr>
        <w:t>1.1.1 Definir las políticas generales y específicas de la Red Nacional de Museos, para garantizar su funcionalidad, acorde a las exigencias de los nuevos tiempos.</w:t>
      </w:r>
    </w:p>
    <w:p w14:paraId="497A6BCD" w14:textId="77777777" w:rsidR="007F7044" w:rsidRPr="00124FDC" w:rsidRDefault="007F7044" w:rsidP="00DB2C88">
      <w:pPr>
        <w:spacing w:line="360" w:lineRule="auto"/>
        <w:jc w:val="both"/>
        <w:rPr>
          <w:rFonts w:eastAsia="Calibri"/>
          <w:b/>
          <w:bCs/>
          <w:noProof/>
          <w:lang w:val="es-DO"/>
        </w:rPr>
      </w:pPr>
      <w:r w:rsidRPr="00124FDC">
        <w:rPr>
          <w:rFonts w:eastAsia="Calibri"/>
          <w:noProof/>
          <w:lang w:val="es-DO"/>
        </w:rPr>
        <w:t>1.1.2 Garantizar la integración de las comunidades a las actividades museísticas, como mecanismo de enriquecimiento y sostenimiento de los museos.</w:t>
      </w:r>
    </w:p>
    <w:p w14:paraId="7886829E" w14:textId="77777777" w:rsidR="007F7044" w:rsidRPr="00124FDC" w:rsidRDefault="007F7044" w:rsidP="00DB2C88">
      <w:pPr>
        <w:spacing w:line="360" w:lineRule="auto"/>
        <w:jc w:val="both"/>
        <w:rPr>
          <w:rFonts w:eastAsia="Calibri"/>
          <w:noProof/>
          <w:lang w:val="es-DO"/>
        </w:rPr>
      </w:pPr>
      <w:r w:rsidRPr="00124FDC">
        <w:rPr>
          <w:rFonts w:eastAsia="Calibri"/>
          <w:noProof/>
          <w:lang w:val="es-DO"/>
        </w:rPr>
        <w:t>1.1.3 Incentivar las alianzas público-privadas (APP) como mecanismo de sostenibilidad de los museos.</w:t>
      </w:r>
    </w:p>
    <w:p w14:paraId="55452181" w14:textId="77777777" w:rsidR="007F7044" w:rsidRPr="00124FDC" w:rsidRDefault="007F7044" w:rsidP="00DB2C88">
      <w:pPr>
        <w:spacing w:line="360" w:lineRule="auto"/>
        <w:jc w:val="both"/>
        <w:rPr>
          <w:rFonts w:eastAsia="Calibri"/>
          <w:b/>
          <w:bCs/>
          <w:noProof/>
          <w:lang w:val="es-DO"/>
        </w:rPr>
      </w:pPr>
      <w:r w:rsidRPr="00124FDC">
        <w:rPr>
          <w:rFonts w:eastAsia="Calibri"/>
          <w:b/>
          <w:bCs/>
          <w:noProof/>
          <w:lang w:val="es-DO"/>
        </w:rPr>
        <w:t>Eje Estratégico 2. Desconcentración</w:t>
      </w:r>
    </w:p>
    <w:p w14:paraId="582330DF" w14:textId="77777777" w:rsidR="007F7044" w:rsidRPr="00124FDC" w:rsidRDefault="007F7044" w:rsidP="00DB2C88">
      <w:pPr>
        <w:spacing w:line="360" w:lineRule="auto"/>
        <w:jc w:val="both"/>
        <w:rPr>
          <w:rFonts w:eastAsia="Calibri"/>
          <w:noProof/>
          <w:lang w:val="es-DO"/>
        </w:rPr>
      </w:pPr>
      <w:r w:rsidRPr="00124FDC">
        <w:rPr>
          <w:rFonts w:eastAsia="Calibri"/>
          <w:b/>
          <w:bCs/>
          <w:noProof/>
          <w:lang w:val="es-DO"/>
        </w:rPr>
        <w:t>Objetivo General:</w:t>
      </w:r>
      <w:r w:rsidRPr="00124FDC">
        <w:rPr>
          <w:rFonts w:eastAsia="Calibri"/>
          <w:noProof/>
          <w:lang w:val="es-DO"/>
        </w:rPr>
        <w:t xml:space="preserve"> Fortalecer la desconcentración dentro de las líneas de trabajo de la descentralización del Ministerio de Cultura.</w:t>
      </w:r>
    </w:p>
    <w:p w14:paraId="58FC4BA8" w14:textId="77777777" w:rsidR="007F7044" w:rsidRPr="00124FDC" w:rsidRDefault="007F7044" w:rsidP="00DB2C88">
      <w:pPr>
        <w:spacing w:line="360" w:lineRule="auto"/>
        <w:jc w:val="both"/>
        <w:rPr>
          <w:rFonts w:eastAsia="Calibri"/>
          <w:noProof/>
          <w:lang w:val="es-DO"/>
        </w:rPr>
      </w:pPr>
      <w:r w:rsidRPr="00124FDC">
        <w:rPr>
          <w:rFonts w:eastAsia="Calibri"/>
          <w:b/>
          <w:bCs/>
          <w:noProof/>
          <w:lang w:val="es-DO"/>
        </w:rPr>
        <w:t>Eje Estratégico 3. Conservación y salvaguarda de los museos y sus colecciones.</w:t>
      </w:r>
      <w:r w:rsidRPr="00124FDC">
        <w:rPr>
          <w:rFonts w:eastAsia="Calibri"/>
          <w:noProof/>
          <w:lang w:val="es-DO"/>
        </w:rPr>
        <w:t xml:space="preserve"> </w:t>
      </w:r>
    </w:p>
    <w:p w14:paraId="61EF541B" w14:textId="77777777" w:rsidR="007F7044" w:rsidRPr="00124FDC" w:rsidRDefault="007F7044" w:rsidP="00DB2C88">
      <w:pPr>
        <w:spacing w:line="360" w:lineRule="auto"/>
        <w:jc w:val="both"/>
        <w:rPr>
          <w:rFonts w:eastAsia="Calibri"/>
          <w:noProof/>
          <w:lang w:val="es-DO"/>
        </w:rPr>
      </w:pPr>
      <w:r w:rsidRPr="00124FDC">
        <w:rPr>
          <w:rFonts w:eastAsia="Calibri"/>
          <w:b/>
          <w:bCs/>
          <w:noProof/>
          <w:lang w:val="es-DO"/>
        </w:rPr>
        <w:t>Objetivo General:</w:t>
      </w:r>
      <w:r w:rsidRPr="00124FDC">
        <w:rPr>
          <w:rFonts w:eastAsia="Calibri"/>
          <w:noProof/>
          <w:lang w:val="es-DO"/>
        </w:rPr>
        <w:t xml:space="preserve"> Investigar, preservar y poner en valor nuestros museos.</w:t>
      </w:r>
    </w:p>
    <w:p w14:paraId="357A751D" w14:textId="77777777" w:rsidR="007F7044" w:rsidRPr="00124FDC" w:rsidRDefault="007F7044" w:rsidP="00DB2C88">
      <w:pPr>
        <w:spacing w:line="360" w:lineRule="auto"/>
        <w:jc w:val="both"/>
        <w:rPr>
          <w:rFonts w:eastAsia="Calibri"/>
          <w:b/>
          <w:bCs/>
          <w:noProof/>
          <w:lang w:val="es-DO"/>
        </w:rPr>
      </w:pPr>
      <w:r w:rsidRPr="00124FDC">
        <w:rPr>
          <w:rFonts w:eastAsia="Calibri"/>
          <w:b/>
          <w:bCs/>
          <w:noProof/>
          <w:lang w:val="es-DO"/>
        </w:rPr>
        <w:t>Objetivos Específicos:</w:t>
      </w:r>
    </w:p>
    <w:p w14:paraId="35EBA331" w14:textId="77777777" w:rsidR="007F7044" w:rsidRPr="00124FDC" w:rsidRDefault="007F7044" w:rsidP="00DB2C88">
      <w:pPr>
        <w:spacing w:line="360" w:lineRule="auto"/>
        <w:jc w:val="both"/>
        <w:rPr>
          <w:rFonts w:eastAsia="Calibri"/>
          <w:noProof/>
          <w:lang w:val="es-DO"/>
        </w:rPr>
      </w:pPr>
      <w:r w:rsidRPr="00124FDC">
        <w:rPr>
          <w:rFonts w:eastAsia="Calibri"/>
          <w:noProof/>
          <w:lang w:val="es-DO"/>
        </w:rPr>
        <w:t xml:space="preserve">3.1.1 Promover los museos como espacios al servicio de la sociedad y de su desarrollo, abiertos al público en los cuales se comunica y </w:t>
      </w:r>
      <w:r w:rsidRPr="00124FDC">
        <w:rPr>
          <w:rFonts w:eastAsia="Calibri"/>
          <w:noProof/>
          <w:lang w:val="es-DO"/>
        </w:rPr>
        <w:lastRenderedPageBreak/>
        <w:t xml:space="preserve">expone el patrimonio material e inmaterial de la humanidad y su medio ambiente con fines de educación, estudio y recreo. </w:t>
      </w:r>
    </w:p>
    <w:p w14:paraId="2BE0577C" w14:textId="77777777" w:rsidR="007F7044" w:rsidRPr="00124FDC" w:rsidRDefault="007F7044" w:rsidP="00DB2C88">
      <w:pPr>
        <w:spacing w:line="360" w:lineRule="auto"/>
        <w:jc w:val="both"/>
        <w:rPr>
          <w:rFonts w:eastAsia="Calibri"/>
          <w:noProof/>
          <w:lang w:val="es-DO"/>
        </w:rPr>
      </w:pPr>
      <w:r w:rsidRPr="00124FDC">
        <w:rPr>
          <w:rFonts w:eastAsia="Calibri"/>
          <w:noProof/>
          <w:lang w:val="es-DO"/>
        </w:rPr>
        <w:t>Incentivar la investigación como fuente principal de enriquecimiento de las propuestas museísticas del país, a fin de difundir los valores culturales y patrimoniales a las generaciones futuras y al público en general.</w:t>
      </w:r>
    </w:p>
    <w:p w14:paraId="5888EADD" w14:textId="77777777" w:rsidR="007F7044" w:rsidRPr="00124FDC" w:rsidRDefault="007F7044" w:rsidP="00DB2C88">
      <w:pPr>
        <w:spacing w:line="360" w:lineRule="auto"/>
        <w:jc w:val="both"/>
        <w:rPr>
          <w:rFonts w:eastAsia="Calibri"/>
          <w:noProof/>
          <w:lang w:val="es-DO"/>
        </w:rPr>
      </w:pPr>
      <w:r w:rsidRPr="00124FDC">
        <w:rPr>
          <w:rFonts w:eastAsia="Calibri"/>
          <w:noProof/>
          <w:lang w:val="es-DO"/>
        </w:rPr>
        <w:t xml:space="preserve">3.1.2 Elaborar los planes estratégicos generales para la conservación y protección de los bienes muebles e inmuebles de los museos nacionales. </w:t>
      </w:r>
    </w:p>
    <w:p w14:paraId="17A710AE" w14:textId="77777777" w:rsidR="007F7044" w:rsidRPr="00124FDC" w:rsidRDefault="007F7044" w:rsidP="00DB2C88">
      <w:pPr>
        <w:spacing w:line="360" w:lineRule="auto"/>
        <w:jc w:val="both"/>
        <w:rPr>
          <w:rFonts w:eastAsia="Calibri"/>
          <w:noProof/>
          <w:lang w:val="es-DO"/>
        </w:rPr>
      </w:pPr>
      <w:r w:rsidRPr="00124FDC">
        <w:rPr>
          <w:rFonts w:eastAsia="Calibri"/>
          <w:noProof/>
          <w:lang w:val="es-DO"/>
        </w:rPr>
        <w:t>3.1.3 Promover y apoyar la creación de nuevos museos, tanto públicos como privados, en todo el territorio nacional.</w:t>
      </w:r>
    </w:p>
    <w:p w14:paraId="7F37A85E" w14:textId="77777777" w:rsidR="007F7044" w:rsidRPr="00124FDC" w:rsidRDefault="007F7044" w:rsidP="00DB2C88">
      <w:pPr>
        <w:spacing w:line="360" w:lineRule="auto"/>
        <w:jc w:val="both"/>
        <w:rPr>
          <w:rFonts w:eastAsia="Calibri"/>
          <w:noProof/>
          <w:lang w:val="es-DO"/>
        </w:rPr>
      </w:pPr>
      <w:r w:rsidRPr="00124FDC">
        <w:rPr>
          <w:rFonts w:eastAsia="Calibri"/>
          <w:noProof/>
          <w:lang w:val="es-DO"/>
        </w:rPr>
        <w:t>3.1.4 Elevar la calidad de los servicios museísticos nacionales a través de la innovación en las propuestas, la conservación de las colecciones y el mejoramiento de la infraestructura.</w:t>
      </w:r>
    </w:p>
    <w:p w14:paraId="48F36B68" w14:textId="77777777" w:rsidR="007F7044" w:rsidRPr="00124FDC" w:rsidRDefault="007F7044" w:rsidP="00DB2C88">
      <w:pPr>
        <w:spacing w:line="360" w:lineRule="auto"/>
        <w:jc w:val="both"/>
        <w:rPr>
          <w:rFonts w:eastAsia="Calibri"/>
          <w:noProof/>
          <w:lang w:val="es-DO"/>
        </w:rPr>
      </w:pPr>
      <w:r w:rsidRPr="00124FDC">
        <w:rPr>
          <w:rFonts w:eastAsia="Calibri"/>
          <w:b/>
          <w:bCs/>
          <w:noProof/>
          <w:lang w:val="es-DO"/>
        </w:rPr>
        <w:t>Eje Estratégico 4. Fortalecimiento del Sistema de Formación del personal de los museos y la Dirección General de Museos</w:t>
      </w:r>
      <w:r w:rsidRPr="00124FDC">
        <w:rPr>
          <w:rFonts w:eastAsia="Calibri"/>
          <w:noProof/>
          <w:lang w:val="es-DO"/>
        </w:rPr>
        <w:t xml:space="preserve"> </w:t>
      </w:r>
    </w:p>
    <w:p w14:paraId="6851EDEB" w14:textId="14A36D9C" w:rsidR="007E0390" w:rsidRDefault="007F7044" w:rsidP="00DB2C88">
      <w:pPr>
        <w:spacing w:line="360" w:lineRule="auto"/>
        <w:jc w:val="both"/>
        <w:rPr>
          <w:rFonts w:eastAsia="Calibri"/>
          <w:noProof/>
          <w:lang w:val="es-DO"/>
        </w:rPr>
      </w:pPr>
      <w:r w:rsidRPr="00124FDC">
        <w:rPr>
          <w:rFonts w:eastAsia="Calibri"/>
          <w:b/>
          <w:bCs/>
          <w:noProof/>
          <w:lang w:val="es-DO"/>
        </w:rPr>
        <w:t>Objetivo General:</w:t>
      </w:r>
      <w:r w:rsidRPr="00124FDC">
        <w:rPr>
          <w:rFonts w:eastAsia="Calibri"/>
          <w:noProof/>
          <w:lang w:val="es-DO"/>
        </w:rPr>
        <w:t xml:space="preserve"> Elevar la calidad de los servicios museísticos nacionales a través de la cualificación del personal.</w:t>
      </w:r>
      <w:r w:rsidR="000D0213" w:rsidRPr="00124FDC">
        <w:rPr>
          <w:rFonts w:eastAsia="Calibri"/>
          <w:noProof/>
          <w:lang w:val="es-DO"/>
        </w:rPr>
        <w:t xml:space="preserve"> </w:t>
      </w:r>
    </w:p>
    <w:p w14:paraId="30521AAF" w14:textId="690FF1B8" w:rsidR="000D160A" w:rsidRDefault="005512A4" w:rsidP="005512A4">
      <w:pPr>
        <w:spacing w:after="0" w:line="360" w:lineRule="auto"/>
        <w:rPr>
          <w:rFonts w:eastAsia="Calibri"/>
          <w:noProof/>
          <w:lang w:val="es-DO"/>
        </w:rPr>
      </w:pPr>
      <w:r>
        <w:rPr>
          <w:rFonts w:eastAsia="Calibri"/>
          <w:noProof/>
          <w:lang w:val="es-DO"/>
        </w:rPr>
        <w:lastRenderedPageBreak/>
        <w:drawing>
          <wp:inline distT="0" distB="0" distL="0" distR="0" wp14:anchorId="23B90D51" wp14:editId="3AF45D26">
            <wp:extent cx="4932803" cy="3751254"/>
            <wp:effectExtent l="0" t="0" r="1270" b="1905"/>
            <wp:docPr id="242216680" name="Imagen 34"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16680" name="Imagen 34" descr="Diagrama&#10;&#10;El contenido generado por IA puede ser incorrecto."/>
                    <pic:cNvPicPr>
                      <a:picLocks noChangeAspect="1" noChangeArrowheads="1"/>
                    </pic:cNvPicPr>
                  </pic:nvPicPr>
                  <pic:blipFill rotWithShape="1">
                    <a:blip r:embed="rId21">
                      <a:extLst>
                        <a:ext uri="{28A0092B-C50C-407E-A947-70E740481C1C}">
                          <a14:useLocalDpi xmlns:a14="http://schemas.microsoft.com/office/drawing/2010/main" val="0"/>
                        </a:ext>
                      </a:extLst>
                    </a:blip>
                    <a:srcRect l="1209" t="204" r="1799"/>
                    <a:stretch>
                      <a:fillRect/>
                    </a:stretch>
                  </pic:blipFill>
                  <pic:spPr bwMode="auto">
                    <a:xfrm>
                      <a:off x="0" y="0"/>
                      <a:ext cx="4933364" cy="3751681"/>
                    </a:xfrm>
                    <a:prstGeom prst="rect">
                      <a:avLst/>
                    </a:prstGeom>
                    <a:noFill/>
                    <a:ln>
                      <a:noFill/>
                    </a:ln>
                    <a:extLst>
                      <a:ext uri="{53640926-AAD7-44D8-BBD7-CCE9431645EC}">
                        <a14:shadowObscured xmlns:a14="http://schemas.microsoft.com/office/drawing/2010/main"/>
                      </a:ext>
                    </a:extLst>
                  </pic:spPr>
                </pic:pic>
              </a:graphicData>
            </a:graphic>
          </wp:inline>
        </w:drawing>
      </w:r>
    </w:p>
    <w:p w14:paraId="2BEE00E7" w14:textId="18A30837" w:rsidR="005B050A" w:rsidRPr="00EF5555" w:rsidRDefault="005B050A" w:rsidP="00EF5555">
      <w:pPr>
        <w:spacing w:after="0" w:line="240" w:lineRule="auto"/>
        <w:rPr>
          <w:rFonts w:eastAsia="Calibri"/>
          <w:i/>
          <w:iCs/>
          <w:noProof/>
          <w:sz w:val="20"/>
          <w:szCs w:val="20"/>
          <w:lang w:val="es-DO"/>
        </w:rPr>
      </w:pPr>
      <w:r w:rsidRPr="00EF5555">
        <w:rPr>
          <w:rFonts w:eastAsia="Calibri"/>
          <w:i/>
          <w:iCs/>
          <w:noProof/>
          <w:sz w:val="20"/>
          <w:szCs w:val="20"/>
          <w:lang w:val="es-DO"/>
        </w:rPr>
        <w:t xml:space="preserve">Gráfica 1. </w:t>
      </w:r>
      <w:r w:rsidR="00EF5555" w:rsidRPr="00EF5555">
        <w:rPr>
          <w:rFonts w:eastAsia="Calibri"/>
          <w:i/>
          <w:iCs/>
          <w:noProof/>
          <w:sz w:val="20"/>
          <w:szCs w:val="20"/>
          <w:lang w:val="es-DO"/>
        </w:rPr>
        <w:t>Mapa estratégico del Plan Estratégico Institucional de la Dirección General de Museos (PEI–DGM 2022–2024).</w:t>
      </w:r>
      <w:r w:rsidR="00EF5555">
        <w:rPr>
          <w:rFonts w:eastAsia="Calibri"/>
          <w:i/>
          <w:iCs/>
          <w:noProof/>
          <w:sz w:val="20"/>
          <w:szCs w:val="20"/>
          <w:lang w:val="es-DO"/>
        </w:rPr>
        <w:t xml:space="preserve"> Fuente: Elaboración propia</w:t>
      </w:r>
    </w:p>
    <w:p w14:paraId="357BEB34" w14:textId="4D84E1B7" w:rsidR="000D160A" w:rsidRDefault="000D160A" w:rsidP="007E0390">
      <w:pPr>
        <w:spacing w:after="0" w:line="360" w:lineRule="auto"/>
        <w:jc w:val="both"/>
        <w:rPr>
          <w:rFonts w:eastAsia="Calibri"/>
          <w:noProof/>
          <w:lang w:val="es-DO"/>
        </w:rPr>
      </w:pPr>
    </w:p>
    <w:p w14:paraId="3CC0C1A9" w14:textId="77777777" w:rsidR="00515E0C" w:rsidRDefault="007E0390" w:rsidP="00DB2C88">
      <w:pPr>
        <w:spacing w:line="360" w:lineRule="auto"/>
        <w:jc w:val="both"/>
        <w:rPr>
          <w:rFonts w:eastAsia="Calibri"/>
          <w:noProof/>
          <w:lang w:val="es-DO"/>
        </w:rPr>
      </w:pPr>
      <w:r w:rsidRPr="007E0390">
        <w:rPr>
          <w:rFonts w:eastAsia="Calibri"/>
          <w:noProof/>
          <w:lang w:val="es-DO"/>
        </w:rPr>
        <w:t xml:space="preserve">En conjunto, el marco de planificación estratégica adoptado por la Dirección General de Museos evidencia un enfoque institucional orientado a la coherencia, continuidad y gestión por resultados, incluso en contextos de transición del sistema nacional de planificación. </w:t>
      </w:r>
    </w:p>
    <w:p w14:paraId="0E0C4FAF" w14:textId="77777777" w:rsidR="00EF5555" w:rsidRDefault="007E0390" w:rsidP="00DB2C88">
      <w:pPr>
        <w:spacing w:line="360" w:lineRule="auto"/>
        <w:jc w:val="both"/>
        <w:rPr>
          <w:rFonts w:eastAsia="Calibri"/>
          <w:noProof/>
          <w:lang w:val="es-DO"/>
        </w:rPr>
      </w:pPr>
      <w:r w:rsidRPr="007E0390">
        <w:rPr>
          <w:rFonts w:eastAsia="Calibri"/>
          <w:noProof/>
          <w:lang w:val="es-DO"/>
        </w:rPr>
        <w:t xml:space="preserve">La articulación entre los instrumentos estratégicos sectoriales e institucionales, los ejes definidos en el PEI-DGM y su alineación con la Estrategia Nacional de Desarrollo 2030 y los Objetivos de Desarrollo Sostenible ha permitido a la DGM sostener una actuación programática consistente, fortalecer sus capacidades internas y orientar sus intervenciones hacia la conservación, gestión y democratización del patrimonio cultural mueble. </w:t>
      </w:r>
    </w:p>
    <w:p w14:paraId="75919C9D" w14:textId="7B8DE80E" w:rsidR="007E0390" w:rsidRDefault="007E0390" w:rsidP="00DB2C88">
      <w:pPr>
        <w:spacing w:line="360" w:lineRule="auto"/>
        <w:jc w:val="both"/>
        <w:rPr>
          <w:noProof/>
          <w:color w:val="4C4747"/>
          <w:lang w:val="es-DO"/>
        </w:rPr>
      </w:pPr>
      <w:r w:rsidRPr="007E0390">
        <w:rPr>
          <w:rFonts w:eastAsia="Calibri"/>
          <w:noProof/>
          <w:lang w:val="es-DO"/>
        </w:rPr>
        <w:lastRenderedPageBreak/>
        <w:t>Este enfoque sienta las bases para una gestión museística más eficiente, territorialmente equilibrada e inclusiva, y constituye un punto de partida estratégico para la adecuación futura al PNPSP 2025–2028, asegurando que la planificación institucional continúe siendo un instrumento clave para la toma de decisiones, la rendición de cuentas y el fortalecimiento del Sistema Nacional de Museos</w:t>
      </w:r>
      <w:r w:rsidRPr="007E0390">
        <w:rPr>
          <w:noProof/>
          <w:color w:val="4C4747"/>
          <w:lang w:val="es-DO"/>
        </w:rPr>
        <w:t>.</w:t>
      </w:r>
    </w:p>
    <w:p w14:paraId="36F96007" w14:textId="77777777" w:rsidR="007E0390" w:rsidRDefault="007E0390" w:rsidP="00C64CEF">
      <w:pPr>
        <w:jc w:val="center"/>
        <w:rPr>
          <w:noProof/>
          <w:color w:val="4C4747"/>
          <w:lang w:val="es-DO"/>
        </w:rPr>
        <w:sectPr w:rsidR="007E0390" w:rsidSect="00FE55BE">
          <w:pgSz w:w="12240" w:h="15840"/>
          <w:pgMar w:top="1440" w:right="2160" w:bottom="1440" w:left="2160" w:header="720" w:footer="720" w:gutter="0"/>
          <w:cols w:space="720"/>
          <w:docGrid w:linePitch="360"/>
        </w:sectPr>
      </w:pPr>
    </w:p>
    <w:p w14:paraId="5E396B73" w14:textId="77777777" w:rsidR="00654164" w:rsidRPr="000F346E" w:rsidRDefault="00654164" w:rsidP="00654164">
      <w:pPr>
        <w:pStyle w:val="Ttulo1"/>
        <w:rPr>
          <w:rFonts w:cs="Times New Roman"/>
          <w:color w:val="4C4747"/>
          <w:lang w:val="es-DO"/>
        </w:rPr>
      </w:pPr>
      <w:r w:rsidRPr="000F346E">
        <w:rPr>
          <w:rFonts w:cs="Times New Roman"/>
          <w:color w:val="4C4747"/>
          <w:lang w:val="es-DO"/>
        </w:rPr>
        <w:lastRenderedPageBreak/>
        <w:t>RESULTADOS MISIONALES</w:t>
      </w:r>
    </w:p>
    <w:p w14:paraId="5BDBF66A" w14:textId="77777777" w:rsidR="00654164" w:rsidRPr="000F346E"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48"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E98F8" id="Straight Connector 14" o:spid="_x0000_s1026"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CF950F0" w:rsidR="00654164" w:rsidRPr="000F346E" w:rsidRDefault="00654164" w:rsidP="00654164">
      <w:pPr>
        <w:jc w:val="center"/>
        <w:rPr>
          <w:rFonts w:eastAsia="Calibri"/>
          <w:color w:val="4C4747"/>
          <w:szCs w:val="36"/>
          <w:lang w:val="es-DO"/>
        </w:rPr>
      </w:pPr>
      <w:r w:rsidRPr="000F346E">
        <w:rPr>
          <w:rFonts w:eastAsia="Calibri"/>
          <w:color w:val="4C4747"/>
          <w:szCs w:val="36"/>
          <w:lang w:val="es-DO"/>
        </w:rPr>
        <w:t xml:space="preserve">Memoria </w:t>
      </w:r>
      <w:r w:rsidR="009547F0" w:rsidRPr="000F346E">
        <w:rPr>
          <w:rFonts w:eastAsia="Calibri"/>
          <w:color w:val="4C4747"/>
          <w:szCs w:val="36"/>
          <w:lang w:val="es-DO"/>
        </w:rPr>
        <w:t>I</w:t>
      </w:r>
      <w:r w:rsidRPr="000F346E">
        <w:rPr>
          <w:rFonts w:eastAsia="Calibri"/>
          <w:color w:val="4C4747"/>
          <w:szCs w:val="36"/>
          <w:lang w:val="es-DO"/>
        </w:rPr>
        <w:t xml:space="preserve">nstitucional </w:t>
      </w:r>
      <w:r w:rsidR="007471AC" w:rsidRPr="000F346E">
        <w:rPr>
          <w:rFonts w:eastAsia="Calibri"/>
          <w:color w:val="4C4747"/>
          <w:szCs w:val="36"/>
          <w:lang w:val="es-DO"/>
        </w:rPr>
        <w:t>202</w:t>
      </w:r>
      <w:r w:rsidR="00616EE2">
        <w:rPr>
          <w:rFonts w:eastAsia="Calibri"/>
          <w:color w:val="4C4747"/>
          <w:szCs w:val="36"/>
          <w:lang w:val="es-DO"/>
        </w:rPr>
        <w:t>5</w:t>
      </w:r>
    </w:p>
    <w:p w14:paraId="029E2DC6" w14:textId="3E2E7424" w:rsidR="007F7FBA" w:rsidRPr="003F6089" w:rsidRDefault="007F7FBA" w:rsidP="00DB2C88">
      <w:pPr>
        <w:spacing w:line="360" w:lineRule="auto"/>
        <w:jc w:val="both"/>
        <w:rPr>
          <w:rFonts w:eastAsia="Calibri"/>
          <w:szCs w:val="36"/>
          <w:lang w:val="es-DO"/>
        </w:rPr>
      </w:pPr>
      <w:r w:rsidRPr="003F6089">
        <w:rPr>
          <w:rFonts w:eastAsia="Calibri"/>
          <w:szCs w:val="36"/>
          <w:lang w:val="es-DO"/>
        </w:rPr>
        <w:t>Esta sección presenta los principales resultados misionales alcanzados por la Dirección General de Museos durante el año 2025, en correspondencia con su mandato institucional y los objetivos estratégicos definidos para el período. Los logros expuestos reflejan avances concretos que contribuyen al cumplimiento de la misión institucional y al posicionamiento progresivo de la DGM hacia su visión estratégica en los distintos horizontes de planificación.</w:t>
      </w:r>
    </w:p>
    <w:p w14:paraId="2DBFEB8A" w14:textId="77777777" w:rsidR="007F7FBA" w:rsidRPr="00991F47" w:rsidRDefault="007F7FBA" w:rsidP="00DB2C88">
      <w:pPr>
        <w:spacing w:line="360" w:lineRule="auto"/>
        <w:jc w:val="both"/>
        <w:rPr>
          <w:rFonts w:eastAsia="Calibri"/>
          <w:szCs w:val="36"/>
          <w:lang w:val="es-DO"/>
        </w:rPr>
      </w:pPr>
      <w:r w:rsidRPr="00991F47">
        <w:rPr>
          <w:rFonts w:eastAsia="Calibri"/>
          <w:szCs w:val="36"/>
          <w:lang w:val="es-DO"/>
        </w:rPr>
        <w:t>Los resultados consignados se sustentan en evidencias verificables e indicadores de desempeño, permitiendo valorar el impacto de las acciones implementadas en materia de gestión museística, intervención y creación de museos, fortalecimiento de la Red Nacional de Museos y desarrollo de instrumentos de política pública orientados al sector museístico.</w:t>
      </w:r>
    </w:p>
    <w:p w14:paraId="61DA712E" w14:textId="77777777" w:rsidR="007F7FBA" w:rsidRPr="007F7FBA" w:rsidRDefault="007F7FBA" w:rsidP="00DB2C88">
      <w:pPr>
        <w:spacing w:line="360" w:lineRule="auto"/>
        <w:jc w:val="both"/>
        <w:rPr>
          <w:rFonts w:eastAsia="Calibri"/>
          <w:szCs w:val="36"/>
          <w:lang w:val="es-DO"/>
        </w:rPr>
      </w:pPr>
      <w:r w:rsidRPr="001C1979">
        <w:rPr>
          <w:rFonts w:eastAsia="Calibri"/>
          <w:szCs w:val="36"/>
          <w:lang w:val="es-DO"/>
        </w:rPr>
        <w:t>Asimismo, se presentan los principales avances registrados por los museos bajo administración de la DGM, a partir de indicadores asociados a conservación, acceso, calidad de los servicios museísticos y puesta en valor del patrimonio cultural mueble, evidenciando el cumplimiento de su función esencial de preservación y difusión del patrimonio nacional.</w:t>
      </w:r>
    </w:p>
    <w:p w14:paraId="48BF4E67" w14:textId="77777777" w:rsidR="007F7FBA" w:rsidRPr="007F7FBA" w:rsidRDefault="007F7FBA" w:rsidP="00DB2C88">
      <w:pPr>
        <w:spacing w:line="360" w:lineRule="auto"/>
        <w:jc w:val="both"/>
        <w:rPr>
          <w:rFonts w:eastAsia="Calibri"/>
          <w:szCs w:val="36"/>
          <w:lang w:val="es-DO"/>
        </w:rPr>
      </w:pPr>
      <w:r w:rsidRPr="007F7FBA">
        <w:rPr>
          <w:rFonts w:eastAsia="Calibri"/>
          <w:szCs w:val="36"/>
          <w:lang w:val="es-DO"/>
        </w:rPr>
        <w:t>De manera transversal, esta sección incorpora los resultados vinculados a la implementación de enfoques estratégicos que fortalecen la función social de los museos, tales como la articulación con las comunidades, la educación patrimonial, la investigación y la inclusión, en coherencia con las políticas culturales nacionales y los compromisos de desarrollo sostenible.</w:t>
      </w:r>
    </w:p>
    <w:p w14:paraId="1AACBCC9" w14:textId="0A6B70F2" w:rsidR="00D62B6F" w:rsidRPr="00124FDC" w:rsidRDefault="007F7FBA" w:rsidP="00DB2C88">
      <w:pPr>
        <w:spacing w:line="360" w:lineRule="auto"/>
        <w:jc w:val="both"/>
        <w:rPr>
          <w:rFonts w:eastAsia="Calibri"/>
          <w:szCs w:val="36"/>
          <w:lang w:val="es-DO"/>
        </w:rPr>
      </w:pPr>
      <w:r w:rsidRPr="007F7FBA">
        <w:rPr>
          <w:rFonts w:eastAsia="Calibri"/>
          <w:szCs w:val="36"/>
          <w:lang w:val="es-DO"/>
        </w:rPr>
        <w:lastRenderedPageBreak/>
        <w:t>En este marco, los logros misionales se organizan conforme a las siguientes líneas estratégicas de acción:</w:t>
      </w:r>
    </w:p>
    <w:p w14:paraId="6FD31A99" w14:textId="77777777" w:rsidR="00D62B6F" w:rsidRPr="00124FDC" w:rsidRDefault="00D62B6F" w:rsidP="00DB2C88">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Conservación, salvaguarda y puesta en valor del patrimonio</w:t>
      </w:r>
    </w:p>
    <w:p w14:paraId="10B04689" w14:textId="77777777" w:rsidR="00D62B6F" w:rsidRPr="00124FDC" w:rsidRDefault="00D62B6F" w:rsidP="00DB2C88">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Difusión de la cultura local, regional y universal</w:t>
      </w:r>
    </w:p>
    <w:p w14:paraId="558EBF6C" w14:textId="77777777" w:rsidR="00D62B6F" w:rsidRPr="00124FDC" w:rsidRDefault="00D62B6F" w:rsidP="00DB2C88">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Vinculación con la comunidad</w:t>
      </w:r>
    </w:p>
    <w:p w14:paraId="60528147" w14:textId="77777777" w:rsidR="00D62B6F" w:rsidRPr="00124FDC" w:rsidRDefault="00D62B6F" w:rsidP="00DB2C88">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Inclusión y Accesibilidad</w:t>
      </w:r>
    </w:p>
    <w:p w14:paraId="583661F9" w14:textId="77777777" w:rsidR="00D62B6F" w:rsidRPr="00124FDC" w:rsidRDefault="00D62B6F" w:rsidP="00DB2C88">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Fortalecimiento de la Red Nacional de Museos</w:t>
      </w:r>
    </w:p>
    <w:p w14:paraId="0F408EDD" w14:textId="77777777" w:rsidR="00BE3515" w:rsidRPr="00124FDC" w:rsidRDefault="00BE3515" w:rsidP="00DB2C88">
      <w:pPr>
        <w:spacing w:line="360" w:lineRule="auto"/>
        <w:ind w:left="810"/>
        <w:contextualSpacing/>
        <w:jc w:val="both"/>
        <w:rPr>
          <w:rFonts w:eastAsia="Calibri"/>
          <w:szCs w:val="36"/>
          <w:lang w:val="es-DO"/>
        </w:rPr>
      </w:pPr>
    </w:p>
    <w:p w14:paraId="39597DDA" w14:textId="77777777" w:rsidR="00D62B6F" w:rsidRPr="000D365D" w:rsidRDefault="00D62B6F" w:rsidP="00DB2C88">
      <w:pPr>
        <w:spacing w:line="360" w:lineRule="auto"/>
        <w:jc w:val="both"/>
        <w:rPr>
          <w:rFonts w:eastAsia="Calibri"/>
          <w:b/>
          <w:bCs/>
          <w:szCs w:val="36"/>
          <w:lang w:val="es-DO"/>
        </w:rPr>
      </w:pPr>
      <w:r w:rsidRPr="000D365D">
        <w:rPr>
          <w:rFonts w:eastAsia="Calibri"/>
          <w:b/>
          <w:bCs/>
          <w:szCs w:val="36"/>
          <w:lang w:val="es-DO"/>
        </w:rPr>
        <w:t>3.1 Conservación, salvaguarda y puesta en valor del patrimonio mueble</w:t>
      </w:r>
    </w:p>
    <w:p w14:paraId="428C43A6" w14:textId="01EB5585" w:rsidR="008D0444" w:rsidRPr="008D0444" w:rsidRDefault="008D0444" w:rsidP="00DB2C88">
      <w:pPr>
        <w:spacing w:line="360" w:lineRule="auto"/>
        <w:jc w:val="both"/>
        <w:rPr>
          <w:rFonts w:eastAsia="Calibri"/>
          <w:szCs w:val="36"/>
          <w:lang w:val="es-DO"/>
        </w:rPr>
      </w:pPr>
      <w:r w:rsidRPr="008D0444">
        <w:rPr>
          <w:rFonts w:eastAsia="Calibri"/>
          <w:szCs w:val="36"/>
          <w:lang w:val="es-DO"/>
        </w:rPr>
        <w:t>Los museos bajo administración de la Dirección General de Museos tienen como función esencial la protección y gestión integral de sus colecciones, conformadas por diversas tipologías de bienes culturales muebles que constituyen una parte sustantiva del patrimonio cultural de la nación dominicana.</w:t>
      </w:r>
    </w:p>
    <w:p w14:paraId="785E4F8D" w14:textId="77777777" w:rsidR="00CB0CDD" w:rsidRDefault="008D0444" w:rsidP="00DB2C88">
      <w:pPr>
        <w:spacing w:line="360" w:lineRule="auto"/>
        <w:jc w:val="both"/>
        <w:rPr>
          <w:rFonts w:eastAsia="Calibri"/>
          <w:szCs w:val="36"/>
          <w:lang w:val="es-DO"/>
        </w:rPr>
      </w:pPr>
      <w:r w:rsidRPr="008D0444">
        <w:rPr>
          <w:rFonts w:eastAsia="Calibri"/>
          <w:szCs w:val="36"/>
          <w:lang w:val="es-DO"/>
        </w:rPr>
        <w:t xml:space="preserve">La preservación, salvaguarda y puesta en valor del patrimonio cultural mueble se establecen como ejes operativos prioritarios de la gestión museística, orientados a garantizar la estabilidad física, documental y simbólica de las colecciones. </w:t>
      </w:r>
    </w:p>
    <w:p w14:paraId="59E1024C" w14:textId="1C0EA1B5" w:rsidR="008D0444" w:rsidRPr="008D0444" w:rsidRDefault="008D0444" w:rsidP="00DB2C88">
      <w:pPr>
        <w:spacing w:line="360" w:lineRule="auto"/>
        <w:jc w:val="both"/>
        <w:rPr>
          <w:rFonts w:eastAsia="Calibri"/>
          <w:szCs w:val="36"/>
          <w:lang w:val="es-DO"/>
        </w:rPr>
      </w:pPr>
      <w:r w:rsidRPr="008D0444">
        <w:rPr>
          <w:rFonts w:eastAsia="Calibri"/>
          <w:szCs w:val="36"/>
          <w:lang w:val="es-DO"/>
        </w:rPr>
        <w:t>Estas acciones se desarrollan con base en criterios técnicos y se evalúan mediante indicadores de desempeño asociados, entre otros, a la conservación preventiva, la intervención y restauración de bienes, la actualización de inventarios y registros, y la mejora de las condiciones de almacenamiento y exhibición.</w:t>
      </w:r>
    </w:p>
    <w:p w14:paraId="3A8EE368" w14:textId="5E9ED8E5" w:rsidR="008D0444" w:rsidRPr="008D0444" w:rsidRDefault="008D0444" w:rsidP="00DB2C88">
      <w:pPr>
        <w:spacing w:line="360" w:lineRule="auto"/>
        <w:jc w:val="both"/>
        <w:rPr>
          <w:rFonts w:eastAsia="Calibri"/>
          <w:szCs w:val="36"/>
          <w:lang w:val="es-DO"/>
        </w:rPr>
      </w:pPr>
      <w:r w:rsidRPr="008D0444">
        <w:rPr>
          <w:rFonts w:eastAsia="Calibri"/>
          <w:szCs w:val="36"/>
          <w:lang w:val="es-DO"/>
        </w:rPr>
        <w:t xml:space="preserve">En este sentido, las iniciativas impulsadas por la DGM durante el </w:t>
      </w:r>
      <w:r w:rsidR="00555F8D">
        <w:rPr>
          <w:rFonts w:eastAsia="Calibri"/>
          <w:szCs w:val="36"/>
          <w:lang w:val="es-DO"/>
        </w:rPr>
        <w:t>año 2025</w:t>
      </w:r>
      <w:r w:rsidRPr="008D0444">
        <w:rPr>
          <w:rFonts w:eastAsia="Calibri"/>
          <w:szCs w:val="36"/>
          <w:lang w:val="es-DO"/>
        </w:rPr>
        <w:t xml:space="preserve"> se orientan al cumplimiento de resultados medibles, tales como:</w:t>
      </w:r>
    </w:p>
    <w:p w14:paraId="17DDF7C6" w14:textId="77777777" w:rsidR="008D0444" w:rsidRPr="008D0444" w:rsidRDefault="008D0444" w:rsidP="00DB2C88">
      <w:pPr>
        <w:spacing w:line="360" w:lineRule="auto"/>
        <w:jc w:val="both"/>
        <w:rPr>
          <w:rFonts w:eastAsia="Calibri"/>
          <w:szCs w:val="36"/>
          <w:lang w:val="es-DO"/>
        </w:rPr>
      </w:pPr>
      <w:r w:rsidRPr="008D0444">
        <w:rPr>
          <w:rFonts w:eastAsia="Calibri"/>
          <w:szCs w:val="36"/>
          <w:lang w:val="es-DO"/>
        </w:rPr>
        <w:t xml:space="preserve">Estos indicadores permiten evaluar de manera objetiva el impacto de las acciones desarrolladas, evidenciando la contribución de la gestión museística al </w:t>
      </w:r>
      <w:r w:rsidRPr="008D0444">
        <w:rPr>
          <w:rFonts w:eastAsia="Calibri"/>
          <w:szCs w:val="36"/>
          <w:lang w:val="es-DO"/>
        </w:rPr>
        <w:lastRenderedPageBreak/>
        <w:t>fortalecimiento de la identidad nacional, la apropiación social del patrimonio cultural y la transmisión intergeneracional de los valores históricos y culturales del país.</w:t>
      </w:r>
    </w:p>
    <w:p w14:paraId="33D3DD6F" w14:textId="77777777" w:rsidR="008D0444" w:rsidRDefault="008D0444" w:rsidP="00DB2C88">
      <w:pPr>
        <w:spacing w:line="360" w:lineRule="auto"/>
        <w:jc w:val="both"/>
        <w:rPr>
          <w:rFonts w:eastAsia="Calibri"/>
          <w:szCs w:val="36"/>
          <w:lang w:val="es-DO"/>
        </w:rPr>
      </w:pPr>
      <w:r w:rsidRPr="008D0444">
        <w:rPr>
          <w:rFonts w:eastAsia="Calibri"/>
          <w:szCs w:val="36"/>
          <w:lang w:val="es-DO"/>
        </w:rPr>
        <w:t>En este marco, la Dirección General de Museos ejecutó un conjunto de iniciativas orientadas a fortalecer las capacidades técnicas y operativas de los museos estatales, cuyos resultados se presentan a continuación conforme a los indicadores definidos en los instrumentos de planificación institucional.</w:t>
      </w:r>
    </w:p>
    <w:p w14:paraId="7EA42292" w14:textId="77777777" w:rsidR="00237415" w:rsidRPr="00D62B6F" w:rsidRDefault="00237415" w:rsidP="00DB2C88">
      <w:pPr>
        <w:spacing w:line="360" w:lineRule="auto"/>
        <w:jc w:val="center"/>
        <w:rPr>
          <w:rFonts w:eastAsia="Calibri"/>
          <w:b/>
          <w:bCs/>
          <w:szCs w:val="36"/>
          <w:lang w:val="es-DO"/>
        </w:rPr>
      </w:pPr>
      <w:r w:rsidRPr="00D62B6F">
        <w:rPr>
          <w:rFonts w:eastAsia="Calibri"/>
          <w:b/>
          <w:bCs/>
          <w:szCs w:val="36"/>
          <w:lang w:val="es-DO"/>
        </w:rPr>
        <w:t>Enriquecimiento de las Colecciones</w:t>
      </w:r>
    </w:p>
    <w:p w14:paraId="79CF3EAF" w14:textId="77777777" w:rsidR="00237415" w:rsidRPr="00202477" w:rsidRDefault="00237415" w:rsidP="00DB2C88">
      <w:pPr>
        <w:spacing w:line="360" w:lineRule="auto"/>
        <w:jc w:val="both"/>
        <w:rPr>
          <w:rFonts w:eastAsia="Calibri"/>
          <w:szCs w:val="36"/>
          <w:lang w:val="es-DO"/>
        </w:rPr>
      </w:pPr>
      <w:r w:rsidRPr="00D62B6F">
        <w:rPr>
          <w:rFonts w:eastAsia="Calibri"/>
          <w:szCs w:val="36"/>
          <w:lang w:val="es-DO"/>
        </w:rPr>
        <w:t xml:space="preserve">Las </w:t>
      </w:r>
      <w:r w:rsidRPr="00202477">
        <w:rPr>
          <w:rFonts w:eastAsia="Calibri"/>
          <w:szCs w:val="36"/>
          <w:lang w:val="es-DO"/>
        </w:rPr>
        <w:t>colecciones de los museos administrados por la DGM tienen una diversidad amplia, tanto en temáticas como en tipologías de bienes.  Contienen objetos de gran valor histórico y cultural, local, regional y universal; así como de un alto valor monetario.</w:t>
      </w:r>
    </w:p>
    <w:p w14:paraId="1EA4C553" w14:textId="67057BFF" w:rsidR="00237415" w:rsidRDefault="00237415" w:rsidP="00DB2C88">
      <w:pPr>
        <w:spacing w:line="360" w:lineRule="auto"/>
        <w:jc w:val="both"/>
        <w:rPr>
          <w:rFonts w:eastAsia="Calibri"/>
          <w:szCs w:val="36"/>
          <w:lang w:val="es-DO"/>
        </w:rPr>
      </w:pPr>
      <w:r w:rsidRPr="00202477">
        <w:rPr>
          <w:rFonts w:eastAsia="Calibri"/>
          <w:szCs w:val="36"/>
          <w:lang w:val="es-DO"/>
        </w:rPr>
        <w:t>Durante el año 202</w:t>
      </w:r>
      <w:r w:rsidR="001A23ED">
        <w:rPr>
          <w:rFonts w:eastAsia="Calibri"/>
          <w:szCs w:val="36"/>
          <w:lang w:val="es-DO"/>
        </w:rPr>
        <w:t>5</w:t>
      </w:r>
      <w:r w:rsidRPr="00202477">
        <w:rPr>
          <w:rFonts w:eastAsia="Calibri"/>
          <w:szCs w:val="36"/>
          <w:lang w:val="es-DO"/>
        </w:rPr>
        <w:t xml:space="preserve">, un total de </w:t>
      </w:r>
      <w:r w:rsidR="001A23ED">
        <w:rPr>
          <w:rFonts w:eastAsia="Calibri"/>
          <w:szCs w:val="36"/>
          <w:lang w:val="es-DO"/>
        </w:rPr>
        <w:t>6</w:t>
      </w:r>
      <w:r w:rsidR="001F00EC">
        <w:rPr>
          <w:rFonts w:eastAsia="Calibri"/>
          <w:szCs w:val="36"/>
          <w:lang w:val="es-DO"/>
        </w:rPr>
        <w:t>8</w:t>
      </w:r>
      <w:r w:rsidRPr="00202477">
        <w:rPr>
          <w:rFonts w:eastAsia="Calibri"/>
          <w:szCs w:val="36"/>
          <w:lang w:val="es-DO"/>
        </w:rPr>
        <w:t xml:space="preserve"> nuevas piezas pasaron a engrosar el inventario de bienes de las colecciones permanentes del Museo de Arte Moderno, el Museo Nacional de Historia y Geografía, </w:t>
      </w:r>
      <w:r w:rsidR="007E2B42">
        <w:rPr>
          <w:rFonts w:eastAsia="Calibri"/>
          <w:szCs w:val="36"/>
          <w:lang w:val="es-DO"/>
        </w:rPr>
        <w:t xml:space="preserve">Museo Alcázar de Colón, </w:t>
      </w:r>
      <w:r w:rsidRPr="00202477">
        <w:rPr>
          <w:rFonts w:eastAsia="Calibri"/>
          <w:szCs w:val="36"/>
          <w:lang w:val="es-DO"/>
        </w:rPr>
        <w:t xml:space="preserve">el Museo </w:t>
      </w:r>
      <w:r w:rsidR="00211ADB">
        <w:rPr>
          <w:rFonts w:eastAsia="Calibri"/>
          <w:szCs w:val="36"/>
          <w:lang w:val="es-DO"/>
        </w:rPr>
        <w:t>de las Atarazanas Reales, Museo Faro a Colón</w:t>
      </w:r>
      <w:r w:rsidRPr="00202477">
        <w:rPr>
          <w:rFonts w:eastAsia="Calibri"/>
          <w:szCs w:val="36"/>
          <w:lang w:val="es-DO"/>
        </w:rPr>
        <w:t xml:space="preserve"> y el Museo Monumento a los Héroes de la Restauración, conforme se indica a continuación.</w:t>
      </w:r>
    </w:p>
    <w:tbl>
      <w:tblPr>
        <w:tblW w:w="7609" w:type="dxa"/>
        <w:jc w:val="center"/>
        <w:tblCellMar>
          <w:left w:w="70" w:type="dxa"/>
          <w:right w:w="70" w:type="dxa"/>
        </w:tblCellMar>
        <w:tblLook w:val="04A0" w:firstRow="1" w:lastRow="0" w:firstColumn="1" w:lastColumn="0" w:noHBand="0" w:noVBand="1"/>
      </w:tblPr>
      <w:tblGrid>
        <w:gridCol w:w="620"/>
        <w:gridCol w:w="4195"/>
        <w:gridCol w:w="851"/>
        <w:gridCol w:w="1228"/>
        <w:gridCol w:w="709"/>
        <w:gridCol w:w="6"/>
      </w:tblGrid>
      <w:tr w:rsidR="002D1A7B" w:rsidRPr="002D1A7B" w14:paraId="1234605D" w14:textId="77777777" w:rsidTr="0039446E">
        <w:trPr>
          <w:gridAfter w:val="1"/>
          <w:wAfter w:w="6" w:type="dxa"/>
          <w:trHeight w:val="312"/>
          <w:jc w:val="center"/>
        </w:trPr>
        <w:tc>
          <w:tcPr>
            <w:tcW w:w="620"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3C9A78DF" w14:textId="77777777" w:rsidR="002D1A7B" w:rsidRPr="002D1A7B" w:rsidRDefault="002D1A7B" w:rsidP="002D1A7B">
            <w:pPr>
              <w:spacing w:after="0" w:line="240" w:lineRule="auto"/>
              <w:jc w:val="center"/>
              <w:rPr>
                <w:rFonts w:eastAsia="Times New Roman"/>
                <w:b/>
                <w:bCs/>
                <w:color w:val="FFFFFF"/>
                <w:spacing w:val="0"/>
                <w:lang w:val="es-MX" w:eastAsia="es-MX"/>
              </w:rPr>
            </w:pPr>
            <w:r w:rsidRPr="002D1A7B">
              <w:rPr>
                <w:rFonts w:eastAsia="Times New Roman"/>
                <w:b/>
                <w:bCs/>
                <w:color w:val="FFFFFF"/>
                <w:spacing w:val="0"/>
                <w:lang w:val="es-MX" w:eastAsia="es-MX"/>
              </w:rPr>
              <w:t>Ítem</w:t>
            </w:r>
          </w:p>
        </w:tc>
        <w:tc>
          <w:tcPr>
            <w:tcW w:w="4195" w:type="dxa"/>
            <w:tcBorders>
              <w:top w:val="single" w:sz="4" w:space="0" w:color="auto"/>
              <w:left w:val="nil"/>
              <w:bottom w:val="single" w:sz="4" w:space="0" w:color="auto"/>
              <w:right w:val="single" w:sz="4" w:space="0" w:color="auto"/>
            </w:tcBorders>
            <w:shd w:val="clear" w:color="000000" w:fill="011C50"/>
            <w:vAlign w:val="center"/>
            <w:hideMark/>
          </w:tcPr>
          <w:p w14:paraId="0D1BE09A" w14:textId="77777777" w:rsidR="002D1A7B" w:rsidRPr="002D1A7B" w:rsidRDefault="002D1A7B" w:rsidP="002D1A7B">
            <w:pPr>
              <w:spacing w:after="0" w:line="240" w:lineRule="auto"/>
              <w:jc w:val="center"/>
              <w:rPr>
                <w:rFonts w:eastAsia="Times New Roman"/>
                <w:b/>
                <w:bCs/>
                <w:color w:val="FFFFFF"/>
                <w:spacing w:val="0"/>
                <w:lang w:val="es-MX" w:eastAsia="es-MX"/>
              </w:rPr>
            </w:pPr>
            <w:r w:rsidRPr="002D1A7B">
              <w:rPr>
                <w:rFonts w:eastAsia="Times New Roman"/>
                <w:b/>
                <w:bCs/>
                <w:color w:val="FFFFFF"/>
                <w:spacing w:val="0"/>
                <w:lang w:val="es-MX" w:eastAsia="es-MX"/>
              </w:rPr>
              <w:t>Museo</w:t>
            </w:r>
          </w:p>
        </w:tc>
        <w:tc>
          <w:tcPr>
            <w:tcW w:w="851" w:type="dxa"/>
            <w:tcBorders>
              <w:top w:val="single" w:sz="4" w:space="0" w:color="auto"/>
              <w:left w:val="single" w:sz="4" w:space="0" w:color="auto"/>
              <w:bottom w:val="single" w:sz="4" w:space="0" w:color="757171"/>
              <w:right w:val="single" w:sz="4" w:space="0" w:color="auto"/>
            </w:tcBorders>
            <w:shd w:val="clear" w:color="000000" w:fill="002060"/>
            <w:noWrap/>
            <w:vAlign w:val="center"/>
            <w:hideMark/>
          </w:tcPr>
          <w:p w14:paraId="01842268" w14:textId="77777777" w:rsidR="002D1A7B" w:rsidRPr="002D1A7B" w:rsidRDefault="002D1A7B" w:rsidP="002D1A7B">
            <w:pPr>
              <w:spacing w:after="0" w:line="240" w:lineRule="auto"/>
              <w:jc w:val="center"/>
              <w:rPr>
                <w:rFonts w:eastAsia="Times New Roman"/>
                <w:b/>
                <w:bCs/>
                <w:color w:val="FFFFFF"/>
                <w:spacing w:val="0"/>
                <w:sz w:val="22"/>
                <w:szCs w:val="22"/>
                <w:lang w:val="es-MX" w:eastAsia="es-MX"/>
              </w:rPr>
            </w:pPr>
            <w:r w:rsidRPr="002D1A7B">
              <w:rPr>
                <w:rFonts w:eastAsia="Times New Roman"/>
                <w:b/>
                <w:bCs/>
                <w:color w:val="FFFFFF"/>
                <w:spacing w:val="0"/>
                <w:sz w:val="22"/>
                <w:szCs w:val="22"/>
                <w:lang w:val="es-MX" w:eastAsia="es-MX"/>
              </w:rPr>
              <w:t>2024</w:t>
            </w:r>
          </w:p>
        </w:tc>
        <w:tc>
          <w:tcPr>
            <w:tcW w:w="122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5289492" w14:textId="1E5EBC6E" w:rsidR="002D1A7B" w:rsidRPr="002D1A7B" w:rsidRDefault="00422A05" w:rsidP="002D1A7B">
            <w:pPr>
              <w:spacing w:after="0" w:line="240" w:lineRule="auto"/>
              <w:jc w:val="center"/>
              <w:rPr>
                <w:rFonts w:eastAsia="Times New Roman"/>
                <w:b/>
                <w:bCs/>
                <w:color w:val="FFFFFF"/>
                <w:spacing w:val="0"/>
                <w:sz w:val="22"/>
                <w:szCs w:val="22"/>
                <w:lang w:val="es-MX" w:eastAsia="es-MX"/>
              </w:rPr>
            </w:pPr>
            <w:r>
              <w:rPr>
                <w:rFonts w:eastAsia="Times New Roman"/>
                <w:b/>
                <w:bCs/>
                <w:color w:val="FFFFFF"/>
                <w:spacing w:val="0"/>
                <w:sz w:val="22"/>
                <w:szCs w:val="22"/>
                <w:lang w:val="es-MX" w:eastAsia="es-MX"/>
              </w:rPr>
              <w:t>Incremento 2025</w:t>
            </w:r>
          </w:p>
        </w:tc>
        <w:tc>
          <w:tcPr>
            <w:tcW w:w="709" w:type="dxa"/>
            <w:tcBorders>
              <w:top w:val="single" w:sz="4" w:space="0" w:color="auto"/>
              <w:left w:val="nil"/>
              <w:bottom w:val="single" w:sz="4" w:space="0" w:color="auto"/>
              <w:right w:val="single" w:sz="4" w:space="0" w:color="auto"/>
            </w:tcBorders>
            <w:shd w:val="clear" w:color="000000" w:fill="002060"/>
            <w:noWrap/>
            <w:vAlign w:val="center"/>
            <w:hideMark/>
          </w:tcPr>
          <w:p w14:paraId="40D885FF" w14:textId="77777777" w:rsidR="002D1A7B" w:rsidRPr="002D1A7B" w:rsidRDefault="002D1A7B" w:rsidP="002D1A7B">
            <w:pPr>
              <w:spacing w:after="0" w:line="240" w:lineRule="auto"/>
              <w:jc w:val="center"/>
              <w:rPr>
                <w:rFonts w:eastAsia="Times New Roman"/>
                <w:b/>
                <w:bCs/>
                <w:color w:val="FFFFFF"/>
                <w:spacing w:val="0"/>
                <w:sz w:val="22"/>
                <w:szCs w:val="22"/>
                <w:lang w:val="es-MX" w:eastAsia="es-MX"/>
              </w:rPr>
            </w:pPr>
            <w:r w:rsidRPr="002D1A7B">
              <w:rPr>
                <w:rFonts w:eastAsia="Times New Roman"/>
                <w:b/>
                <w:bCs/>
                <w:color w:val="FFFFFF"/>
                <w:spacing w:val="0"/>
                <w:sz w:val="22"/>
                <w:szCs w:val="22"/>
                <w:lang w:val="es-MX" w:eastAsia="es-MX"/>
              </w:rPr>
              <w:t>Total</w:t>
            </w:r>
          </w:p>
        </w:tc>
      </w:tr>
      <w:tr w:rsidR="002D1A7B" w:rsidRPr="002D1A7B" w14:paraId="00984059" w14:textId="77777777" w:rsidTr="0039446E">
        <w:trPr>
          <w:gridAfter w:val="1"/>
          <w:wAfter w:w="6" w:type="dxa"/>
          <w:trHeight w:val="312"/>
          <w:jc w:val="center"/>
        </w:trPr>
        <w:tc>
          <w:tcPr>
            <w:tcW w:w="620" w:type="dxa"/>
            <w:tcBorders>
              <w:top w:val="nil"/>
              <w:left w:val="single" w:sz="4" w:space="0" w:color="auto"/>
              <w:bottom w:val="single" w:sz="4" w:space="0" w:color="auto"/>
              <w:right w:val="single" w:sz="4" w:space="0" w:color="auto"/>
            </w:tcBorders>
            <w:noWrap/>
            <w:vAlign w:val="center"/>
            <w:hideMark/>
          </w:tcPr>
          <w:p w14:paraId="7E618A87" w14:textId="77777777" w:rsidR="002D1A7B" w:rsidRPr="00E25795" w:rsidRDefault="002D1A7B" w:rsidP="002D1A7B">
            <w:pPr>
              <w:spacing w:after="0" w:line="240" w:lineRule="auto"/>
              <w:jc w:val="center"/>
              <w:rPr>
                <w:rFonts w:eastAsia="Times New Roman"/>
                <w:spacing w:val="0"/>
                <w:sz w:val="22"/>
                <w:szCs w:val="22"/>
                <w:lang w:val="es-MX" w:eastAsia="es-MX"/>
              </w:rPr>
            </w:pPr>
            <w:r w:rsidRPr="00E25795">
              <w:rPr>
                <w:rFonts w:eastAsia="Times New Roman"/>
                <w:spacing w:val="0"/>
                <w:sz w:val="22"/>
                <w:szCs w:val="22"/>
                <w:lang w:val="es-MX" w:eastAsia="es-MX"/>
              </w:rPr>
              <w:t>1</w:t>
            </w:r>
          </w:p>
        </w:tc>
        <w:tc>
          <w:tcPr>
            <w:tcW w:w="4195" w:type="dxa"/>
            <w:tcBorders>
              <w:top w:val="nil"/>
              <w:left w:val="nil"/>
              <w:bottom w:val="single" w:sz="4" w:space="0" w:color="auto"/>
              <w:right w:val="single" w:sz="4" w:space="0" w:color="auto"/>
            </w:tcBorders>
            <w:noWrap/>
            <w:vAlign w:val="center"/>
            <w:hideMark/>
          </w:tcPr>
          <w:p w14:paraId="7F0C4677" w14:textId="77777777" w:rsidR="002D1A7B" w:rsidRPr="00E25795" w:rsidRDefault="002D1A7B" w:rsidP="002D1A7B">
            <w:pPr>
              <w:spacing w:after="0" w:line="240" w:lineRule="auto"/>
              <w:rPr>
                <w:rFonts w:eastAsia="Times New Roman"/>
                <w:spacing w:val="0"/>
                <w:sz w:val="22"/>
                <w:szCs w:val="22"/>
                <w:lang w:val="es-MX" w:eastAsia="es-MX"/>
              </w:rPr>
            </w:pPr>
            <w:r w:rsidRPr="00E25795">
              <w:rPr>
                <w:rFonts w:eastAsia="Times New Roman"/>
                <w:spacing w:val="0"/>
                <w:sz w:val="22"/>
                <w:szCs w:val="22"/>
                <w:lang w:val="es-MX" w:eastAsia="es-MX"/>
              </w:rPr>
              <w:t>Museo de Arte Moderno</w:t>
            </w:r>
          </w:p>
        </w:tc>
        <w:tc>
          <w:tcPr>
            <w:tcW w:w="851" w:type="dxa"/>
            <w:tcBorders>
              <w:top w:val="nil"/>
              <w:left w:val="nil"/>
              <w:bottom w:val="single" w:sz="4" w:space="0" w:color="auto"/>
              <w:right w:val="single" w:sz="4" w:space="0" w:color="auto"/>
            </w:tcBorders>
            <w:noWrap/>
            <w:vAlign w:val="center"/>
            <w:hideMark/>
          </w:tcPr>
          <w:p w14:paraId="14F832F4" w14:textId="77777777" w:rsidR="002D1A7B" w:rsidRPr="002D1A7B" w:rsidRDefault="002D1A7B" w:rsidP="002D1A7B">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1,599</w:t>
            </w:r>
          </w:p>
        </w:tc>
        <w:tc>
          <w:tcPr>
            <w:tcW w:w="1228" w:type="dxa"/>
            <w:tcBorders>
              <w:top w:val="nil"/>
              <w:left w:val="nil"/>
              <w:bottom w:val="single" w:sz="4" w:space="0" w:color="auto"/>
              <w:right w:val="single" w:sz="4" w:space="0" w:color="auto"/>
            </w:tcBorders>
            <w:noWrap/>
            <w:vAlign w:val="center"/>
            <w:hideMark/>
          </w:tcPr>
          <w:p w14:paraId="10C76787" w14:textId="77777777" w:rsidR="002D1A7B" w:rsidRPr="002D1A7B" w:rsidRDefault="002D1A7B" w:rsidP="00422A05">
            <w:pPr>
              <w:spacing w:after="0" w:line="240" w:lineRule="auto"/>
              <w:jc w:val="center"/>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9</w:t>
            </w:r>
          </w:p>
        </w:tc>
        <w:tc>
          <w:tcPr>
            <w:tcW w:w="709" w:type="dxa"/>
            <w:tcBorders>
              <w:top w:val="nil"/>
              <w:left w:val="nil"/>
              <w:bottom w:val="single" w:sz="4" w:space="0" w:color="auto"/>
              <w:right w:val="single" w:sz="4" w:space="0" w:color="auto"/>
            </w:tcBorders>
            <w:noWrap/>
            <w:vAlign w:val="center"/>
            <w:hideMark/>
          </w:tcPr>
          <w:p w14:paraId="4CDB51F3" w14:textId="77777777" w:rsidR="002D1A7B" w:rsidRPr="002D1A7B" w:rsidRDefault="002D1A7B" w:rsidP="002D1A7B">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1,608</w:t>
            </w:r>
          </w:p>
        </w:tc>
      </w:tr>
      <w:tr w:rsidR="002D1A7B" w:rsidRPr="002D1A7B" w14:paraId="662D35A0" w14:textId="77777777" w:rsidTr="0039446E">
        <w:trPr>
          <w:gridAfter w:val="1"/>
          <w:wAfter w:w="6" w:type="dxa"/>
          <w:trHeight w:val="312"/>
          <w:jc w:val="center"/>
        </w:trPr>
        <w:tc>
          <w:tcPr>
            <w:tcW w:w="620" w:type="dxa"/>
            <w:tcBorders>
              <w:top w:val="nil"/>
              <w:left w:val="single" w:sz="4" w:space="0" w:color="auto"/>
              <w:bottom w:val="single" w:sz="4" w:space="0" w:color="auto"/>
              <w:right w:val="single" w:sz="4" w:space="0" w:color="auto"/>
            </w:tcBorders>
            <w:noWrap/>
            <w:vAlign w:val="center"/>
            <w:hideMark/>
          </w:tcPr>
          <w:p w14:paraId="6BE93EB7" w14:textId="77777777" w:rsidR="002D1A7B" w:rsidRPr="00E25795" w:rsidRDefault="002D1A7B" w:rsidP="002D1A7B">
            <w:pPr>
              <w:spacing w:after="0" w:line="240" w:lineRule="auto"/>
              <w:jc w:val="center"/>
              <w:rPr>
                <w:rFonts w:eastAsia="Times New Roman"/>
                <w:spacing w:val="0"/>
                <w:sz w:val="22"/>
                <w:szCs w:val="22"/>
                <w:lang w:val="es-MX" w:eastAsia="es-MX"/>
              </w:rPr>
            </w:pPr>
            <w:r w:rsidRPr="00E25795">
              <w:rPr>
                <w:rFonts w:eastAsia="Times New Roman"/>
                <w:spacing w:val="0"/>
                <w:sz w:val="22"/>
                <w:szCs w:val="22"/>
                <w:lang w:val="es-MX" w:eastAsia="es-MX"/>
              </w:rPr>
              <w:t>2</w:t>
            </w:r>
          </w:p>
        </w:tc>
        <w:tc>
          <w:tcPr>
            <w:tcW w:w="4195" w:type="dxa"/>
            <w:tcBorders>
              <w:top w:val="nil"/>
              <w:left w:val="nil"/>
              <w:bottom w:val="single" w:sz="4" w:space="0" w:color="auto"/>
              <w:right w:val="single" w:sz="4" w:space="0" w:color="auto"/>
            </w:tcBorders>
            <w:noWrap/>
            <w:vAlign w:val="center"/>
            <w:hideMark/>
          </w:tcPr>
          <w:p w14:paraId="6E17EF03" w14:textId="77777777" w:rsidR="002D1A7B" w:rsidRPr="00E25795" w:rsidRDefault="002D1A7B" w:rsidP="002D1A7B">
            <w:pPr>
              <w:spacing w:after="0" w:line="240" w:lineRule="auto"/>
              <w:rPr>
                <w:rFonts w:eastAsia="Times New Roman"/>
                <w:spacing w:val="0"/>
                <w:sz w:val="22"/>
                <w:szCs w:val="22"/>
                <w:lang w:val="es-MX" w:eastAsia="es-MX"/>
              </w:rPr>
            </w:pPr>
            <w:r w:rsidRPr="00E25795">
              <w:rPr>
                <w:rFonts w:eastAsia="Times New Roman"/>
                <w:spacing w:val="0"/>
                <w:sz w:val="22"/>
                <w:szCs w:val="22"/>
                <w:lang w:val="es-MX" w:eastAsia="es-MX"/>
              </w:rPr>
              <w:t>Museo Nacional de Historia y Geografía</w:t>
            </w:r>
          </w:p>
        </w:tc>
        <w:tc>
          <w:tcPr>
            <w:tcW w:w="851" w:type="dxa"/>
            <w:tcBorders>
              <w:top w:val="nil"/>
              <w:left w:val="nil"/>
              <w:bottom w:val="single" w:sz="4" w:space="0" w:color="auto"/>
              <w:right w:val="single" w:sz="4" w:space="0" w:color="auto"/>
            </w:tcBorders>
            <w:noWrap/>
            <w:vAlign w:val="center"/>
            <w:hideMark/>
          </w:tcPr>
          <w:p w14:paraId="27392720" w14:textId="77777777" w:rsidR="002D1A7B" w:rsidRPr="002D1A7B" w:rsidRDefault="002D1A7B" w:rsidP="002D1A7B">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1,370</w:t>
            </w:r>
          </w:p>
        </w:tc>
        <w:tc>
          <w:tcPr>
            <w:tcW w:w="1228" w:type="dxa"/>
            <w:tcBorders>
              <w:top w:val="nil"/>
              <w:left w:val="nil"/>
              <w:bottom w:val="single" w:sz="4" w:space="0" w:color="auto"/>
              <w:right w:val="single" w:sz="4" w:space="0" w:color="auto"/>
            </w:tcBorders>
            <w:noWrap/>
            <w:vAlign w:val="center"/>
            <w:hideMark/>
          </w:tcPr>
          <w:p w14:paraId="569EB2CB" w14:textId="77777777" w:rsidR="002D1A7B" w:rsidRPr="002D1A7B" w:rsidRDefault="002D1A7B" w:rsidP="00422A05">
            <w:pPr>
              <w:spacing w:after="0" w:line="240" w:lineRule="auto"/>
              <w:jc w:val="center"/>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6</w:t>
            </w:r>
          </w:p>
        </w:tc>
        <w:tc>
          <w:tcPr>
            <w:tcW w:w="709" w:type="dxa"/>
            <w:tcBorders>
              <w:top w:val="nil"/>
              <w:left w:val="nil"/>
              <w:bottom w:val="single" w:sz="4" w:space="0" w:color="auto"/>
              <w:right w:val="single" w:sz="4" w:space="0" w:color="auto"/>
            </w:tcBorders>
            <w:noWrap/>
            <w:vAlign w:val="center"/>
            <w:hideMark/>
          </w:tcPr>
          <w:p w14:paraId="213DEA1E" w14:textId="77777777" w:rsidR="002D1A7B" w:rsidRPr="002D1A7B" w:rsidRDefault="002D1A7B" w:rsidP="002D1A7B">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1,376</w:t>
            </w:r>
          </w:p>
        </w:tc>
      </w:tr>
      <w:tr w:rsidR="00663E81" w:rsidRPr="002D1A7B" w14:paraId="7982B20D" w14:textId="77777777" w:rsidTr="0039446E">
        <w:trPr>
          <w:gridAfter w:val="1"/>
          <w:wAfter w:w="6" w:type="dxa"/>
          <w:trHeight w:val="312"/>
          <w:jc w:val="center"/>
        </w:trPr>
        <w:tc>
          <w:tcPr>
            <w:tcW w:w="620" w:type="dxa"/>
            <w:tcBorders>
              <w:top w:val="nil"/>
              <w:left w:val="single" w:sz="4" w:space="0" w:color="auto"/>
              <w:bottom w:val="single" w:sz="4" w:space="0" w:color="auto"/>
              <w:right w:val="single" w:sz="4" w:space="0" w:color="auto"/>
            </w:tcBorders>
            <w:noWrap/>
            <w:vAlign w:val="center"/>
          </w:tcPr>
          <w:p w14:paraId="64EDC245" w14:textId="3179695A" w:rsidR="00663E81" w:rsidRPr="00E25795" w:rsidRDefault="00663E81" w:rsidP="00663E81">
            <w:pPr>
              <w:spacing w:after="0" w:line="240" w:lineRule="auto"/>
              <w:jc w:val="center"/>
              <w:rPr>
                <w:rFonts w:eastAsia="Times New Roman"/>
                <w:spacing w:val="0"/>
                <w:sz w:val="22"/>
                <w:szCs w:val="22"/>
                <w:lang w:val="es-MX" w:eastAsia="es-MX"/>
              </w:rPr>
            </w:pPr>
            <w:r w:rsidRPr="00E25795">
              <w:rPr>
                <w:rFonts w:eastAsia="Times New Roman"/>
                <w:spacing w:val="0"/>
                <w:sz w:val="22"/>
                <w:szCs w:val="22"/>
                <w:lang w:val="es-MX" w:eastAsia="es-MX"/>
              </w:rPr>
              <w:t>3</w:t>
            </w:r>
          </w:p>
        </w:tc>
        <w:tc>
          <w:tcPr>
            <w:tcW w:w="4195" w:type="dxa"/>
            <w:tcBorders>
              <w:top w:val="nil"/>
              <w:left w:val="nil"/>
              <w:bottom w:val="single" w:sz="4" w:space="0" w:color="auto"/>
              <w:right w:val="single" w:sz="4" w:space="0" w:color="auto"/>
            </w:tcBorders>
            <w:noWrap/>
            <w:vAlign w:val="center"/>
          </w:tcPr>
          <w:p w14:paraId="1042C6EF" w14:textId="1F3FE462" w:rsidR="00663E81" w:rsidRPr="00E25795" w:rsidRDefault="00663E81" w:rsidP="00663E81">
            <w:pPr>
              <w:spacing w:after="0" w:line="240" w:lineRule="auto"/>
              <w:rPr>
                <w:rFonts w:eastAsia="Times New Roman"/>
                <w:spacing w:val="0"/>
                <w:sz w:val="22"/>
                <w:szCs w:val="22"/>
                <w:lang w:val="es-MX" w:eastAsia="es-MX"/>
              </w:rPr>
            </w:pPr>
            <w:r w:rsidRPr="00E25795">
              <w:rPr>
                <w:rFonts w:eastAsia="Times New Roman"/>
                <w:spacing w:val="0"/>
                <w:sz w:val="22"/>
                <w:szCs w:val="22"/>
                <w:lang w:val="es-MX" w:eastAsia="es-MX"/>
              </w:rPr>
              <w:t>Museo Alcázar de Colón</w:t>
            </w:r>
          </w:p>
        </w:tc>
        <w:tc>
          <w:tcPr>
            <w:tcW w:w="851" w:type="dxa"/>
            <w:tcBorders>
              <w:top w:val="nil"/>
              <w:left w:val="nil"/>
              <w:bottom w:val="single" w:sz="4" w:space="0" w:color="auto"/>
              <w:right w:val="single" w:sz="4" w:space="0" w:color="auto"/>
            </w:tcBorders>
            <w:noWrap/>
            <w:vAlign w:val="center"/>
          </w:tcPr>
          <w:p w14:paraId="6CD66795" w14:textId="1EE88CCA" w:rsidR="00663E81" w:rsidRPr="002D1A7B" w:rsidRDefault="00663E81" w:rsidP="00663E81">
            <w:pPr>
              <w:spacing w:after="0" w:line="240" w:lineRule="auto"/>
              <w:jc w:val="right"/>
              <w:rPr>
                <w:rFonts w:eastAsia="Times New Roman"/>
                <w:color w:val="000000"/>
                <w:spacing w:val="0"/>
                <w:sz w:val="22"/>
                <w:szCs w:val="22"/>
                <w:lang w:val="es-MX" w:eastAsia="es-MX"/>
              </w:rPr>
            </w:pPr>
            <w:r>
              <w:rPr>
                <w:rFonts w:eastAsia="Times New Roman"/>
                <w:color w:val="000000"/>
                <w:spacing w:val="0"/>
                <w:sz w:val="22"/>
                <w:szCs w:val="22"/>
                <w:lang w:val="es-MX" w:eastAsia="es-MX"/>
              </w:rPr>
              <w:t>909</w:t>
            </w:r>
          </w:p>
        </w:tc>
        <w:tc>
          <w:tcPr>
            <w:tcW w:w="1228" w:type="dxa"/>
            <w:tcBorders>
              <w:top w:val="nil"/>
              <w:left w:val="nil"/>
              <w:bottom w:val="single" w:sz="4" w:space="0" w:color="auto"/>
              <w:right w:val="single" w:sz="4" w:space="0" w:color="auto"/>
            </w:tcBorders>
            <w:noWrap/>
            <w:vAlign w:val="center"/>
          </w:tcPr>
          <w:p w14:paraId="7850B823" w14:textId="0ECA0050" w:rsidR="00663E81" w:rsidRPr="002D1A7B" w:rsidRDefault="00422A05" w:rsidP="00422A05">
            <w:pPr>
              <w:spacing w:after="0" w:line="240" w:lineRule="auto"/>
              <w:jc w:val="center"/>
              <w:rPr>
                <w:rFonts w:eastAsia="Times New Roman"/>
                <w:color w:val="000000"/>
                <w:spacing w:val="0"/>
                <w:sz w:val="22"/>
                <w:szCs w:val="22"/>
                <w:lang w:val="es-MX" w:eastAsia="es-MX"/>
              </w:rPr>
            </w:pPr>
            <w:r>
              <w:rPr>
                <w:rFonts w:eastAsia="Times New Roman"/>
                <w:color w:val="000000"/>
                <w:spacing w:val="0"/>
                <w:sz w:val="22"/>
                <w:szCs w:val="22"/>
                <w:lang w:val="es-MX" w:eastAsia="es-MX"/>
              </w:rPr>
              <w:t>7</w:t>
            </w:r>
          </w:p>
        </w:tc>
        <w:tc>
          <w:tcPr>
            <w:tcW w:w="709" w:type="dxa"/>
            <w:tcBorders>
              <w:top w:val="nil"/>
              <w:left w:val="nil"/>
              <w:bottom w:val="single" w:sz="4" w:space="0" w:color="auto"/>
              <w:right w:val="single" w:sz="4" w:space="0" w:color="auto"/>
            </w:tcBorders>
            <w:noWrap/>
            <w:vAlign w:val="center"/>
          </w:tcPr>
          <w:p w14:paraId="4BB4FE0A" w14:textId="7C6DCA81" w:rsidR="00663E81" w:rsidRPr="002D1A7B" w:rsidRDefault="00422A05" w:rsidP="00663E81">
            <w:pPr>
              <w:spacing w:after="0" w:line="240" w:lineRule="auto"/>
              <w:jc w:val="right"/>
              <w:rPr>
                <w:rFonts w:eastAsia="Times New Roman"/>
                <w:color w:val="000000"/>
                <w:spacing w:val="0"/>
                <w:sz w:val="22"/>
                <w:szCs w:val="22"/>
                <w:lang w:val="es-MX" w:eastAsia="es-MX"/>
              </w:rPr>
            </w:pPr>
            <w:r>
              <w:rPr>
                <w:rFonts w:eastAsia="Times New Roman"/>
                <w:color w:val="000000"/>
                <w:spacing w:val="0"/>
                <w:sz w:val="22"/>
                <w:szCs w:val="22"/>
                <w:lang w:val="es-MX" w:eastAsia="es-MX"/>
              </w:rPr>
              <w:t>916</w:t>
            </w:r>
          </w:p>
        </w:tc>
      </w:tr>
      <w:tr w:rsidR="00663E81" w:rsidRPr="002D1A7B" w14:paraId="6523C0F3" w14:textId="77777777" w:rsidTr="0039446E">
        <w:trPr>
          <w:gridAfter w:val="1"/>
          <w:wAfter w:w="6" w:type="dxa"/>
          <w:trHeight w:val="312"/>
          <w:jc w:val="center"/>
        </w:trPr>
        <w:tc>
          <w:tcPr>
            <w:tcW w:w="620" w:type="dxa"/>
            <w:tcBorders>
              <w:top w:val="nil"/>
              <w:left w:val="single" w:sz="4" w:space="0" w:color="auto"/>
              <w:bottom w:val="single" w:sz="4" w:space="0" w:color="auto"/>
              <w:right w:val="single" w:sz="4" w:space="0" w:color="auto"/>
            </w:tcBorders>
            <w:noWrap/>
            <w:vAlign w:val="center"/>
          </w:tcPr>
          <w:p w14:paraId="6F6F3ABA" w14:textId="19CB752B" w:rsidR="00663E81" w:rsidRPr="00E25795" w:rsidRDefault="00663E81" w:rsidP="00663E81">
            <w:pPr>
              <w:spacing w:after="0" w:line="240" w:lineRule="auto"/>
              <w:jc w:val="center"/>
              <w:rPr>
                <w:rFonts w:eastAsia="Times New Roman"/>
                <w:spacing w:val="0"/>
                <w:sz w:val="22"/>
                <w:szCs w:val="22"/>
                <w:lang w:val="es-MX" w:eastAsia="es-MX"/>
              </w:rPr>
            </w:pPr>
            <w:r w:rsidRPr="00E25795">
              <w:rPr>
                <w:rFonts w:eastAsia="Times New Roman"/>
                <w:spacing w:val="0"/>
                <w:sz w:val="22"/>
                <w:szCs w:val="22"/>
                <w:lang w:val="es-MX" w:eastAsia="es-MX"/>
              </w:rPr>
              <w:t>4</w:t>
            </w:r>
          </w:p>
        </w:tc>
        <w:tc>
          <w:tcPr>
            <w:tcW w:w="4195" w:type="dxa"/>
            <w:tcBorders>
              <w:top w:val="nil"/>
              <w:left w:val="nil"/>
              <w:bottom w:val="single" w:sz="4" w:space="0" w:color="auto"/>
              <w:right w:val="single" w:sz="4" w:space="0" w:color="auto"/>
            </w:tcBorders>
            <w:noWrap/>
            <w:vAlign w:val="center"/>
            <w:hideMark/>
          </w:tcPr>
          <w:p w14:paraId="192CD83A" w14:textId="77777777" w:rsidR="00663E81" w:rsidRPr="00E25795" w:rsidRDefault="00663E81" w:rsidP="00663E81">
            <w:pPr>
              <w:spacing w:after="0" w:line="240" w:lineRule="auto"/>
              <w:rPr>
                <w:rFonts w:eastAsia="Times New Roman"/>
                <w:spacing w:val="0"/>
                <w:sz w:val="22"/>
                <w:szCs w:val="22"/>
                <w:lang w:val="es-MX" w:eastAsia="es-MX"/>
              </w:rPr>
            </w:pPr>
            <w:r w:rsidRPr="00E25795">
              <w:rPr>
                <w:rFonts w:eastAsia="Times New Roman"/>
                <w:spacing w:val="0"/>
                <w:sz w:val="22"/>
                <w:szCs w:val="22"/>
                <w:lang w:val="es-MX" w:eastAsia="es-MX"/>
              </w:rPr>
              <w:t>Museo de las Atarazanas Reales</w:t>
            </w:r>
          </w:p>
        </w:tc>
        <w:tc>
          <w:tcPr>
            <w:tcW w:w="851" w:type="dxa"/>
            <w:tcBorders>
              <w:top w:val="nil"/>
              <w:left w:val="nil"/>
              <w:bottom w:val="single" w:sz="4" w:space="0" w:color="auto"/>
              <w:right w:val="single" w:sz="4" w:space="0" w:color="auto"/>
            </w:tcBorders>
            <w:noWrap/>
            <w:vAlign w:val="center"/>
            <w:hideMark/>
          </w:tcPr>
          <w:p w14:paraId="686FD6D9" w14:textId="77777777" w:rsidR="00663E81" w:rsidRPr="002D1A7B" w:rsidRDefault="00663E81" w:rsidP="00663E81">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719</w:t>
            </w:r>
          </w:p>
        </w:tc>
        <w:tc>
          <w:tcPr>
            <w:tcW w:w="1228" w:type="dxa"/>
            <w:tcBorders>
              <w:top w:val="nil"/>
              <w:left w:val="nil"/>
              <w:bottom w:val="single" w:sz="4" w:space="0" w:color="auto"/>
              <w:right w:val="single" w:sz="4" w:space="0" w:color="auto"/>
            </w:tcBorders>
            <w:noWrap/>
            <w:vAlign w:val="center"/>
            <w:hideMark/>
          </w:tcPr>
          <w:p w14:paraId="2592425D" w14:textId="77777777" w:rsidR="00663E81" w:rsidRPr="002D1A7B" w:rsidRDefault="00663E81" w:rsidP="00422A05">
            <w:pPr>
              <w:spacing w:after="0" w:line="240" w:lineRule="auto"/>
              <w:jc w:val="center"/>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6</w:t>
            </w:r>
          </w:p>
        </w:tc>
        <w:tc>
          <w:tcPr>
            <w:tcW w:w="709" w:type="dxa"/>
            <w:tcBorders>
              <w:top w:val="nil"/>
              <w:left w:val="nil"/>
              <w:bottom w:val="single" w:sz="4" w:space="0" w:color="auto"/>
              <w:right w:val="single" w:sz="4" w:space="0" w:color="auto"/>
            </w:tcBorders>
            <w:noWrap/>
            <w:vAlign w:val="center"/>
            <w:hideMark/>
          </w:tcPr>
          <w:p w14:paraId="7708A31A" w14:textId="77777777" w:rsidR="00663E81" w:rsidRPr="002D1A7B" w:rsidRDefault="00663E81" w:rsidP="00663E81">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725</w:t>
            </w:r>
          </w:p>
        </w:tc>
      </w:tr>
      <w:tr w:rsidR="00663E81" w:rsidRPr="002D1A7B" w14:paraId="76CC3379" w14:textId="77777777" w:rsidTr="0039446E">
        <w:trPr>
          <w:gridAfter w:val="1"/>
          <w:wAfter w:w="6" w:type="dxa"/>
          <w:trHeight w:val="312"/>
          <w:jc w:val="center"/>
        </w:trPr>
        <w:tc>
          <w:tcPr>
            <w:tcW w:w="620" w:type="dxa"/>
            <w:tcBorders>
              <w:top w:val="nil"/>
              <w:left w:val="single" w:sz="4" w:space="0" w:color="auto"/>
              <w:bottom w:val="single" w:sz="4" w:space="0" w:color="auto"/>
              <w:right w:val="single" w:sz="4" w:space="0" w:color="auto"/>
            </w:tcBorders>
            <w:noWrap/>
            <w:vAlign w:val="center"/>
          </w:tcPr>
          <w:p w14:paraId="27AE15BA" w14:textId="2D5AB36F" w:rsidR="00663E81" w:rsidRPr="00E25795" w:rsidRDefault="00663E81" w:rsidP="00663E81">
            <w:pPr>
              <w:spacing w:after="0" w:line="240" w:lineRule="auto"/>
              <w:jc w:val="center"/>
              <w:rPr>
                <w:rFonts w:eastAsia="Times New Roman"/>
                <w:spacing w:val="0"/>
                <w:sz w:val="22"/>
                <w:szCs w:val="22"/>
                <w:lang w:val="es-MX" w:eastAsia="es-MX"/>
              </w:rPr>
            </w:pPr>
            <w:r w:rsidRPr="00E25795">
              <w:rPr>
                <w:rFonts w:eastAsia="Times New Roman"/>
                <w:spacing w:val="0"/>
                <w:sz w:val="22"/>
                <w:szCs w:val="22"/>
                <w:lang w:val="es-MX" w:eastAsia="es-MX"/>
              </w:rPr>
              <w:t>5</w:t>
            </w:r>
          </w:p>
        </w:tc>
        <w:tc>
          <w:tcPr>
            <w:tcW w:w="4195" w:type="dxa"/>
            <w:tcBorders>
              <w:top w:val="nil"/>
              <w:left w:val="nil"/>
              <w:bottom w:val="single" w:sz="4" w:space="0" w:color="auto"/>
              <w:right w:val="single" w:sz="4" w:space="0" w:color="auto"/>
            </w:tcBorders>
            <w:noWrap/>
            <w:vAlign w:val="center"/>
            <w:hideMark/>
          </w:tcPr>
          <w:p w14:paraId="5C84462D" w14:textId="77777777" w:rsidR="00663E81" w:rsidRPr="00E25795" w:rsidRDefault="00663E81" w:rsidP="00663E81">
            <w:pPr>
              <w:spacing w:after="0" w:line="240" w:lineRule="auto"/>
              <w:rPr>
                <w:rFonts w:eastAsia="Times New Roman"/>
                <w:spacing w:val="0"/>
                <w:sz w:val="22"/>
                <w:szCs w:val="22"/>
                <w:lang w:val="es-MX" w:eastAsia="es-MX"/>
              </w:rPr>
            </w:pPr>
            <w:r w:rsidRPr="00E25795">
              <w:rPr>
                <w:rFonts w:eastAsia="Times New Roman"/>
                <w:spacing w:val="0"/>
                <w:sz w:val="22"/>
                <w:szCs w:val="22"/>
                <w:lang w:val="es-MX" w:eastAsia="es-MX"/>
              </w:rPr>
              <w:t>Museo Faro a Colón</w:t>
            </w:r>
          </w:p>
        </w:tc>
        <w:tc>
          <w:tcPr>
            <w:tcW w:w="851" w:type="dxa"/>
            <w:tcBorders>
              <w:top w:val="nil"/>
              <w:left w:val="nil"/>
              <w:bottom w:val="single" w:sz="4" w:space="0" w:color="auto"/>
              <w:right w:val="single" w:sz="4" w:space="0" w:color="auto"/>
            </w:tcBorders>
            <w:noWrap/>
            <w:vAlign w:val="center"/>
            <w:hideMark/>
          </w:tcPr>
          <w:p w14:paraId="598522BC" w14:textId="77777777" w:rsidR="00663E81" w:rsidRPr="002D1A7B" w:rsidRDefault="00663E81" w:rsidP="00663E81">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4,010</w:t>
            </w:r>
          </w:p>
        </w:tc>
        <w:tc>
          <w:tcPr>
            <w:tcW w:w="1228" w:type="dxa"/>
            <w:tcBorders>
              <w:top w:val="nil"/>
              <w:left w:val="nil"/>
              <w:bottom w:val="single" w:sz="4" w:space="0" w:color="auto"/>
              <w:right w:val="single" w:sz="4" w:space="0" w:color="auto"/>
            </w:tcBorders>
            <w:noWrap/>
            <w:vAlign w:val="center"/>
            <w:hideMark/>
          </w:tcPr>
          <w:p w14:paraId="63925FD6" w14:textId="77777777" w:rsidR="00663E81" w:rsidRPr="002D1A7B" w:rsidRDefault="00663E81" w:rsidP="00422A05">
            <w:pPr>
              <w:spacing w:after="0" w:line="240" w:lineRule="auto"/>
              <w:jc w:val="center"/>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13</w:t>
            </w:r>
          </w:p>
        </w:tc>
        <w:tc>
          <w:tcPr>
            <w:tcW w:w="709" w:type="dxa"/>
            <w:tcBorders>
              <w:top w:val="nil"/>
              <w:left w:val="nil"/>
              <w:bottom w:val="single" w:sz="4" w:space="0" w:color="auto"/>
              <w:right w:val="single" w:sz="4" w:space="0" w:color="auto"/>
            </w:tcBorders>
            <w:noWrap/>
            <w:vAlign w:val="center"/>
            <w:hideMark/>
          </w:tcPr>
          <w:p w14:paraId="017370E8" w14:textId="77777777" w:rsidR="00663E81" w:rsidRPr="002D1A7B" w:rsidRDefault="00663E81" w:rsidP="00663E81">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4,023</w:t>
            </w:r>
          </w:p>
        </w:tc>
      </w:tr>
      <w:tr w:rsidR="00663E81" w:rsidRPr="002D1A7B" w14:paraId="314F65CD" w14:textId="77777777" w:rsidTr="0039446E">
        <w:trPr>
          <w:gridAfter w:val="1"/>
          <w:wAfter w:w="6" w:type="dxa"/>
          <w:trHeight w:val="312"/>
          <w:jc w:val="center"/>
        </w:trPr>
        <w:tc>
          <w:tcPr>
            <w:tcW w:w="620" w:type="dxa"/>
            <w:tcBorders>
              <w:top w:val="nil"/>
              <w:left w:val="single" w:sz="4" w:space="0" w:color="auto"/>
              <w:bottom w:val="single" w:sz="4" w:space="0" w:color="auto"/>
              <w:right w:val="single" w:sz="4" w:space="0" w:color="auto"/>
            </w:tcBorders>
            <w:noWrap/>
            <w:vAlign w:val="center"/>
          </w:tcPr>
          <w:p w14:paraId="12DF8E43" w14:textId="4EE979E8" w:rsidR="00663E81" w:rsidRPr="00E25795" w:rsidRDefault="00663E81" w:rsidP="00663E81">
            <w:pPr>
              <w:spacing w:after="0" w:line="240" w:lineRule="auto"/>
              <w:jc w:val="center"/>
              <w:rPr>
                <w:rFonts w:eastAsia="Times New Roman"/>
                <w:spacing w:val="0"/>
                <w:sz w:val="22"/>
                <w:szCs w:val="22"/>
                <w:lang w:val="es-MX" w:eastAsia="es-MX"/>
              </w:rPr>
            </w:pPr>
            <w:r w:rsidRPr="00E25795">
              <w:rPr>
                <w:rFonts w:eastAsia="Times New Roman"/>
                <w:spacing w:val="0"/>
                <w:sz w:val="22"/>
                <w:szCs w:val="22"/>
                <w:lang w:val="es-MX" w:eastAsia="es-MX"/>
              </w:rPr>
              <w:t>6</w:t>
            </w:r>
          </w:p>
        </w:tc>
        <w:tc>
          <w:tcPr>
            <w:tcW w:w="4195" w:type="dxa"/>
            <w:tcBorders>
              <w:top w:val="nil"/>
              <w:left w:val="nil"/>
              <w:bottom w:val="single" w:sz="4" w:space="0" w:color="auto"/>
              <w:right w:val="single" w:sz="4" w:space="0" w:color="auto"/>
            </w:tcBorders>
            <w:noWrap/>
            <w:vAlign w:val="center"/>
            <w:hideMark/>
          </w:tcPr>
          <w:p w14:paraId="256169FF" w14:textId="77777777" w:rsidR="00663E81" w:rsidRPr="00E25795" w:rsidRDefault="00663E81" w:rsidP="00663E81">
            <w:pPr>
              <w:spacing w:after="0" w:line="240" w:lineRule="auto"/>
              <w:rPr>
                <w:rFonts w:eastAsia="Times New Roman"/>
                <w:spacing w:val="0"/>
                <w:sz w:val="22"/>
                <w:szCs w:val="22"/>
                <w:lang w:val="es-MX" w:eastAsia="es-MX"/>
              </w:rPr>
            </w:pPr>
            <w:r w:rsidRPr="00E25795">
              <w:rPr>
                <w:rFonts w:eastAsia="Times New Roman"/>
                <w:spacing w:val="0"/>
                <w:sz w:val="22"/>
                <w:szCs w:val="22"/>
                <w:lang w:val="es-MX" w:eastAsia="es-MX"/>
              </w:rPr>
              <w:t>Museo Monumento a los Héroes de la Restauración</w:t>
            </w:r>
          </w:p>
        </w:tc>
        <w:tc>
          <w:tcPr>
            <w:tcW w:w="851" w:type="dxa"/>
            <w:tcBorders>
              <w:top w:val="nil"/>
              <w:left w:val="nil"/>
              <w:bottom w:val="single" w:sz="4" w:space="0" w:color="auto"/>
              <w:right w:val="single" w:sz="4" w:space="0" w:color="auto"/>
            </w:tcBorders>
            <w:noWrap/>
            <w:vAlign w:val="center"/>
            <w:hideMark/>
          </w:tcPr>
          <w:p w14:paraId="252C2452" w14:textId="77777777" w:rsidR="00663E81" w:rsidRPr="002D1A7B" w:rsidRDefault="00663E81" w:rsidP="00663E81">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95</w:t>
            </w:r>
          </w:p>
        </w:tc>
        <w:tc>
          <w:tcPr>
            <w:tcW w:w="1228" w:type="dxa"/>
            <w:tcBorders>
              <w:top w:val="nil"/>
              <w:left w:val="nil"/>
              <w:bottom w:val="single" w:sz="4" w:space="0" w:color="auto"/>
              <w:right w:val="single" w:sz="4" w:space="0" w:color="auto"/>
            </w:tcBorders>
            <w:noWrap/>
            <w:vAlign w:val="center"/>
            <w:hideMark/>
          </w:tcPr>
          <w:p w14:paraId="297A189C" w14:textId="77777777" w:rsidR="00663E81" w:rsidRPr="002D1A7B" w:rsidRDefault="00663E81" w:rsidP="00422A05">
            <w:pPr>
              <w:spacing w:after="0" w:line="240" w:lineRule="auto"/>
              <w:jc w:val="center"/>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27</w:t>
            </w:r>
          </w:p>
        </w:tc>
        <w:tc>
          <w:tcPr>
            <w:tcW w:w="709" w:type="dxa"/>
            <w:tcBorders>
              <w:top w:val="nil"/>
              <w:left w:val="nil"/>
              <w:bottom w:val="single" w:sz="4" w:space="0" w:color="auto"/>
              <w:right w:val="single" w:sz="4" w:space="0" w:color="auto"/>
            </w:tcBorders>
            <w:noWrap/>
            <w:vAlign w:val="center"/>
            <w:hideMark/>
          </w:tcPr>
          <w:p w14:paraId="4C0EE2B3" w14:textId="77777777" w:rsidR="00663E81" w:rsidRPr="002D1A7B" w:rsidRDefault="00663E81" w:rsidP="00663E81">
            <w:pPr>
              <w:spacing w:after="0" w:line="240" w:lineRule="auto"/>
              <w:jc w:val="right"/>
              <w:rPr>
                <w:rFonts w:eastAsia="Times New Roman"/>
                <w:color w:val="000000"/>
                <w:spacing w:val="0"/>
                <w:sz w:val="22"/>
                <w:szCs w:val="22"/>
                <w:lang w:val="es-MX" w:eastAsia="es-MX"/>
              </w:rPr>
            </w:pPr>
            <w:r w:rsidRPr="002D1A7B">
              <w:rPr>
                <w:rFonts w:eastAsia="Times New Roman"/>
                <w:color w:val="000000"/>
                <w:spacing w:val="0"/>
                <w:sz w:val="22"/>
                <w:szCs w:val="22"/>
                <w:lang w:val="es-MX" w:eastAsia="es-MX"/>
              </w:rPr>
              <w:t>122</w:t>
            </w:r>
          </w:p>
        </w:tc>
      </w:tr>
      <w:tr w:rsidR="00663E81" w:rsidRPr="002D1A7B" w14:paraId="12497EA4" w14:textId="77777777" w:rsidTr="0039446E">
        <w:trPr>
          <w:gridAfter w:val="1"/>
          <w:wAfter w:w="6" w:type="dxa"/>
          <w:trHeight w:val="312"/>
          <w:jc w:val="center"/>
        </w:trPr>
        <w:tc>
          <w:tcPr>
            <w:tcW w:w="620" w:type="dxa"/>
            <w:tcBorders>
              <w:top w:val="nil"/>
              <w:left w:val="nil"/>
              <w:bottom w:val="nil"/>
              <w:right w:val="nil"/>
            </w:tcBorders>
            <w:shd w:val="clear" w:color="000000" w:fill="002060"/>
            <w:noWrap/>
            <w:vAlign w:val="center"/>
            <w:hideMark/>
          </w:tcPr>
          <w:p w14:paraId="4E013586" w14:textId="77777777" w:rsidR="00663E81" w:rsidRPr="002D1A7B" w:rsidRDefault="00663E81" w:rsidP="00663E81">
            <w:pPr>
              <w:spacing w:after="0" w:line="240" w:lineRule="auto"/>
              <w:rPr>
                <w:rFonts w:eastAsia="Times New Roman"/>
                <w:b/>
                <w:bCs/>
                <w:color w:val="FFFFFF"/>
                <w:spacing w:val="0"/>
                <w:sz w:val="22"/>
                <w:szCs w:val="22"/>
                <w:lang w:val="es-MX" w:eastAsia="es-MX"/>
              </w:rPr>
            </w:pPr>
            <w:r w:rsidRPr="002D1A7B">
              <w:rPr>
                <w:rFonts w:eastAsia="Times New Roman"/>
                <w:b/>
                <w:bCs/>
                <w:color w:val="FFFFFF"/>
                <w:spacing w:val="0"/>
                <w:sz w:val="22"/>
                <w:szCs w:val="22"/>
                <w:lang w:val="es-MX" w:eastAsia="es-MX"/>
              </w:rPr>
              <w:t> </w:t>
            </w:r>
          </w:p>
        </w:tc>
        <w:tc>
          <w:tcPr>
            <w:tcW w:w="4195" w:type="dxa"/>
            <w:tcBorders>
              <w:top w:val="nil"/>
              <w:left w:val="single" w:sz="4" w:space="0" w:color="auto"/>
              <w:bottom w:val="single" w:sz="4" w:space="0" w:color="auto"/>
              <w:right w:val="single" w:sz="4" w:space="0" w:color="auto"/>
            </w:tcBorders>
            <w:shd w:val="clear" w:color="000000" w:fill="002060"/>
            <w:noWrap/>
            <w:vAlign w:val="center"/>
            <w:hideMark/>
          </w:tcPr>
          <w:p w14:paraId="1F6F3D88" w14:textId="77777777" w:rsidR="00663E81" w:rsidRPr="002D1A7B" w:rsidRDefault="00663E81" w:rsidP="00663E81">
            <w:pPr>
              <w:spacing w:after="0" w:line="240" w:lineRule="auto"/>
              <w:rPr>
                <w:rFonts w:eastAsia="Times New Roman"/>
                <w:b/>
                <w:bCs/>
                <w:color w:val="FFFFFF"/>
                <w:spacing w:val="0"/>
                <w:lang w:val="es-MX" w:eastAsia="es-MX"/>
              </w:rPr>
            </w:pPr>
            <w:r w:rsidRPr="002D1A7B">
              <w:rPr>
                <w:rFonts w:eastAsia="Times New Roman"/>
                <w:b/>
                <w:bCs/>
                <w:color w:val="FFFFFF"/>
                <w:spacing w:val="0"/>
                <w:lang w:val="es-MX" w:eastAsia="es-MX"/>
              </w:rPr>
              <w:t>Total</w:t>
            </w:r>
          </w:p>
        </w:tc>
        <w:tc>
          <w:tcPr>
            <w:tcW w:w="851" w:type="dxa"/>
            <w:tcBorders>
              <w:top w:val="nil"/>
              <w:left w:val="nil"/>
              <w:bottom w:val="nil"/>
              <w:right w:val="nil"/>
            </w:tcBorders>
            <w:shd w:val="clear" w:color="000000" w:fill="002060"/>
            <w:noWrap/>
            <w:vAlign w:val="center"/>
            <w:hideMark/>
          </w:tcPr>
          <w:p w14:paraId="09985ACF" w14:textId="66E60E42" w:rsidR="00663E81" w:rsidRPr="002D1A7B" w:rsidRDefault="000D3426" w:rsidP="00663E81">
            <w:pPr>
              <w:spacing w:after="0" w:line="240" w:lineRule="auto"/>
              <w:jc w:val="right"/>
              <w:rPr>
                <w:rFonts w:eastAsia="Times New Roman"/>
                <w:b/>
                <w:bCs/>
                <w:color w:val="FFFFFF"/>
                <w:spacing w:val="0"/>
                <w:sz w:val="22"/>
                <w:szCs w:val="22"/>
                <w:lang w:val="es-MX" w:eastAsia="es-MX"/>
              </w:rPr>
            </w:pPr>
            <w:r>
              <w:rPr>
                <w:rFonts w:eastAsia="Times New Roman"/>
                <w:b/>
                <w:bCs/>
                <w:color w:val="FFFFFF"/>
                <w:spacing w:val="0"/>
                <w:sz w:val="22"/>
                <w:szCs w:val="22"/>
                <w:lang w:val="es-MX" w:eastAsia="es-MX"/>
              </w:rPr>
              <w:t>8,702</w:t>
            </w:r>
          </w:p>
        </w:tc>
        <w:tc>
          <w:tcPr>
            <w:tcW w:w="1228" w:type="dxa"/>
            <w:tcBorders>
              <w:top w:val="nil"/>
              <w:left w:val="nil"/>
              <w:bottom w:val="nil"/>
              <w:right w:val="nil"/>
            </w:tcBorders>
            <w:shd w:val="clear" w:color="000000" w:fill="002060"/>
            <w:noWrap/>
            <w:vAlign w:val="center"/>
            <w:hideMark/>
          </w:tcPr>
          <w:p w14:paraId="34E066DB" w14:textId="36A29171" w:rsidR="00663E81" w:rsidRPr="002D1A7B" w:rsidRDefault="00663E81" w:rsidP="00422A05">
            <w:pPr>
              <w:spacing w:after="0" w:line="240" w:lineRule="auto"/>
              <w:jc w:val="center"/>
              <w:rPr>
                <w:rFonts w:eastAsia="Times New Roman"/>
                <w:b/>
                <w:bCs/>
                <w:color w:val="FFFFFF"/>
                <w:spacing w:val="0"/>
                <w:sz w:val="22"/>
                <w:szCs w:val="22"/>
                <w:lang w:val="es-MX" w:eastAsia="es-MX"/>
              </w:rPr>
            </w:pPr>
            <w:r w:rsidRPr="002D1A7B">
              <w:rPr>
                <w:rFonts w:eastAsia="Times New Roman"/>
                <w:b/>
                <w:bCs/>
                <w:color w:val="FFFFFF"/>
                <w:spacing w:val="0"/>
                <w:sz w:val="22"/>
                <w:szCs w:val="22"/>
                <w:lang w:val="es-MX" w:eastAsia="es-MX"/>
              </w:rPr>
              <w:t>6</w:t>
            </w:r>
            <w:r w:rsidR="00422A05">
              <w:rPr>
                <w:rFonts w:eastAsia="Times New Roman"/>
                <w:b/>
                <w:bCs/>
                <w:color w:val="FFFFFF"/>
                <w:spacing w:val="0"/>
                <w:sz w:val="22"/>
                <w:szCs w:val="22"/>
                <w:lang w:val="es-MX" w:eastAsia="es-MX"/>
              </w:rPr>
              <w:t>8</w:t>
            </w:r>
          </w:p>
        </w:tc>
        <w:tc>
          <w:tcPr>
            <w:tcW w:w="709" w:type="dxa"/>
            <w:tcBorders>
              <w:top w:val="nil"/>
              <w:left w:val="nil"/>
              <w:bottom w:val="nil"/>
              <w:right w:val="nil"/>
            </w:tcBorders>
            <w:shd w:val="clear" w:color="000000" w:fill="002060"/>
            <w:noWrap/>
            <w:vAlign w:val="center"/>
            <w:hideMark/>
          </w:tcPr>
          <w:p w14:paraId="1FD6A71E" w14:textId="30B4FBEA" w:rsidR="00663E81" w:rsidRPr="002D1A7B" w:rsidRDefault="00F42BB5" w:rsidP="00663E81">
            <w:pPr>
              <w:spacing w:after="0" w:line="240" w:lineRule="auto"/>
              <w:jc w:val="right"/>
              <w:rPr>
                <w:rFonts w:eastAsia="Times New Roman"/>
                <w:b/>
                <w:bCs/>
                <w:color w:val="FFFFFF"/>
                <w:spacing w:val="0"/>
                <w:sz w:val="22"/>
                <w:szCs w:val="22"/>
                <w:lang w:val="es-MX" w:eastAsia="es-MX"/>
              </w:rPr>
            </w:pPr>
            <w:r>
              <w:rPr>
                <w:rFonts w:eastAsia="Times New Roman"/>
                <w:b/>
                <w:bCs/>
                <w:color w:val="FFFFFF"/>
                <w:spacing w:val="0"/>
                <w:sz w:val="22"/>
                <w:szCs w:val="22"/>
                <w:lang w:val="es-MX" w:eastAsia="es-MX"/>
              </w:rPr>
              <w:t>8,770</w:t>
            </w:r>
          </w:p>
        </w:tc>
      </w:tr>
      <w:tr w:rsidR="00663E81" w:rsidRPr="0017729B" w14:paraId="2C134DDD" w14:textId="77777777" w:rsidTr="0039446E">
        <w:tblPrEx>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Ex>
        <w:trPr>
          <w:trHeight w:val="260"/>
          <w:jc w:val="center"/>
        </w:trPr>
        <w:tc>
          <w:tcPr>
            <w:tcW w:w="7609" w:type="dxa"/>
            <w:gridSpan w:val="6"/>
            <w:tcBorders>
              <w:top w:val="nil"/>
              <w:left w:val="nil"/>
              <w:bottom w:val="nil"/>
              <w:right w:val="nil"/>
            </w:tcBorders>
            <w:noWrap/>
            <w:vAlign w:val="center"/>
          </w:tcPr>
          <w:p w14:paraId="179E3992" w14:textId="6F7C60A1" w:rsidR="00663E81" w:rsidRPr="007D7AD3" w:rsidRDefault="00663E81" w:rsidP="00663E81">
            <w:pPr>
              <w:spacing w:after="0" w:line="240" w:lineRule="auto"/>
              <w:jc w:val="both"/>
              <w:rPr>
                <w:rFonts w:eastAsia="Calibri"/>
                <w:i/>
                <w:iCs/>
                <w:sz w:val="20"/>
                <w:szCs w:val="28"/>
                <w:lang w:val="es-DO"/>
              </w:rPr>
            </w:pPr>
            <w:r w:rsidRPr="007D7AD3">
              <w:rPr>
                <w:rFonts w:eastAsia="Calibri"/>
                <w:i/>
                <w:iCs/>
                <w:sz w:val="20"/>
                <w:szCs w:val="28"/>
                <w:lang w:val="es-DO"/>
              </w:rPr>
              <w:t xml:space="preserve">Cuadro </w:t>
            </w:r>
            <w:r w:rsidR="002B72CE">
              <w:rPr>
                <w:rFonts w:eastAsia="Calibri"/>
                <w:i/>
                <w:iCs/>
                <w:sz w:val="20"/>
                <w:szCs w:val="28"/>
                <w:lang w:val="es-DO"/>
              </w:rPr>
              <w:t>1</w:t>
            </w:r>
            <w:r w:rsidR="000D365D">
              <w:rPr>
                <w:rFonts w:eastAsia="Calibri"/>
                <w:i/>
                <w:iCs/>
                <w:sz w:val="20"/>
                <w:szCs w:val="28"/>
                <w:lang w:val="es-DO"/>
              </w:rPr>
              <w:t>.</w:t>
            </w:r>
            <w:r>
              <w:rPr>
                <w:rFonts w:eastAsia="Calibri"/>
                <w:i/>
                <w:iCs/>
                <w:sz w:val="20"/>
                <w:szCs w:val="28"/>
                <w:lang w:val="es-DO"/>
              </w:rPr>
              <w:t xml:space="preserve"> Incremento en las </w:t>
            </w:r>
            <w:r w:rsidRPr="007D7AD3">
              <w:rPr>
                <w:rFonts w:eastAsia="Calibri"/>
                <w:i/>
                <w:iCs/>
                <w:sz w:val="20"/>
                <w:szCs w:val="28"/>
                <w:lang w:val="es-DO"/>
              </w:rPr>
              <w:t>colecciones de los museos año 202</w:t>
            </w:r>
            <w:r>
              <w:rPr>
                <w:rFonts w:eastAsia="Calibri"/>
                <w:i/>
                <w:iCs/>
                <w:sz w:val="20"/>
                <w:szCs w:val="28"/>
                <w:lang w:val="es-DO"/>
              </w:rPr>
              <w:t>5</w:t>
            </w:r>
            <w:r w:rsidR="002B72CE">
              <w:rPr>
                <w:rFonts w:eastAsia="Calibri"/>
                <w:i/>
                <w:iCs/>
                <w:sz w:val="20"/>
                <w:szCs w:val="28"/>
                <w:lang w:val="es-DO"/>
              </w:rPr>
              <w:t>. Fuente: elaboración propia</w:t>
            </w:r>
          </w:p>
        </w:tc>
      </w:tr>
    </w:tbl>
    <w:p w14:paraId="7B9ED71F" w14:textId="77777777" w:rsidR="00237415" w:rsidRPr="0017729B" w:rsidRDefault="00237415" w:rsidP="001F341D">
      <w:pPr>
        <w:spacing w:after="0" w:line="360" w:lineRule="auto"/>
        <w:jc w:val="both"/>
        <w:rPr>
          <w:rFonts w:eastAsia="Calibri"/>
          <w:szCs w:val="36"/>
          <w:lang w:val="es-MX"/>
        </w:rPr>
      </w:pPr>
    </w:p>
    <w:p w14:paraId="4B12F703" w14:textId="62FB07C0" w:rsidR="00237415" w:rsidRPr="00202477" w:rsidRDefault="00237415" w:rsidP="00DB2C88">
      <w:pPr>
        <w:spacing w:line="360" w:lineRule="auto"/>
        <w:jc w:val="both"/>
        <w:rPr>
          <w:rFonts w:eastAsia="Calibri"/>
          <w:szCs w:val="36"/>
          <w:lang w:val="es-DO"/>
        </w:rPr>
      </w:pPr>
      <w:r w:rsidRPr="00431E7F">
        <w:rPr>
          <w:rFonts w:eastAsia="Calibri"/>
          <w:szCs w:val="36"/>
          <w:lang w:val="es-DO"/>
        </w:rPr>
        <w:lastRenderedPageBreak/>
        <w:t xml:space="preserve">Con la incorporación de estos </w:t>
      </w:r>
      <w:r w:rsidR="00C34DBE" w:rsidRPr="00431E7F">
        <w:rPr>
          <w:rFonts w:eastAsia="Calibri"/>
          <w:szCs w:val="36"/>
          <w:lang w:val="es-DO"/>
        </w:rPr>
        <w:t>6</w:t>
      </w:r>
      <w:r w:rsidR="008114F4">
        <w:rPr>
          <w:rFonts w:eastAsia="Calibri"/>
          <w:szCs w:val="36"/>
          <w:lang w:val="es-DO"/>
        </w:rPr>
        <w:t>8</w:t>
      </w:r>
      <w:r w:rsidRPr="00431E7F">
        <w:rPr>
          <w:rFonts w:eastAsia="Calibri"/>
          <w:szCs w:val="36"/>
          <w:lang w:val="es-DO"/>
        </w:rPr>
        <w:t xml:space="preserve"> bienes, el total de bienes inventariados en las colecciones que albergan los museos administrados por la DGM asciende a 20,</w:t>
      </w:r>
      <w:r w:rsidR="00663E81">
        <w:rPr>
          <w:rFonts w:eastAsia="Calibri"/>
          <w:szCs w:val="36"/>
          <w:lang w:val="es-DO"/>
        </w:rPr>
        <w:t>945</w:t>
      </w:r>
      <w:r w:rsidRPr="00431E7F">
        <w:rPr>
          <w:rFonts w:eastAsia="Calibri"/>
          <w:szCs w:val="36"/>
          <w:lang w:val="es-DO"/>
        </w:rPr>
        <w:t xml:space="preserve"> piezas.</w:t>
      </w:r>
    </w:p>
    <w:tbl>
      <w:tblPr>
        <w:tblW w:w="8066" w:type="dxa"/>
        <w:tblCellMar>
          <w:left w:w="70" w:type="dxa"/>
          <w:right w:w="70" w:type="dxa"/>
        </w:tblCellMar>
        <w:tblLook w:val="04A0" w:firstRow="1" w:lastRow="0" w:firstColumn="1" w:lastColumn="0" w:noHBand="0" w:noVBand="1"/>
      </w:tblPr>
      <w:tblGrid>
        <w:gridCol w:w="833"/>
        <w:gridCol w:w="3982"/>
        <w:gridCol w:w="986"/>
        <w:gridCol w:w="905"/>
        <w:gridCol w:w="1300"/>
        <w:gridCol w:w="60"/>
      </w:tblGrid>
      <w:tr w:rsidR="00431E7F" w:rsidRPr="0028345D" w14:paraId="6D50FA28" w14:textId="77777777" w:rsidTr="005A7C73">
        <w:trPr>
          <w:trHeight w:val="324"/>
          <w:tblHeader/>
        </w:trPr>
        <w:tc>
          <w:tcPr>
            <w:tcW w:w="833" w:type="dxa"/>
            <w:tcBorders>
              <w:top w:val="nil"/>
              <w:left w:val="single" w:sz="4" w:space="0" w:color="auto"/>
              <w:bottom w:val="single" w:sz="4" w:space="0" w:color="auto"/>
              <w:right w:val="single" w:sz="4" w:space="0" w:color="auto"/>
            </w:tcBorders>
            <w:shd w:val="clear" w:color="000000" w:fill="011C50"/>
            <w:vAlign w:val="center"/>
            <w:hideMark/>
          </w:tcPr>
          <w:p w14:paraId="46A51332" w14:textId="77777777" w:rsidR="00431E7F" w:rsidRPr="0028345D" w:rsidRDefault="00431E7F"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Ítem</w:t>
            </w:r>
          </w:p>
        </w:tc>
        <w:tc>
          <w:tcPr>
            <w:tcW w:w="3982" w:type="dxa"/>
            <w:tcBorders>
              <w:top w:val="nil"/>
              <w:left w:val="nil"/>
              <w:bottom w:val="single" w:sz="4" w:space="0" w:color="auto"/>
              <w:right w:val="single" w:sz="4" w:space="0" w:color="auto"/>
            </w:tcBorders>
            <w:shd w:val="clear" w:color="000000" w:fill="011C50"/>
            <w:vAlign w:val="center"/>
            <w:hideMark/>
          </w:tcPr>
          <w:p w14:paraId="45DE516F" w14:textId="77777777" w:rsidR="00431E7F" w:rsidRPr="0028345D" w:rsidRDefault="00431E7F"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Museo</w:t>
            </w:r>
          </w:p>
        </w:tc>
        <w:tc>
          <w:tcPr>
            <w:tcW w:w="986" w:type="dxa"/>
            <w:tcBorders>
              <w:top w:val="nil"/>
              <w:left w:val="nil"/>
              <w:bottom w:val="single" w:sz="4" w:space="0" w:color="auto"/>
              <w:right w:val="single" w:sz="4" w:space="0" w:color="auto"/>
            </w:tcBorders>
            <w:shd w:val="clear" w:color="000000" w:fill="011C50"/>
            <w:vAlign w:val="center"/>
            <w:hideMark/>
          </w:tcPr>
          <w:p w14:paraId="7CE6FB38" w14:textId="77777777" w:rsidR="00431E7F" w:rsidRPr="0028345D" w:rsidRDefault="00431E7F"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2024</w:t>
            </w:r>
          </w:p>
        </w:tc>
        <w:tc>
          <w:tcPr>
            <w:tcW w:w="905" w:type="dxa"/>
            <w:tcBorders>
              <w:top w:val="nil"/>
              <w:left w:val="nil"/>
              <w:bottom w:val="single" w:sz="4" w:space="0" w:color="auto"/>
              <w:right w:val="single" w:sz="4" w:space="0" w:color="auto"/>
            </w:tcBorders>
            <w:shd w:val="clear" w:color="000000" w:fill="011C50"/>
            <w:vAlign w:val="center"/>
            <w:hideMark/>
          </w:tcPr>
          <w:p w14:paraId="444082C3" w14:textId="77777777" w:rsidR="00431E7F" w:rsidRPr="0028345D" w:rsidRDefault="00431E7F"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2025</w:t>
            </w:r>
          </w:p>
        </w:tc>
        <w:tc>
          <w:tcPr>
            <w:tcW w:w="1360" w:type="dxa"/>
            <w:gridSpan w:val="2"/>
            <w:tcBorders>
              <w:top w:val="nil"/>
              <w:left w:val="nil"/>
              <w:bottom w:val="single" w:sz="4" w:space="0" w:color="auto"/>
              <w:right w:val="single" w:sz="4" w:space="0" w:color="auto"/>
            </w:tcBorders>
            <w:shd w:val="clear" w:color="000000" w:fill="011C50"/>
            <w:vAlign w:val="center"/>
            <w:hideMark/>
          </w:tcPr>
          <w:p w14:paraId="79E55092" w14:textId="77777777" w:rsidR="00431E7F" w:rsidRPr="0028345D" w:rsidRDefault="00431E7F"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Incremento</w:t>
            </w:r>
          </w:p>
        </w:tc>
      </w:tr>
      <w:tr w:rsidR="00431E7F" w:rsidRPr="0028345D" w14:paraId="2805A6DD" w14:textId="77777777" w:rsidTr="00431E7F">
        <w:trPr>
          <w:trHeight w:val="240"/>
        </w:trPr>
        <w:tc>
          <w:tcPr>
            <w:tcW w:w="833" w:type="dxa"/>
            <w:tcBorders>
              <w:top w:val="nil"/>
              <w:left w:val="single" w:sz="4" w:space="0" w:color="auto"/>
              <w:bottom w:val="single" w:sz="4" w:space="0" w:color="auto"/>
              <w:right w:val="single" w:sz="4" w:space="0" w:color="auto"/>
            </w:tcBorders>
            <w:noWrap/>
            <w:vAlign w:val="center"/>
            <w:hideMark/>
          </w:tcPr>
          <w:p w14:paraId="5699B9F4"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w:t>
            </w:r>
          </w:p>
        </w:tc>
        <w:tc>
          <w:tcPr>
            <w:tcW w:w="3982" w:type="dxa"/>
            <w:tcBorders>
              <w:top w:val="nil"/>
              <w:left w:val="nil"/>
              <w:bottom w:val="single" w:sz="4" w:space="0" w:color="auto"/>
              <w:right w:val="single" w:sz="4" w:space="0" w:color="auto"/>
            </w:tcBorders>
            <w:noWrap/>
            <w:vAlign w:val="center"/>
            <w:hideMark/>
          </w:tcPr>
          <w:p w14:paraId="627FB55B"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de Arte Moderno</w:t>
            </w:r>
          </w:p>
        </w:tc>
        <w:tc>
          <w:tcPr>
            <w:tcW w:w="986" w:type="dxa"/>
            <w:tcBorders>
              <w:top w:val="nil"/>
              <w:left w:val="nil"/>
              <w:bottom w:val="single" w:sz="4" w:space="0" w:color="auto"/>
              <w:right w:val="single" w:sz="4" w:space="0" w:color="auto"/>
            </w:tcBorders>
            <w:noWrap/>
            <w:vAlign w:val="center"/>
            <w:hideMark/>
          </w:tcPr>
          <w:p w14:paraId="585D5D97"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1,599</w:t>
            </w:r>
          </w:p>
        </w:tc>
        <w:tc>
          <w:tcPr>
            <w:tcW w:w="905" w:type="dxa"/>
            <w:tcBorders>
              <w:top w:val="nil"/>
              <w:left w:val="nil"/>
              <w:bottom w:val="single" w:sz="4" w:space="0" w:color="auto"/>
              <w:right w:val="single" w:sz="4" w:space="0" w:color="auto"/>
            </w:tcBorders>
            <w:noWrap/>
            <w:vAlign w:val="center"/>
            <w:hideMark/>
          </w:tcPr>
          <w:p w14:paraId="10DC5B86"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1,608</w:t>
            </w:r>
          </w:p>
        </w:tc>
        <w:tc>
          <w:tcPr>
            <w:tcW w:w="1360" w:type="dxa"/>
            <w:gridSpan w:val="2"/>
            <w:tcBorders>
              <w:top w:val="nil"/>
              <w:left w:val="nil"/>
              <w:bottom w:val="single" w:sz="4" w:space="0" w:color="auto"/>
              <w:right w:val="single" w:sz="4" w:space="0" w:color="auto"/>
            </w:tcBorders>
            <w:noWrap/>
            <w:vAlign w:val="center"/>
            <w:hideMark/>
          </w:tcPr>
          <w:p w14:paraId="70AFEC35"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9</w:t>
            </w:r>
          </w:p>
        </w:tc>
      </w:tr>
      <w:tr w:rsidR="00431E7F" w:rsidRPr="0028345D" w14:paraId="0AF5DE65" w14:textId="77777777" w:rsidTr="00A64A36">
        <w:trPr>
          <w:trHeight w:val="312"/>
        </w:trPr>
        <w:tc>
          <w:tcPr>
            <w:tcW w:w="833" w:type="dxa"/>
            <w:tcBorders>
              <w:top w:val="nil"/>
              <w:left w:val="single" w:sz="4" w:space="0" w:color="auto"/>
              <w:bottom w:val="single" w:sz="4" w:space="0" w:color="auto"/>
              <w:right w:val="single" w:sz="4" w:space="0" w:color="auto"/>
            </w:tcBorders>
            <w:noWrap/>
            <w:vAlign w:val="center"/>
            <w:hideMark/>
          </w:tcPr>
          <w:p w14:paraId="7BDF3EA1"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2</w:t>
            </w:r>
          </w:p>
        </w:tc>
        <w:tc>
          <w:tcPr>
            <w:tcW w:w="3982" w:type="dxa"/>
            <w:tcBorders>
              <w:top w:val="nil"/>
              <w:left w:val="nil"/>
              <w:bottom w:val="single" w:sz="4" w:space="0" w:color="auto"/>
              <w:right w:val="single" w:sz="4" w:space="0" w:color="auto"/>
            </w:tcBorders>
            <w:noWrap/>
            <w:vAlign w:val="center"/>
            <w:hideMark/>
          </w:tcPr>
          <w:p w14:paraId="3E72983B"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Nacional de Historia y Geografía</w:t>
            </w:r>
          </w:p>
        </w:tc>
        <w:tc>
          <w:tcPr>
            <w:tcW w:w="986" w:type="dxa"/>
            <w:tcBorders>
              <w:top w:val="nil"/>
              <w:left w:val="nil"/>
              <w:bottom w:val="single" w:sz="4" w:space="0" w:color="auto"/>
              <w:right w:val="single" w:sz="4" w:space="0" w:color="auto"/>
            </w:tcBorders>
            <w:noWrap/>
            <w:vAlign w:val="center"/>
            <w:hideMark/>
          </w:tcPr>
          <w:p w14:paraId="4D46DF15"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1,370</w:t>
            </w:r>
          </w:p>
        </w:tc>
        <w:tc>
          <w:tcPr>
            <w:tcW w:w="905" w:type="dxa"/>
            <w:tcBorders>
              <w:top w:val="nil"/>
              <w:left w:val="nil"/>
              <w:bottom w:val="single" w:sz="4" w:space="0" w:color="auto"/>
              <w:right w:val="single" w:sz="4" w:space="0" w:color="auto"/>
            </w:tcBorders>
            <w:noWrap/>
            <w:vAlign w:val="center"/>
            <w:hideMark/>
          </w:tcPr>
          <w:p w14:paraId="32E905B1"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1,376</w:t>
            </w:r>
          </w:p>
        </w:tc>
        <w:tc>
          <w:tcPr>
            <w:tcW w:w="1360" w:type="dxa"/>
            <w:gridSpan w:val="2"/>
            <w:tcBorders>
              <w:top w:val="nil"/>
              <w:left w:val="nil"/>
              <w:bottom w:val="single" w:sz="4" w:space="0" w:color="auto"/>
              <w:right w:val="single" w:sz="4" w:space="0" w:color="auto"/>
            </w:tcBorders>
            <w:noWrap/>
            <w:vAlign w:val="center"/>
            <w:hideMark/>
          </w:tcPr>
          <w:p w14:paraId="308C21B5"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6</w:t>
            </w:r>
          </w:p>
        </w:tc>
      </w:tr>
      <w:tr w:rsidR="00431E7F" w:rsidRPr="0028345D" w14:paraId="07FD2B34"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156180AA"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3</w:t>
            </w:r>
          </w:p>
        </w:tc>
        <w:tc>
          <w:tcPr>
            <w:tcW w:w="3982" w:type="dxa"/>
            <w:tcBorders>
              <w:top w:val="nil"/>
              <w:left w:val="nil"/>
              <w:bottom w:val="single" w:sz="4" w:space="0" w:color="auto"/>
              <w:right w:val="single" w:sz="4" w:space="0" w:color="auto"/>
            </w:tcBorders>
            <w:noWrap/>
            <w:vAlign w:val="center"/>
            <w:hideMark/>
          </w:tcPr>
          <w:p w14:paraId="5891C788"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del Hombre Dominicano</w:t>
            </w:r>
          </w:p>
        </w:tc>
        <w:tc>
          <w:tcPr>
            <w:tcW w:w="986" w:type="dxa"/>
            <w:tcBorders>
              <w:top w:val="nil"/>
              <w:left w:val="nil"/>
              <w:bottom w:val="single" w:sz="4" w:space="0" w:color="auto"/>
              <w:right w:val="single" w:sz="4" w:space="0" w:color="auto"/>
            </w:tcBorders>
            <w:noWrap/>
            <w:vAlign w:val="center"/>
            <w:hideMark/>
          </w:tcPr>
          <w:p w14:paraId="6BA09B13"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8,181</w:t>
            </w:r>
          </w:p>
        </w:tc>
        <w:tc>
          <w:tcPr>
            <w:tcW w:w="905" w:type="dxa"/>
            <w:tcBorders>
              <w:top w:val="nil"/>
              <w:left w:val="nil"/>
              <w:bottom w:val="single" w:sz="4" w:space="0" w:color="auto"/>
              <w:right w:val="single" w:sz="4" w:space="0" w:color="auto"/>
            </w:tcBorders>
            <w:noWrap/>
            <w:vAlign w:val="center"/>
            <w:hideMark/>
          </w:tcPr>
          <w:p w14:paraId="0B6A0C9C"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8,181</w:t>
            </w:r>
          </w:p>
        </w:tc>
        <w:tc>
          <w:tcPr>
            <w:tcW w:w="1360" w:type="dxa"/>
            <w:gridSpan w:val="2"/>
            <w:tcBorders>
              <w:top w:val="nil"/>
              <w:left w:val="nil"/>
              <w:bottom w:val="single" w:sz="4" w:space="0" w:color="auto"/>
              <w:right w:val="single" w:sz="4" w:space="0" w:color="auto"/>
            </w:tcBorders>
            <w:noWrap/>
            <w:vAlign w:val="center"/>
            <w:hideMark/>
          </w:tcPr>
          <w:p w14:paraId="7E7274F1"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07A6DB7E"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166F21DD"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4</w:t>
            </w:r>
          </w:p>
        </w:tc>
        <w:tc>
          <w:tcPr>
            <w:tcW w:w="3982" w:type="dxa"/>
            <w:tcBorders>
              <w:top w:val="nil"/>
              <w:left w:val="nil"/>
              <w:bottom w:val="single" w:sz="4" w:space="0" w:color="auto"/>
              <w:right w:val="single" w:sz="4" w:space="0" w:color="auto"/>
            </w:tcBorders>
            <w:noWrap/>
            <w:vAlign w:val="center"/>
            <w:hideMark/>
          </w:tcPr>
          <w:p w14:paraId="4072E910"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Alcázar de Colón</w:t>
            </w:r>
          </w:p>
        </w:tc>
        <w:tc>
          <w:tcPr>
            <w:tcW w:w="986" w:type="dxa"/>
            <w:tcBorders>
              <w:top w:val="nil"/>
              <w:left w:val="nil"/>
              <w:bottom w:val="single" w:sz="4" w:space="0" w:color="auto"/>
              <w:right w:val="single" w:sz="4" w:space="0" w:color="auto"/>
            </w:tcBorders>
            <w:noWrap/>
            <w:vAlign w:val="center"/>
            <w:hideMark/>
          </w:tcPr>
          <w:p w14:paraId="1363D31F" w14:textId="6778DB82" w:rsidR="00431E7F" w:rsidRPr="0028345D" w:rsidRDefault="00F42BB5"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909</w:t>
            </w:r>
          </w:p>
        </w:tc>
        <w:tc>
          <w:tcPr>
            <w:tcW w:w="905" w:type="dxa"/>
            <w:tcBorders>
              <w:top w:val="nil"/>
              <w:left w:val="nil"/>
              <w:bottom w:val="single" w:sz="4" w:space="0" w:color="auto"/>
              <w:right w:val="single" w:sz="4" w:space="0" w:color="auto"/>
            </w:tcBorders>
            <w:noWrap/>
            <w:vAlign w:val="center"/>
            <w:hideMark/>
          </w:tcPr>
          <w:p w14:paraId="77A70A99" w14:textId="2E38D127" w:rsidR="00431E7F" w:rsidRPr="0028345D" w:rsidRDefault="00F42BB5"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916</w:t>
            </w:r>
          </w:p>
        </w:tc>
        <w:tc>
          <w:tcPr>
            <w:tcW w:w="1360" w:type="dxa"/>
            <w:gridSpan w:val="2"/>
            <w:tcBorders>
              <w:top w:val="nil"/>
              <w:left w:val="nil"/>
              <w:bottom w:val="single" w:sz="4" w:space="0" w:color="auto"/>
              <w:right w:val="single" w:sz="4" w:space="0" w:color="auto"/>
            </w:tcBorders>
            <w:noWrap/>
            <w:vAlign w:val="center"/>
            <w:hideMark/>
          </w:tcPr>
          <w:p w14:paraId="5E4E9494" w14:textId="5ED19393" w:rsidR="00431E7F" w:rsidRPr="0028345D" w:rsidRDefault="00F42BB5"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7</w:t>
            </w:r>
          </w:p>
        </w:tc>
      </w:tr>
      <w:tr w:rsidR="00431E7F" w:rsidRPr="0028345D" w14:paraId="2940FB21"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273F2F91"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5</w:t>
            </w:r>
          </w:p>
        </w:tc>
        <w:tc>
          <w:tcPr>
            <w:tcW w:w="3982" w:type="dxa"/>
            <w:tcBorders>
              <w:top w:val="nil"/>
              <w:left w:val="nil"/>
              <w:bottom w:val="single" w:sz="4" w:space="0" w:color="auto"/>
              <w:right w:val="single" w:sz="4" w:space="0" w:color="auto"/>
            </w:tcBorders>
            <w:noWrap/>
            <w:vAlign w:val="center"/>
            <w:hideMark/>
          </w:tcPr>
          <w:p w14:paraId="3E108965"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de las Casas Reales</w:t>
            </w:r>
          </w:p>
        </w:tc>
        <w:tc>
          <w:tcPr>
            <w:tcW w:w="986" w:type="dxa"/>
            <w:tcBorders>
              <w:top w:val="nil"/>
              <w:left w:val="nil"/>
              <w:bottom w:val="single" w:sz="4" w:space="0" w:color="auto"/>
              <w:right w:val="single" w:sz="4" w:space="0" w:color="auto"/>
            </w:tcBorders>
            <w:noWrap/>
            <w:vAlign w:val="center"/>
            <w:hideMark/>
          </w:tcPr>
          <w:p w14:paraId="1B73B89E"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1,966</w:t>
            </w:r>
          </w:p>
        </w:tc>
        <w:tc>
          <w:tcPr>
            <w:tcW w:w="905" w:type="dxa"/>
            <w:tcBorders>
              <w:top w:val="nil"/>
              <w:left w:val="nil"/>
              <w:bottom w:val="single" w:sz="4" w:space="0" w:color="auto"/>
              <w:right w:val="single" w:sz="4" w:space="0" w:color="auto"/>
            </w:tcBorders>
            <w:noWrap/>
            <w:vAlign w:val="center"/>
            <w:hideMark/>
          </w:tcPr>
          <w:p w14:paraId="417E3F78"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1,966</w:t>
            </w:r>
          </w:p>
        </w:tc>
        <w:tc>
          <w:tcPr>
            <w:tcW w:w="1360" w:type="dxa"/>
            <w:gridSpan w:val="2"/>
            <w:tcBorders>
              <w:top w:val="nil"/>
              <w:left w:val="nil"/>
              <w:bottom w:val="single" w:sz="4" w:space="0" w:color="auto"/>
              <w:right w:val="single" w:sz="4" w:space="0" w:color="auto"/>
            </w:tcBorders>
            <w:noWrap/>
            <w:vAlign w:val="center"/>
            <w:hideMark/>
          </w:tcPr>
          <w:p w14:paraId="2355AFAB"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64388782"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3CEEE9D2"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6</w:t>
            </w:r>
          </w:p>
        </w:tc>
        <w:tc>
          <w:tcPr>
            <w:tcW w:w="3982" w:type="dxa"/>
            <w:tcBorders>
              <w:top w:val="nil"/>
              <w:left w:val="nil"/>
              <w:bottom w:val="single" w:sz="4" w:space="0" w:color="auto"/>
              <w:right w:val="single" w:sz="4" w:space="0" w:color="auto"/>
            </w:tcBorders>
            <w:noWrap/>
            <w:vAlign w:val="center"/>
            <w:hideMark/>
          </w:tcPr>
          <w:p w14:paraId="348CE60C"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Fortaleza de Santo Domingo</w:t>
            </w:r>
          </w:p>
        </w:tc>
        <w:tc>
          <w:tcPr>
            <w:tcW w:w="986" w:type="dxa"/>
            <w:tcBorders>
              <w:top w:val="nil"/>
              <w:left w:val="nil"/>
              <w:bottom w:val="single" w:sz="4" w:space="0" w:color="auto"/>
              <w:right w:val="single" w:sz="4" w:space="0" w:color="auto"/>
            </w:tcBorders>
            <w:noWrap/>
            <w:vAlign w:val="center"/>
            <w:hideMark/>
          </w:tcPr>
          <w:p w14:paraId="1C621C26"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43</w:t>
            </w:r>
          </w:p>
        </w:tc>
        <w:tc>
          <w:tcPr>
            <w:tcW w:w="905" w:type="dxa"/>
            <w:tcBorders>
              <w:top w:val="nil"/>
              <w:left w:val="nil"/>
              <w:bottom w:val="single" w:sz="4" w:space="0" w:color="auto"/>
              <w:right w:val="single" w:sz="4" w:space="0" w:color="auto"/>
            </w:tcBorders>
            <w:noWrap/>
            <w:vAlign w:val="center"/>
            <w:hideMark/>
          </w:tcPr>
          <w:p w14:paraId="7ADEA3B6"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43</w:t>
            </w:r>
          </w:p>
        </w:tc>
        <w:tc>
          <w:tcPr>
            <w:tcW w:w="1360" w:type="dxa"/>
            <w:gridSpan w:val="2"/>
            <w:tcBorders>
              <w:top w:val="nil"/>
              <w:left w:val="nil"/>
              <w:bottom w:val="single" w:sz="4" w:space="0" w:color="auto"/>
              <w:right w:val="single" w:sz="4" w:space="0" w:color="auto"/>
            </w:tcBorders>
            <w:noWrap/>
            <w:vAlign w:val="center"/>
            <w:hideMark/>
          </w:tcPr>
          <w:p w14:paraId="4A3B6903"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21E5B4F9"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67B363E3"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7</w:t>
            </w:r>
          </w:p>
        </w:tc>
        <w:tc>
          <w:tcPr>
            <w:tcW w:w="3982" w:type="dxa"/>
            <w:tcBorders>
              <w:top w:val="nil"/>
              <w:left w:val="nil"/>
              <w:bottom w:val="single" w:sz="4" w:space="0" w:color="auto"/>
              <w:right w:val="single" w:sz="4" w:space="0" w:color="auto"/>
            </w:tcBorders>
            <w:noWrap/>
            <w:vAlign w:val="center"/>
            <w:hideMark/>
          </w:tcPr>
          <w:p w14:paraId="680BD740"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de las Atarazanas Reales</w:t>
            </w:r>
          </w:p>
        </w:tc>
        <w:tc>
          <w:tcPr>
            <w:tcW w:w="986" w:type="dxa"/>
            <w:tcBorders>
              <w:top w:val="nil"/>
              <w:left w:val="nil"/>
              <w:bottom w:val="single" w:sz="4" w:space="0" w:color="auto"/>
              <w:right w:val="single" w:sz="4" w:space="0" w:color="auto"/>
            </w:tcBorders>
            <w:noWrap/>
            <w:vAlign w:val="center"/>
            <w:hideMark/>
          </w:tcPr>
          <w:p w14:paraId="294D9FA6"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1,429</w:t>
            </w:r>
          </w:p>
        </w:tc>
        <w:tc>
          <w:tcPr>
            <w:tcW w:w="905" w:type="dxa"/>
            <w:tcBorders>
              <w:top w:val="nil"/>
              <w:left w:val="nil"/>
              <w:bottom w:val="single" w:sz="4" w:space="0" w:color="auto"/>
              <w:right w:val="single" w:sz="4" w:space="0" w:color="auto"/>
            </w:tcBorders>
            <w:noWrap/>
            <w:vAlign w:val="center"/>
            <w:hideMark/>
          </w:tcPr>
          <w:p w14:paraId="21F25E47"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1,435</w:t>
            </w:r>
          </w:p>
        </w:tc>
        <w:tc>
          <w:tcPr>
            <w:tcW w:w="1360" w:type="dxa"/>
            <w:gridSpan w:val="2"/>
            <w:tcBorders>
              <w:top w:val="nil"/>
              <w:left w:val="nil"/>
              <w:bottom w:val="single" w:sz="4" w:space="0" w:color="auto"/>
              <w:right w:val="single" w:sz="4" w:space="0" w:color="auto"/>
            </w:tcBorders>
            <w:noWrap/>
            <w:vAlign w:val="center"/>
            <w:hideMark/>
          </w:tcPr>
          <w:p w14:paraId="6A177B65"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6</w:t>
            </w:r>
          </w:p>
        </w:tc>
      </w:tr>
      <w:tr w:rsidR="00431E7F" w:rsidRPr="0028345D" w14:paraId="050AAFEC"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045C81C9"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8</w:t>
            </w:r>
          </w:p>
        </w:tc>
        <w:tc>
          <w:tcPr>
            <w:tcW w:w="3982" w:type="dxa"/>
            <w:tcBorders>
              <w:top w:val="nil"/>
              <w:left w:val="nil"/>
              <w:bottom w:val="single" w:sz="4" w:space="0" w:color="auto"/>
              <w:right w:val="single" w:sz="4" w:space="0" w:color="auto"/>
            </w:tcBorders>
            <w:noWrap/>
            <w:vAlign w:val="center"/>
            <w:hideMark/>
          </w:tcPr>
          <w:p w14:paraId="6BEBC0E0" w14:textId="758B3A71"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de la Familia Dominicana S</w:t>
            </w:r>
            <w:r w:rsidR="00106E1D">
              <w:rPr>
                <w:rFonts w:eastAsia="Times New Roman"/>
                <w:spacing w:val="0"/>
                <w:sz w:val="22"/>
                <w:szCs w:val="22"/>
                <w:lang w:val="es-MX" w:eastAsia="es-MX"/>
              </w:rPr>
              <w:t>.</w:t>
            </w:r>
            <w:r w:rsidRPr="0028345D">
              <w:rPr>
                <w:rFonts w:eastAsia="Times New Roman"/>
                <w:spacing w:val="0"/>
                <w:sz w:val="22"/>
                <w:szCs w:val="22"/>
                <w:lang w:val="es-MX" w:eastAsia="es-MX"/>
              </w:rPr>
              <w:t xml:space="preserve"> XIX</w:t>
            </w:r>
          </w:p>
        </w:tc>
        <w:tc>
          <w:tcPr>
            <w:tcW w:w="986" w:type="dxa"/>
            <w:tcBorders>
              <w:top w:val="nil"/>
              <w:left w:val="nil"/>
              <w:bottom w:val="single" w:sz="4" w:space="0" w:color="auto"/>
              <w:right w:val="single" w:sz="4" w:space="0" w:color="auto"/>
            </w:tcBorders>
            <w:noWrap/>
            <w:vAlign w:val="center"/>
            <w:hideMark/>
          </w:tcPr>
          <w:p w14:paraId="4E534ECE"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712</w:t>
            </w:r>
          </w:p>
        </w:tc>
        <w:tc>
          <w:tcPr>
            <w:tcW w:w="905" w:type="dxa"/>
            <w:tcBorders>
              <w:top w:val="nil"/>
              <w:left w:val="nil"/>
              <w:bottom w:val="single" w:sz="4" w:space="0" w:color="auto"/>
              <w:right w:val="single" w:sz="4" w:space="0" w:color="auto"/>
            </w:tcBorders>
            <w:noWrap/>
            <w:vAlign w:val="center"/>
            <w:hideMark/>
          </w:tcPr>
          <w:p w14:paraId="6D03115F"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712</w:t>
            </w:r>
          </w:p>
        </w:tc>
        <w:tc>
          <w:tcPr>
            <w:tcW w:w="1360" w:type="dxa"/>
            <w:gridSpan w:val="2"/>
            <w:tcBorders>
              <w:top w:val="nil"/>
              <w:left w:val="nil"/>
              <w:bottom w:val="single" w:sz="4" w:space="0" w:color="auto"/>
              <w:right w:val="single" w:sz="4" w:space="0" w:color="auto"/>
            </w:tcBorders>
            <w:noWrap/>
            <w:vAlign w:val="center"/>
            <w:hideMark/>
          </w:tcPr>
          <w:p w14:paraId="29BE4FDE"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01B7C843"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060BB406"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9</w:t>
            </w:r>
          </w:p>
        </w:tc>
        <w:tc>
          <w:tcPr>
            <w:tcW w:w="3982" w:type="dxa"/>
            <w:tcBorders>
              <w:top w:val="nil"/>
              <w:left w:val="nil"/>
              <w:bottom w:val="single" w:sz="4" w:space="0" w:color="auto"/>
              <w:right w:val="single" w:sz="4" w:space="0" w:color="auto"/>
            </w:tcBorders>
            <w:noWrap/>
            <w:vAlign w:val="center"/>
            <w:hideMark/>
          </w:tcPr>
          <w:p w14:paraId="0A060201"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Casa de la Música</w:t>
            </w:r>
          </w:p>
        </w:tc>
        <w:tc>
          <w:tcPr>
            <w:tcW w:w="986" w:type="dxa"/>
            <w:tcBorders>
              <w:top w:val="nil"/>
              <w:left w:val="nil"/>
              <w:bottom w:val="single" w:sz="4" w:space="0" w:color="auto"/>
              <w:right w:val="single" w:sz="4" w:space="0" w:color="auto"/>
            </w:tcBorders>
            <w:noWrap/>
            <w:vAlign w:val="center"/>
            <w:hideMark/>
          </w:tcPr>
          <w:p w14:paraId="2387A034"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c>
          <w:tcPr>
            <w:tcW w:w="905" w:type="dxa"/>
            <w:tcBorders>
              <w:top w:val="nil"/>
              <w:left w:val="nil"/>
              <w:bottom w:val="single" w:sz="4" w:space="0" w:color="auto"/>
              <w:right w:val="single" w:sz="4" w:space="0" w:color="auto"/>
            </w:tcBorders>
            <w:noWrap/>
            <w:vAlign w:val="center"/>
            <w:hideMark/>
          </w:tcPr>
          <w:p w14:paraId="2519BB71"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c>
          <w:tcPr>
            <w:tcW w:w="1360" w:type="dxa"/>
            <w:gridSpan w:val="2"/>
            <w:tcBorders>
              <w:top w:val="nil"/>
              <w:left w:val="nil"/>
              <w:bottom w:val="single" w:sz="4" w:space="0" w:color="auto"/>
              <w:right w:val="single" w:sz="4" w:space="0" w:color="auto"/>
            </w:tcBorders>
            <w:noWrap/>
            <w:vAlign w:val="center"/>
            <w:hideMark/>
          </w:tcPr>
          <w:p w14:paraId="67389BA4"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51740EFC"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028A521D"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10</w:t>
            </w:r>
          </w:p>
        </w:tc>
        <w:tc>
          <w:tcPr>
            <w:tcW w:w="3982" w:type="dxa"/>
            <w:tcBorders>
              <w:top w:val="nil"/>
              <w:left w:val="nil"/>
              <w:bottom w:val="single" w:sz="4" w:space="0" w:color="auto"/>
              <w:right w:val="single" w:sz="4" w:space="0" w:color="auto"/>
            </w:tcBorders>
            <w:noWrap/>
            <w:vAlign w:val="center"/>
            <w:hideMark/>
          </w:tcPr>
          <w:p w14:paraId="0F7CD69E"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Faro a Colón</w:t>
            </w:r>
          </w:p>
        </w:tc>
        <w:tc>
          <w:tcPr>
            <w:tcW w:w="986" w:type="dxa"/>
            <w:tcBorders>
              <w:top w:val="nil"/>
              <w:left w:val="nil"/>
              <w:bottom w:val="single" w:sz="4" w:space="0" w:color="auto"/>
              <w:right w:val="single" w:sz="4" w:space="0" w:color="auto"/>
            </w:tcBorders>
            <w:noWrap/>
            <w:vAlign w:val="center"/>
            <w:hideMark/>
          </w:tcPr>
          <w:p w14:paraId="434218BA"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4,010</w:t>
            </w:r>
          </w:p>
        </w:tc>
        <w:tc>
          <w:tcPr>
            <w:tcW w:w="905" w:type="dxa"/>
            <w:tcBorders>
              <w:top w:val="nil"/>
              <w:left w:val="nil"/>
              <w:bottom w:val="single" w:sz="4" w:space="0" w:color="auto"/>
              <w:right w:val="single" w:sz="4" w:space="0" w:color="auto"/>
            </w:tcBorders>
            <w:noWrap/>
            <w:vAlign w:val="center"/>
            <w:hideMark/>
          </w:tcPr>
          <w:p w14:paraId="59BB65AA"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4,023</w:t>
            </w:r>
          </w:p>
        </w:tc>
        <w:tc>
          <w:tcPr>
            <w:tcW w:w="1360" w:type="dxa"/>
            <w:gridSpan w:val="2"/>
            <w:tcBorders>
              <w:top w:val="nil"/>
              <w:left w:val="nil"/>
              <w:bottom w:val="single" w:sz="4" w:space="0" w:color="auto"/>
              <w:right w:val="single" w:sz="4" w:space="0" w:color="auto"/>
            </w:tcBorders>
            <w:noWrap/>
            <w:vAlign w:val="center"/>
            <w:hideMark/>
          </w:tcPr>
          <w:p w14:paraId="05380713"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13</w:t>
            </w:r>
          </w:p>
        </w:tc>
      </w:tr>
      <w:tr w:rsidR="00431E7F" w:rsidRPr="0028345D" w14:paraId="0EC55FA0"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6C6FC464"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11</w:t>
            </w:r>
          </w:p>
        </w:tc>
        <w:tc>
          <w:tcPr>
            <w:tcW w:w="3982" w:type="dxa"/>
            <w:tcBorders>
              <w:top w:val="nil"/>
              <w:left w:val="nil"/>
              <w:bottom w:val="single" w:sz="4" w:space="0" w:color="auto"/>
              <w:right w:val="single" w:sz="4" w:space="0" w:color="auto"/>
            </w:tcBorders>
            <w:noWrap/>
            <w:vAlign w:val="center"/>
            <w:hideMark/>
          </w:tcPr>
          <w:p w14:paraId="16CE3148"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Casa Fuerte Juan Ponce de León</w:t>
            </w:r>
          </w:p>
        </w:tc>
        <w:tc>
          <w:tcPr>
            <w:tcW w:w="986" w:type="dxa"/>
            <w:tcBorders>
              <w:top w:val="nil"/>
              <w:left w:val="nil"/>
              <w:bottom w:val="single" w:sz="4" w:space="0" w:color="auto"/>
              <w:right w:val="single" w:sz="4" w:space="0" w:color="auto"/>
            </w:tcBorders>
            <w:noWrap/>
            <w:vAlign w:val="center"/>
            <w:hideMark/>
          </w:tcPr>
          <w:p w14:paraId="7F4561DB"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157</w:t>
            </w:r>
          </w:p>
        </w:tc>
        <w:tc>
          <w:tcPr>
            <w:tcW w:w="905" w:type="dxa"/>
            <w:tcBorders>
              <w:top w:val="nil"/>
              <w:left w:val="nil"/>
              <w:bottom w:val="single" w:sz="4" w:space="0" w:color="auto"/>
              <w:right w:val="single" w:sz="4" w:space="0" w:color="auto"/>
            </w:tcBorders>
            <w:noWrap/>
            <w:vAlign w:val="center"/>
            <w:hideMark/>
          </w:tcPr>
          <w:p w14:paraId="23C8126F"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157</w:t>
            </w:r>
          </w:p>
        </w:tc>
        <w:tc>
          <w:tcPr>
            <w:tcW w:w="1360" w:type="dxa"/>
            <w:gridSpan w:val="2"/>
            <w:tcBorders>
              <w:top w:val="nil"/>
              <w:left w:val="nil"/>
              <w:bottom w:val="single" w:sz="4" w:space="0" w:color="auto"/>
              <w:right w:val="single" w:sz="4" w:space="0" w:color="auto"/>
            </w:tcBorders>
            <w:noWrap/>
            <w:vAlign w:val="center"/>
            <w:hideMark/>
          </w:tcPr>
          <w:p w14:paraId="4D77FA2D"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23E39128"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44F23758"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12</w:t>
            </w:r>
          </w:p>
        </w:tc>
        <w:tc>
          <w:tcPr>
            <w:tcW w:w="3982" w:type="dxa"/>
            <w:tcBorders>
              <w:top w:val="nil"/>
              <w:left w:val="nil"/>
              <w:bottom w:val="single" w:sz="4" w:space="0" w:color="auto"/>
              <w:right w:val="single" w:sz="4" w:space="0" w:color="auto"/>
            </w:tcBorders>
            <w:noWrap/>
            <w:vAlign w:val="center"/>
            <w:hideMark/>
          </w:tcPr>
          <w:p w14:paraId="1B4209FB"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Monumento a los Héroes de la Restauración</w:t>
            </w:r>
          </w:p>
        </w:tc>
        <w:tc>
          <w:tcPr>
            <w:tcW w:w="986" w:type="dxa"/>
            <w:tcBorders>
              <w:top w:val="nil"/>
              <w:left w:val="nil"/>
              <w:bottom w:val="single" w:sz="4" w:space="0" w:color="auto"/>
              <w:right w:val="single" w:sz="4" w:space="0" w:color="auto"/>
            </w:tcBorders>
            <w:noWrap/>
            <w:vAlign w:val="center"/>
            <w:hideMark/>
          </w:tcPr>
          <w:p w14:paraId="4F85A1F2"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95</w:t>
            </w:r>
          </w:p>
        </w:tc>
        <w:tc>
          <w:tcPr>
            <w:tcW w:w="905" w:type="dxa"/>
            <w:tcBorders>
              <w:top w:val="nil"/>
              <w:left w:val="nil"/>
              <w:bottom w:val="single" w:sz="4" w:space="0" w:color="auto"/>
              <w:right w:val="single" w:sz="4" w:space="0" w:color="auto"/>
            </w:tcBorders>
            <w:noWrap/>
            <w:vAlign w:val="center"/>
            <w:hideMark/>
          </w:tcPr>
          <w:p w14:paraId="54A2B0DB"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122</w:t>
            </w:r>
          </w:p>
        </w:tc>
        <w:tc>
          <w:tcPr>
            <w:tcW w:w="1360" w:type="dxa"/>
            <w:gridSpan w:val="2"/>
            <w:tcBorders>
              <w:top w:val="nil"/>
              <w:left w:val="nil"/>
              <w:bottom w:val="single" w:sz="4" w:space="0" w:color="auto"/>
              <w:right w:val="single" w:sz="4" w:space="0" w:color="auto"/>
            </w:tcBorders>
            <w:noWrap/>
            <w:vAlign w:val="center"/>
            <w:hideMark/>
          </w:tcPr>
          <w:p w14:paraId="0067A9A3"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27</w:t>
            </w:r>
          </w:p>
        </w:tc>
      </w:tr>
      <w:tr w:rsidR="00431E7F" w:rsidRPr="0028345D" w14:paraId="1940E56B"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6C44752F"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13</w:t>
            </w:r>
          </w:p>
        </w:tc>
        <w:tc>
          <w:tcPr>
            <w:tcW w:w="3982" w:type="dxa"/>
            <w:tcBorders>
              <w:top w:val="nil"/>
              <w:left w:val="nil"/>
              <w:bottom w:val="single" w:sz="4" w:space="0" w:color="auto"/>
              <w:right w:val="single" w:sz="4" w:space="0" w:color="auto"/>
            </w:tcBorders>
            <w:noWrap/>
            <w:vAlign w:val="center"/>
            <w:hideMark/>
          </w:tcPr>
          <w:p w14:paraId="19508982"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Centro Cultural y Museo Horacio Vásquez</w:t>
            </w:r>
          </w:p>
        </w:tc>
        <w:tc>
          <w:tcPr>
            <w:tcW w:w="986" w:type="dxa"/>
            <w:tcBorders>
              <w:top w:val="nil"/>
              <w:left w:val="nil"/>
              <w:bottom w:val="single" w:sz="4" w:space="0" w:color="auto"/>
              <w:right w:val="single" w:sz="4" w:space="0" w:color="auto"/>
            </w:tcBorders>
            <w:noWrap/>
            <w:vAlign w:val="center"/>
            <w:hideMark/>
          </w:tcPr>
          <w:p w14:paraId="41B7F666"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100</w:t>
            </w:r>
          </w:p>
        </w:tc>
        <w:tc>
          <w:tcPr>
            <w:tcW w:w="905" w:type="dxa"/>
            <w:tcBorders>
              <w:top w:val="nil"/>
              <w:left w:val="nil"/>
              <w:bottom w:val="single" w:sz="4" w:space="0" w:color="auto"/>
              <w:right w:val="single" w:sz="4" w:space="0" w:color="auto"/>
            </w:tcBorders>
            <w:noWrap/>
            <w:vAlign w:val="center"/>
            <w:hideMark/>
          </w:tcPr>
          <w:p w14:paraId="49748D68"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100</w:t>
            </w:r>
          </w:p>
        </w:tc>
        <w:tc>
          <w:tcPr>
            <w:tcW w:w="1360" w:type="dxa"/>
            <w:gridSpan w:val="2"/>
            <w:tcBorders>
              <w:top w:val="nil"/>
              <w:left w:val="nil"/>
              <w:bottom w:val="single" w:sz="4" w:space="0" w:color="auto"/>
              <w:right w:val="single" w:sz="4" w:space="0" w:color="auto"/>
            </w:tcBorders>
            <w:noWrap/>
            <w:vAlign w:val="center"/>
            <w:hideMark/>
          </w:tcPr>
          <w:p w14:paraId="1761AD45"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5C47F4AE"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69ADF9EF"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14</w:t>
            </w:r>
          </w:p>
        </w:tc>
        <w:tc>
          <w:tcPr>
            <w:tcW w:w="3982" w:type="dxa"/>
            <w:tcBorders>
              <w:top w:val="nil"/>
              <w:left w:val="nil"/>
              <w:bottom w:val="single" w:sz="4" w:space="0" w:color="auto"/>
              <w:right w:val="single" w:sz="4" w:space="0" w:color="auto"/>
            </w:tcBorders>
            <w:noWrap/>
            <w:vAlign w:val="center"/>
            <w:hideMark/>
          </w:tcPr>
          <w:p w14:paraId="525A2B47"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26 de Julio</w:t>
            </w:r>
          </w:p>
        </w:tc>
        <w:tc>
          <w:tcPr>
            <w:tcW w:w="986" w:type="dxa"/>
            <w:tcBorders>
              <w:top w:val="nil"/>
              <w:left w:val="nil"/>
              <w:bottom w:val="single" w:sz="4" w:space="0" w:color="auto"/>
              <w:right w:val="single" w:sz="4" w:space="0" w:color="auto"/>
            </w:tcBorders>
            <w:noWrap/>
            <w:vAlign w:val="center"/>
            <w:hideMark/>
          </w:tcPr>
          <w:p w14:paraId="683B1A62"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95</w:t>
            </w:r>
          </w:p>
        </w:tc>
        <w:tc>
          <w:tcPr>
            <w:tcW w:w="905" w:type="dxa"/>
            <w:tcBorders>
              <w:top w:val="nil"/>
              <w:left w:val="nil"/>
              <w:bottom w:val="single" w:sz="4" w:space="0" w:color="auto"/>
              <w:right w:val="single" w:sz="4" w:space="0" w:color="auto"/>
            </w:tcBorders>
            <w:noWrap/>
            <w:vAlign w:val="center"/>
            <w:hideMark/>
          </w:tcPr>
          <w:p w14:paraId="3E700867"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95</w:t>
            </w:r>
          </w:p>
        </w:tc>
        <w:tc>
          <w:tcPr>
            <w:tcW w:w="1360" w:type="dxa"/>
            <w:gridSpan w:val="2"/>
            <w:tcBorders>
              <w:top w:val="nil"/>
              <w:left w:val="nil"/>
              <w:bottom w:val="single" w:sz="4" w:space="0" w:color="auto"/>
              <w:right w:val="single" w:sz="4" w:space="0" w:color="auto"/>
            </w:tcBorders>
            <w:noWrap/>
            <w:vAlign w:val="center"/>
            <w:hideMark/>
          </w:tcPr>
          <w:p w14:paraId="6AFF3959"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4F7C0F54" w14:textId="77777777" w:rsidTr="00431E7F">
        <w:trPr>
          <w:trHeight w:val="312"/>
        </w:trPr>
        <w:tc>
          <w:tcPr>
            <w:tcW w:w="833" w:type="dxa"/>
            <w:tcBorders>
              <w:top w:val="nil"/>
              <w:left w:val="single" w:sz="4" w:space="0" w:color="auto"/>
              <w:bottom w:val="single" w:sz="4" w:space="0" w:color="auto"/>
              <w:right w:val="single" w:sz="4" w:space="0" w:color="auto"/>
            </w:tcBorders>
            <w:noWrap/>
            <w:vAlign w:val="center"/>
            <w:hideMark/>
          </w:tcPr>
          <w:p w14:paraId="4F82A009"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15</w:t>
            </w:r>
          </w:p>
        </w:tc>
        <w:tc>
          <w:tcPr>
            <w:tcW w:w="3982" w:type="dxa"/>
            <w:tcBorders>
              <w:top w:val="nil"/>
              <w:left w:val="nil"/>
              <w:bottom w:val="single" w:sz="4" w:space="0" w:color="auto"/>
              <w:right w:val="single" w:sz="4" w:space="0" w:color="auto"/>
            </w:tcBorders>
            <w:noWrap/>
            <w:vAlign w:val="center"/>
            <w:hideMark/>
          </w:tcPr>
          <w:p w14:paraId="61425787" w14:textId="77777777" w:rsidR="00431E7F" w:rsidRPr="0028345D" w:rsidRDefault="00431E7F" w:rsidP="00431E7F">
            <w:pPr>
              <w:spacing w:after="0" w:line="240" w:lineRule="auto"/>
              <w:rPr>
                <w:rFonts w:eastAsia="Times New Roman"/>
                <w:spacing w:val="0"/>
                <w:sz w:val="22"/>
                <w:szCs w:val="22"/>
                <w:lang w:val="es-MX" w:eastAsia="es-MX"/>
              </w:rPr>
            </w:pPr>
            <w:r w:rsidRPr="0028345D">
              <w:rPr>
                <w:rFonts w:eastAsia="Times New Roman"/>
                <w:spacing w:val="0"/>
                <w:sz w:val="22"/>
                <w:szCs w:val="22"/>
                <w:lang w:val="es-MX" w:eastAsia="es-MX"/>
              </w:rPr>
              <w:t>Museo Fortaleza San Felipe</w:t>
            </w:r>
          </w:p>
        </w:tc>
        <w:tc>
          <w:tcPr>
            <w:tcW w:w="986" w:type="dxa"/>
            <w:tcBorders>
              <w:top w:val="nil"/>
              <w:left w:val="nil"/>
              <w:bottom w:val="single" w:sz="4" w:space="0" w:color="auto"/>
              <w:right w:val="single" w:sz="4" w:space="0" w:color="auto"/>
            </w:tcBorders>
            <w:noWrap/>
            <w:vAlign w:val="center"/>
            <w:hideMark/>
          </w:tcPr>
          <w:p w14:paraId="4924C337"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151</w:t>
            </w:r>
          </w:p>
        </w:tc>
        <w:tc>
          <w:tcPr>
            <w:tcW w:w="905" w:type="dxa"/>
            <w:tcBorders>
              <w:top w:val="nil"/>
              <w:left w:val="nil"/>
              <w:bottom w:val="single" w:sz="4" w:space="0" w:color="auto"/>
              <w:right w:val="single" w:sz="4" w:space="0" w:color="auto"/>
            </w:tcBorders>
            <w:noWrap/>
            <w:vAlign w:val="center"/>
            <w:hideMark/>
          </w:tcPr>
          <w:p w14:paraId="2261E169"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151</w:t>
            </w:r>
          </w:p>
        </w:tc>
        <w:tc>
          <w:tcPr>
            <w:tcW w:w="1360" w:type="dxa"/>
            <w:gridSpan w:val="2"/>
            <w:tcBorders>
              <w:top w:val="nil"/>
              <w:left w:val="nil"/>
              <w:bottom w:val="single" w:sz="4" w:space="0" w:color="auto"/>
              <w:right w:val="single" w:sz="4" w:space="0" w:color="auto"/>
            </w:tcBorders>
            <w:noWrap/>
            <w:vAlign w:val="center"/>
            <w:hideMark/>
          </w:tcPr>
          <w:p w14:paraId="2011371D" w14:textId="77777777" w:rsidR="00431E7F" w:rsidRPr="0028345D" w:rsidRDefault="00431E7F" w:rsidP="00431E7F">
            <w:pPr>
              <w:spacing w:after="0" w:line="240" w:lineRule="auto"/>
              <w:jc w:val="center"/>
              <w:rPr>
                <w:rFonts w:eastAsia="Times New Roman"/>
                <w:spacing w:val="0"/>
                <w:sz w:val="22"/>
                <w:szCs w:val="22"/>
                <w:lang w:val="es-MX" w:eastAsia="es-MX"/>
              </w:rPr>
            </w:pPr>
            <w:r w:rsidRPr="0028345D">
              <w:rPr>
                <w:rFonts w:eastAsia="Times New Roman"/>
                <w:spacing w:val="0"/>
                <w:sz w:val="22"/>
                <w:szCs w:val="22"/>
                <w:lang w:val="es-MX" w:eastAsia="es-MX"/>
              </w:rPr>
              <w:t>0</w:t>
            </w:r>
          </w:p>
        </w:tc>
      </w:tr>
      <w:tr w:rsidR="00431E7F" w:rsidRPr="0028345D" w14:paraId="73B5A965" w14:textId="77777777" w:rsidTr="00431E7F">
        <w:trPr>
          <w:trHeight w:val="312"/>
        </w:trPr>
        <w:tc>
          <w:tcPr>
            <w:tcW w:w="4815" w:type="dxa"/>
            <w:gridSpan w:val="2"/>
            <w:tcBorders>
              <w:top w:val="single" w:sz="4" w:space="0" w:color="auto"/>
              <w:left w:val="single" w:sz="4" w:space="0" w:color="auto"/>
              <w:bottom w:val="single" w:sz="4" w:space="0" w:color="auto"/>
              <w:right w:val="single" w:sz="4" w:space="0" w:color="auto"/>
            </w:tcBorders>
            <w:shd w:val="clear" w:color="000000" w:fill="011C50"/>
            <w:noWrap/>
            <w:vAlign w:val="center"/>
            <w:hideMark/>
          </w:tcPr>
          <w:p w14:paraId="6564E168" w14:textId="77777777" w:rsidR="00431E7F" w:rsidRPr="0028345D" w:rsidRDefault="00431E7F" w:rsidP="00431E7F">
            <w:pPr>
              <w:spacing w:after="0" w:line="240" w:lineRule="auto"/>
              <w:jc w:val="right"/>
              <w:rPr>
                <w:rFonts w:eastAsia="Times New Roman"/>
                <w:b/>
                <w:bCs/>
                <w:color w:val="FFFFFF"/>
                <w:spacing w:val="0"/>
                <w:sz w:val="22"/>
                <w:szCs w:val="22"/>
                <w:lang w:val="es-MX" w:eastAsia="es-MX"/>
              </w:rPr>
            </w:pPr>
            <w:proofErr w:type="gramStart"/>
            <w:r w:rsidRPr="0028345D">
              <w:rPr>
                <w:rFonts w:eastAsia="Times New Roman"/>
                <w:b/>
                <w:bCs/>
                <w:color w:val="FFFFFF"/>
                <w:spacing w:val="0"/>
                <w:sz w:val="22"/>
                <w:szCs w:val="22"/>
                <w:lang w:val="es-MX" w:eastAsia="es-MX"/>
              </w:rPr>
              <w:t>Total</w:t>
            </w:r>
            <w:proofErr w:type="gramEnd"/>
            <w:r w:rsidRPr="0028345D">
              <w:rPr>
                <w:rFonts w:eastAsia="Times New Roman"/>
                <w:b/>
                <w:bCs/>
                <w:color w:val="FFFFFF"/>
                <w:spacing w:val="0"/>
                <w:sz w:val="22"/>
                <w:szCs w:val="22"/>
                <w:lang w:val="es-MX" w:eastAsia="es-MX"/>
              </w:rPr>
              <w:t xml:space="preserve"> General</w:t>
            </w:r>
          </w:p>
        </w:tc>
        <w:tc>
          <w:tcPr>
            <w:tcW w:w="986" w:type="dxa"/>
            <w:tcBorders>
              <w:top w:val="nil"/>
              <w:left w:val="nil"/>
              <w:bottom w:val="single" w:sz="4" w:space="0" w:color="auto"/>
              <w:right w:val="single" w:sz="4" w:space="0" w:color="auto"/>
            </w:tcBorders>
            <w:shd w:val="clear" w:color="000000" w:fill="011C50"/>
            <w:noWrap/>
            <w:vAlign w:val="center"/>
            <w:hideMark/>
          </w:tcPr>
          <w:p w14:paraId="6A282F17" w14:textId="77777777" w:rsidR="00431E7F" w:rsidRPr="0028345D" w:rsidRDefault="00431E7F"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20,817</w:t>
            </w:r>
          </w:p>
        </w:tc>
        <w:tc>
          <w:tcPr>
            <w:tcW w:w="905" w:type="dxa"/>
            <w:tcBorders>
              <w:top w:val="nil"/>
              <w:left w:val="nil"/>
              <w:bottom w:val="single" w:sz="4" w:space="0" w:color="auto"/>
              <w:right w:val="single" w:sz="4" w:space="0" w:color="auto"/>
            </w:tcBorders>
            <w:shd w:val="clear" w:color="000000" w:fill="011C50"/>
            <w:noWrap/>
            <w:vAlign w:val="center"/>
            <w:hideMark/>
          </w:tcPr>
          <w:p w14:paraId="22A37D2B" w14:textId="37C58229" w:rsidR="00431E7F" w:rsidRPr="0028345D" w:rsidRDefault="00431E7F"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20,8</w:t>
            </w:r>
            <w:r w:rsidR="00F42BB5" w:rsidRPr="0028345D">
              <w:rPr>
                <w:rFonts w:eastAsia="Times New Roman"/>
                <w:b/>
                <w:bCs/>
                <w:color w:val="FFFFFF"/>
                <w:spacing w:val="0"/>
                <w:sz w:val="22"/>
                <w:szCs w:val="22"/>
                <w:lang w:val="es-MX" w:eastAsia="es-MX"/>
              </w:rPr>
              <w:t>85</w:t>
            </w:r>
          </w:p>
        </w:tc>
        <w:tc>
          <w:tcPr>
            <w:tcW w:w="1360" w:type="dxa"/>
            <w:gridSpan w:val="2"/>
            <w:tcBorders>
              <w:top w:val="nil"/>
              <w:left w:val="nil"/>
              <w:bottom w:val="single" w:sz="4" w:space="0" w:color="auto"/>
              <w:right w:val="single" w:sz="4" w:space="0" w:color="auto"/>
            </w:tcBorders>
            <w:shd w:val="clear" w:color="000000" w:fill="011C50"/>
            <w:noWrap/>
            <w:vAlign w:val="center"/>
            <w:hideMark/>
          </w:tcPr>
          <w:p w14:paraId="75059F1A" w14:textId="13708C9F" w:rsidR="00431E7F" w:rsidRPr="0028345D" w:rsidRDefault="00F42BB5" w:rsidP="00431E7F">
            <w:pPr>
              <w:spacing w:after="0" w:line="240" w:lineRule="auto"/>
              <w:jc w:val="center"/>
              <w:rPr>
                <w:rFonts w:eastAsia="Times New Roman"/>
                <w:b/>
                <w:bCs/>
                <w:color w:val="FFFFFF"/>
                <w:spacing w:val="0"/>
                <w:sz w:val="22"/>
                <w:szCs w:val="22"/>
                <w:lang w:val="es-MX" w:eastAsia="es-MX"/>
              </w:rPr>
            </w:pPr>
            <w:r w:rsidRPr="0028345D">
              <w:rPr>
                <w:rFonts w:eastAsia="Times New Roman"/>
                <w:b/>
                <w:bCs/>
                <w:color w:val="FFFFFF"/>
                <w:spacing w:val="0"/>
                <w:sz w:val="22"/>
                <w:szCs w:val="22"/>
                <w:lang w:val="es-MX" w:eastAsia="es-MX"/>
              </w:rPr>
              <w:t>68</w:t>
            </w:r>
          </w:p>
        </w:tc>
      </w:tr>
      <w:tr w:rsidR="00431E7F" w:rsidRPr="00EE47D5" w14:paraId="4C3400B9" w14:textId="77777777" w:rsidTr="00254EF5">
        <w:tblPrEx>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Ex>
        <w:trPr>
          <w:gridAfter w:val="1"/>
          <w:wAfter w:w="60" w:type="dxa"/>
          <w:trHeight w:val="329"/>
        </w:trPr>
        <w:tc>
          <w:tcPr>
            <w:tcW w:w="8006" w:type="dxa"/>
            <w:gridSpan w:val="5"/>
            <w:tcBorders>
              <w:top w:val="nil"/>
              <w:left w:val="nil"/>
              <w:bottom w:val="nil"/>
              <w:right w:val="nil"/>
            </w:tcBorders>
            <w:noWrap/>
            <w:vAlign w:val="center"/>
          </w:tcPr>
          <w:p w14:paraId="2652A942" w14:textId="79CE4334" w:rsidR="00431E7F" w:rsidRPr="0028345D" w:rsidRDefault="00431E7F" w:rsidP="00496F09">
            <w:pPr>
              <w:spacing w:after="0" w:line="240" w:lineRule="auto"/>
              <w:jc w:val="both"/>
              <w:rPr>
                <w:rFonts w:eastAsia="Calibri"/>
                <w:i/>
                <w:iCs/>
                <w:sz w:val="22"/>
                <w:szCs w:val="22"/>
                <w:lang w:val="es-DO"/>
              </w:rPr>
            </w:pPr>
            <w:r w:rsidRPr="0028345D">
              <w:rPr>
                <w:rFonts w:eastAsia="Calibri"/>
                <w:i/>
                <w:iCs/>
                <w:sz w:val="22"/>
                <w:szCs w:val="22"/>
                <w:lang w:val="es-DO"/>
              </w:rPr>
              <w:t xml:space="preserve">Cuadro </w:t>
            </w:r>
            <w:proofErr w:type="gramStart"/>
            <w:r w:rsidRPr="0028345D">
              <w:rPr>
                <w:rFonts w:eastAsia="Calibri"/>
                <w:i/>
                <w:iCs/>
                <w:sz w:val="22"/>
                <w:szCs w:val="22"/>
                <w:lang w:val="es-DO"/>
              </w:rPr>
              <w:t>2</w:t>
            </w:r>
            <w:r w:rsidR="0085599F">
              <w:rPr>
                <w:rFonts w:eastAsia="Calibri"/>
                <w:i/>
                <w:iCs/>
                <w:sz w:val="22"/>
                <w:szCs w:val="22"/>
                <w:lang w:val="es-DO"/>
              </w:rPr>
              <w:t>.</w:t>
            </w:r>
            <w:r w:rsidRPr="0028345D">
              <w:rPr>
                <w:rFonts w:eastAsia="Calibri"/>
                <w:i/>
                <w:iCs/>
                <w:sz w:val="22"/>
                <w:szCs w:val="22"/>
                <w:lang w:val="es-DO"/>
              </w:rPr>
              <w:t>Total</w:t>
            </w:r>
            <w:proofErr w:type="gramEnd"/>
            <w:r w:rsidRPr="0028345D">
              <w:rPr>
                <w:rFonts w:eastAsia="Calibri"/>
                <w:i/>
                <w:iCs/>
                <w:sz w:val="22"/>
                <w:szCs w:val="22"/>
                <w:lang w:val="es-DO"/>
              </w:rPr>
              <w:t xml:space="preserve"> de Bienes de las colecciones de los museos DGM año 2025</w:t>
            </w:r>
          </w:p>
        </w:tc>
      </w:tr>
    </w:tbl>
    <w:p w14:paraId="45700517" w14:textId="77777777" w:rsidR="00E854CD" w:rsidRPr="0085599F" w:rsidRDefault="00E854CD" w:rsidP="00D6320B">
      <w:pPr>
        <w:spacing w:after="0" w:line="360" w:lineRule="auto"/>
        <w:jc w:val="both"/>
        <w:rPr>
          <w:rFonts w:eastAsia="Calibri"/>
          <w:szCs w:val="36"/>
          <w:lang w:val="es-MX"/>
        </w:rPr>
      </w:pPr>
    </w:p>
    <w:p w14:paraId="7B6C388D" w14:textId="6E5B2603" w:rsidR="00106E1D" w:rsidRDefault="00106E1D" w:rsidP="00DB2C88">
      <w:pPr>
        <w:spacing w:line="360" w:lineRule="auto"/>
        <w:jc w:val="both"/>
        <w:rPr>
          <w:rFonts w:eastAsia="Calibri"/>
          <w:szCs w:val="36"/>
          <w:lang w:val="es-DO"/>
        </w:rPr>
      </w:pPr>
      <w:r w:rsidRPr="00106E1D">
        <w:rPr>
          <w:rFonts w:eastAsia="Calibri"/>
          <w:szCs w:val="36"/>
          <w:lang w:val="es-DO"/>
        </w:rPr>
        <w:t>La incorporación de estos bienes a las colecciones de nuestros museos, correspondientes a donaciones realizadas por particulares y al traspaso desde otras instituciones estatales, se realiza cumpliendo con los estándares éticos del Consejo Internacional de Museos (ICOM, por sus siglas en inglés); y la legislación nacional e internacional aplicables.</w:t>
      </w:r>
    </w:p>
    <w:p w14:paraId="51ED1D19" w14:textId="712A3626" w:rsidR="00D6320B" w:rsidRDefault="00D6320B" w:rsidP="00DB2C88">
      <w:pPr>
        <w:spacing w:line="360" w:lineRule="auto"/>
        <w:jc w:val="both"/>
        <w:rPr>
          <w:rFonts w:eastAsia="Calibri"/>
          <w:szCs w:val="36"/>
          <w:lang w:val="es-DO"/>
        </w:rPr>
      </w:pPr>
      <w:r>
        <w:rPr>
          <w:rFonts w:eastAsia="Calibri"/>
          <w:szCs w:val="36"/>
          <w:lang w:val="es-DO"/>
        </w:rPr>
        <w:t xml:space="preserve">Estos </w:t>
      </w:r>
      <w:r w:rsidRPr="00D6320B">
        <w:rPr>
          <w:rFonts w:eastAsia="Calibri"/>
          <w:szCs w:val="36"/>
          <w:lang w:val="es-DO"/>
        </w:rPr>
        <w:t>resultados evidencia</w:t>
      </w:r>
      <w:r>
        <w:rPr>
          <w:rFonts w:eastAsia="Calibri"/>
          <w:szCs w:val="36"/>
          <w:lang w:val="es-DO"/>
        </w:rPr>
        <w:t>n</w:t>
      </w:r>
      <w:r w:rsidRPr="00D6320B">
        <w:rPr>
          <w:rFonts w:eastAsia="Calibri"/>
          <w:szCs w:val="36"/>
          <w:lang w:val="es-DO"/>
        </w:rPr>
        <w:t xml:space="preserve"> un proceso sostenido de fortalecimiento de las colecciones museísticas administradas por la Dirección General de Museos, orientado no solo al incremento cuantitativo de los bienes culturales, sino también a la consolidación de prácticas técnicas y éticas en la gestión del patrimonio cultural mueble. </w:t>
      </w:r>
    </w:p>
    <w:p w14:paraId="1FA4128C" w14:textId="74DB9820" w:rsidR="005A7C73" w:rsidRPr="00D6320B" w:rsidRDefault="00D6320B" w:rsidP="00DB2C88">
      <w:pPr>
        <w:spacing w:line="360" w:lineRule="auto"/>
        <w:jc w:val="both"/>
        <w:rPr>
          <w:rFonts w:eastAsia="Calibri"/>
          <w:szCs w:val="36"/>
          <w:lang w:val="es-DO"/>
        </w:rPr>
      </w:pPr>
      <w:r w:rsidRPr="00D6320B">
        <w:rPr>
          <w:rFonts w:eastAsia="Calibri"/>
          <w:szCs w:val="36"/>
          <w:lang w:val="es-DO"/>
        </w:rPr>
        <w:lastRenderedPageBreak/>
        <w:t>La incorporación de nuevas piezas contribuye a enriquecer la narrativa museológica, ampliar las posibilidades de investigación y fortalecer la oferta expositiva de los museos estatales, impactando de manera directa en el acceso público, la preservación del patrimonio y el cumplimiento de la misión institucional.</w:t>
      </w:r>
    </w:p>
    <w:p w14:paraId="657E71CF" w14:textId="16EE60EB" w:rsidR="00D62B6F" w:rsidRPr="00124FDC" w:rsidRDefault="00D62B6F" w:rsidP="00DB2C88">
      <w:pPr>
        <w:spacing w:line="360" w:lineRule="auto"/>
        <w:jc w:val="center"/>
        <w:rPr>
          <w:rFonts w:eastAsia="Calibri"/>
          <w:b/>
          <w:bCs/>
          <w:szCs w:val="36"/>
          <w:lang w:val="es-DO"/>
        </w:rPr>
      </w:pPr>
      <w:r w:rsidRPr="00124FDC">
        <w:rPr>
          <w:rFonts w:eastAsia="Calibri"/>
          <w:b/>
          <w:bCs/>
          <w:szCs w:val="36"/>
          <w:lang w:val="es-DO"/>
        </w:rPr>
        <w:t>Actualización y digitalización del registro de las colecciones</w:t>
      </w:r>
    </w:p>
    <w:p w14:paraId="07B3D3AA" w14:textId="70BA1A4B" w:rsidR="00AF1407" w:rsidRDefault="00AF1407" w:rsidP="00DB2C88">
      <w:pPr>
        <w:spacing w:line="360" w:lineRule="auto"/>
        <w:jc w:val="both"/>
        <w:rPr>
          <w:rFonts w:eastAsia="Calibri"/>
          <w:szCs w:val="36"/>
          <w:lang w:val="es-DO"/>
        </w:rPr>
      </w:pPr>
      <w:r w:rsidRPr="00AF1407">
        <w:rPr>
          <w:rFonts w:eastAsia="Calibri"/>
          <w:szCs w:val="36"/>
          <w:lang w:val="es-DO"/>
        </w:rPr>
        <w:t>El registro y la catalogación de las colecciones constituyen un componente fundamental de la gestión integral del patrimonio cultural mueble, en tanto permiten documentar de manera normalizada la información física, histórica y contextual de los bienes culturales, facilitando su identificación, control, seguimiento técnico y aprovechamiento con fines de investigación, conservación y difusión.</w:t>
      </w:r>
    </w:p>
    <w:p w14:paraId="690AB138" w14:textId="4013522F" w:rsidR="00CA48CD" w:rsidRDefault="00AF1407" w:rsidP="00DB2C88">
      <w:pPr>
        <w:spacing w:line="360" w:lineRule="auto"/>
        <w:jc w:val="both"/>
        <w:rPr>
          <w:rFonts w:eastAsia="Calibri"/>
          <w:szCs w:val="36"/>
          <w:lang w:val="es-DO"/>
        </w:rPr>
      </w:pPr>
      <w:r w:rsidRPr="00AF1407">
        <w:rPr>
          <w:rFonts w:eastAsia="Calibri"/>
          <w:szCs w:val="36"/>
          <w:lang w:val="es-DO"/>
        </w:rPr>
        <w:t xml:space="preserve">Durante el año 2025, la Dirección General de Museos, a través de la Sección de Manejo de Colecciones, dio continuidad y profundizó el proceso de actualización y digitalización del registro de los bienes culturales pertenecientes a los museos bajo su administración, iniciado en 2023. Las acciones ejecutadas se orientaron a la sistematización de la información existente, la incorporación de nuevos registros, la normalización de datos conforme a criterios técnicos museológicos y la mejora de la trazabilidad de las colecciones. </w:t>
      </w:r>
    </w:p>
    <w:p w14:paraId="5E78D5FA" w14:textId="3F0D9EC8" w:rsidR="00AF1407" w:rsidRPr="00237415" w:rsidRDefault="004D5D47" w:rsidP="00DB2C88">
      <w:pPr>
        <w:spacing w:line="360" w:lineRule="auto"/>
        <w:jc w:val="both"/>
        <w:rPr>
          <w:rFonts w:eastAsia="Calibri"/>
          <w:szCs w:val="36"/>
          <w:highlight w:val="yellow"/>
          <w:lang w:val="es-DO"/>
        </w:rPr>
      </w:pPr>
      <w:r w:rsidRPr="00AF1407">
        <w:rPr>
          <w:rFonts w:eastAsia="Calibri"/>
          <w:szCs w:val="36"/>
          <w:lang w:val="es-DO"/>
        </w:rPr>
        <w:t xml:space="preserve">Este proceso se desarrolla mediante el uso del software especializado </w:t>
      </w:r>
      <w:proofErr w:type="spellStart"/>
      <w:r w:rsidRPr="00AF1407">
        <w:rPr>
          <w:rFonts w:eastAsia="Calibri"/>
          <w:szCs w:val="36"/>
          <w:lang w:val="es-DO"/>
        </w:rPr>
        <w:t>CatalogIt</w:t>
      </w:r>
      <w:proofErr w:type="spellEnd"/>
      <w:r w:rsidRPr="00AF1407">
        <w:rPr>
          <w:rFonts w:eastAsia="Calibri"/>
          <w:szCs w:val="36"/>
          <w:lang w:val="es-DO"/>
        </w:rPr>
        <w:t>, como herramienta institucional para la gestión digital de colecciones</w:t>
      </w:r>
      <w:r w:rsidR="007D6BA1">
        <w:rPr>
          <w:rFonts w:eastAsia="Calibri"/>
          <w:szCs w:val="36"/>
          <w:lang w:val="es-DO"/>
        </w:rPr>
        <w:t xml:space="preserve">, contribuyendo </w:t>
      </w:r>
      <w:r w:rsidR="00AF1407" w:rsidRPr="00AF1407">
        <w:rPr>
          <w:rFonts w:eastAsia="Calibri"/>
          <w:szCs w:val="36"/>
          <w:lang w:val="es-DO"/>
        </w:rPr>
        <w:t xml:space="preserve">directamente al fortalecimiento de la gestión museística, al soporte de las decisiones técnicas y a la mejora de la </w:t>
      </w:r>
      <w:r w:rsidR="00AF1407" w:rsidRPr="00DD6D5B">
        <w:rPr>
          <w:rFonts w:eastAsia="Calibri"/>
          <w:szCs w:val="36"/>
          <w:lang w:val="es-DO"/>
        </w:rPr>
        <w:t>calidad de los servicios ofrecidos por los museos, en coherencia con los objetivos institucionales de preservación y puesta en valor del patrimonio cultural mueble.</w:t>
      </w:r>
    </w:p>
    <w:tbl>
      <w:tblPr>
        <w:tblW w:w="8036" w:type="dxa"/>
        <w:tblInd w:w="-10" w:type="dxa"/>
        <w:tblCellMar>
          <w:left w:w="70" w:type="dxa"/>
          <w:right w:w="70" w:type="dxa"/>
        </w:tblCellMar>
        <w:tblLook w:val="04A0" w:firstRow="1" w:lastRow="0" w:firstColumn="1" w:lastColumn="0" w:noHBand="0" w:noVBand="1"/>
      </w:tblPr>
      <w:tblGrid>
        <w:gridCol w:w="572"/>
        <w:gridCol w:w="2977"/>
        <w:gridCol w:w="850"/>
        <w:gridCol w:w="635"/>
        <w:gridCol w:w="80"/>
        <w:gridCol w:w="658"/>
        <w:gridCol w:w="58"/>
        <w:gridCol w:w="577"/>
        <w:gridCol w:w="139"/>
        <w:gridCol w:w="703"/>
        <w:gridCol w:w="13"/>
        <w:gridCol w:w="761"/>
        <w:gridCol w:w="13"/>
      </w:tblGrid>
      <w:tr w:rsidR="002B429D" w:rsidRPr="00806031" w14:paraId="0E1057EC" w14:textId="77777777" w:rsidTr="009935E3">
        <w:trPr>
          <w:trHeight w:val="377"/>
          <w:tblHeader/>
        </w:trPr>
        <w:tc>
          <w:tcPr>
            <w:tcW w:w="572" w:type="dxa"/>
            <w:vMerge w:val="restart"/>
            <w:tcBorders>
              <w:top w:val="single" w:sz="4" w:space="0" w:color="auto"/>
              <w:left w:val="single" w:sz="4" w:space="0" w:color="auto"/>
              <w:right w:val="single" w:sz="4" w:space="0" w:color="auto"/>
            </w:tcBorders>
            <w:shd w:val="clear" w:color="000000" w:fill="142F62"/>
            <w:vAlign w:val="center"/>
            <w:hideMark/>
          </w:tcPr>
          <w:p w14:paraId="0EADE60C" w14:textId="6345D784" w:rsidR="002B429D" w:rsidRPr="00806031" w:rsidRDefault="002B429D" w:rsidP="00563C7C">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lastRenderedPageBreak/>
              <w:t>Ítem</w:t>
            </w:r>
          </w:p>
        </w:tc>
        <w:tc>
          <w:tcPr>
            <w:tcW w:w="2977" w:type="dxa"/>
            <w:vMerge w:val="restart"/>
            <w:tcBorders>
              <w:top w:val="single" w:sz="4" w:space="0" w:color="auto"/>
              <w:left w:val="single" w:sz="4" w:space="0" w:color="auto"/>
              <w:right w:val="single" w:sz="4" w:space="0" w:color="auto"/>
            </w:tcBorders>
            <w:shd w:val="clear" w:color="000000" w:fill="142F62"/>
            <w:vAlign w:val="center"/>
            <w:hideMark/>
          </w:tcPr>
          <w:p w14:paraId="405F206B" w14:textId="77777777" w:rsidR="002B429D" w:rsidRPr="00806031" w:rsidRDefault="002B429D" w:rsidP="00806031">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t>Museo</w:t>
            </w:r>
          </w:p>
        </w:tc>
        <w:tc>
          <w:tcPr>
            <w:tcW w:w="850" w:type="dxa"/>
            <w:vMerge w:val="restart"/>
            <w:tcBorders>
              <w:top w:val="single" w:sz="4" w:space="0" w:color="auto"/>
              <w:left w:val="single" w:sz="4" w:space="0" w:color="auto"/>
              <w:right w:val="single" w:sz="4" w:space="0" w:color="auto"/>
            </w:tcBorders>
            <w:shd w:val="clear" w:color="000000" w:fill="142F62"/>
            <w:vAlign w:val="center"/>
            <w:hideMark/>
          </w:tcPr>
          <w:p w14:paraId="1C6B7C58" w14:textId="17E2A712" w:rsidR="002B429D" w:rsidRPr="00806031" w:rsidRDefault="002B429D" w:rsidP="00806031">
            <w:pPr>
              <w:spacing w:after="0" w:line="240" w:lineRule="auto"/>
              <w:jc w:val="center"/>
              <w:rPr>
                <w:rFonts w:eastAsia="Times New Roman"/>
                <w:b/>
                <w:bCs/>
                <w:color w:val="FFFFFF"/>
                <w:spacing w:val="0"/>
                <w:sz w:val="20"/>
                <w:szCs w:val="20"/>
                <w:lang w:val="es-MX" w:eastAsia="es-MX"/>
              </w:rPr>
            </w:pPr>
            <w:proofErr w:type="gramStart"/>
            <w:r w:rsidRPr="00806031">
              <w:rPr>
                <w:rFonts w:eastAsia="Times New Roman"/>
                <w:b/>
                <w:bCs/>
                <w:color w:val="FFFFFF"/>
                <w:spacing w:val="0"/>
                <w:sz w:val="20"/>
                <w:szCs w:val="20"/>
                <w:lang w:val="es-MX" w:eastAsia="es-MX"/>
              </w:rPr>
              <w:t>Total</w:t>
            </w:r>
            <w:proofErr w:type="gramEnd"/>
            <w:r w:rsidRPr="00806031">
              <w:rPr>
                <w:rFonts w:eastAsia="Times New Roman"/>
                <w:b/>
                <w:bCs/>
                <w:color w:val="FFFFFF"/>
                <w:spacing w:val="0"/>
                <w:sz w:val="20"/>
                <w:szCs w:val="20"/>
                <w:lang w:val="es-MX" w:eastAsia="es-MX"/>
              </w:rPr>
              <w:t xml:space="preserve"> Bienes</w:t>
            </w:r>
          </w:p>
        </w:tc>
        <w:tc>
          <w:tcPr>
            <w:tcW w:w="2863" w:type="dxa"/>
            <w:gridSpan w:val="8"/>
            <w:tcBorders>
              <w:top w:val="single" w:sz="4" w:space="0" w:color="auto"/>
              <w:left w:val="nil"/>
              <w:bottom w:val="single" w:sz="4" w:space="0" w:color="auto"/>
              <w:right w:val="single" w:sz="4" w:space="0" w:color="auto"/>
            </w:tcBorders>
            <w:shd w:val="clear" w:color="000000" w:fill="142F62"/>
            <w:vAlign w:val="center"/>
            <w:hideMark/>
          </w:tcPr>
          <w:p w14:paraId="628DFCC8" w14:textId="77777777" w:rsidR="002B429D" w:rsidRPr="00806031" w:rsidRDefault="002B429D" w:rsidP="00806031">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t>Cantidad de bienes digitalizados</w:t>
            </w:r>
          </w:p>
        </w:tc>
        <w:tc>
          <w:tcPr>
            <w:tcW w:w="774" w:type="dxa"/>
            <w:gridSpan w:val="2"/>
            <w:vMerge w:val="restart"/>
            <w:tcBorders>
              <w:top w:val="single" w:sz="4" w:space="0" w:color="auto"/>
              <w:left w:val="single" w:sz="4" w:space="0" w:color="auto"/>
              <w:right w:val="single" w:sz="4" w:space="0" w:color="auto"/>
            </w:tcBorders>
            <w:shd w:val="clear" w:color="000000" w:fill="142F62"/>
            <w:vAlign w:val="center"/>
            <w:hideMark/>
          </w:tcPr>
          <w:p w14:paraId="7C276310" w14:textId="77777777" w:rsidR="002B429D" w:rsidRPr="00806031" w:rsidRDefault="002B429D" w:rsidP="00806031">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t>% de Avance</w:t>
            </w:r>
          </w:p>
        </w:tc>
      </w:tr>
      <w:tr w:rsidR="002B429D" w:rsidRPr="00806031" w14:paraId="74711C1A" w14:textId="77777777" w:rsidTr="009935E3">
        <w:trPr>
          <w:trHeight w:val="58"/>
          <w:tblHeader/>
        </w:trPr>
        <w:tc>
          <w:tcPr>
            <w:tcW w:w="572" w:type="dxa"/>
            <w:vMerge/>
            <w:tcBorders>
              <w:left w:val="single" w:sz="4" w:space="0" w:color="auto"/>
              <w:bottom w:val="single" w:sz="4" w:space="0" w:color="auto"/>
              <w:right w:val="single" w:sz="4" w:space="0" w:color="auto"/>
            </w:tcBorders>
            <w:shd w:val="clear" w:color="000000" w:fill="142F62"/>
            <w:vAlign w:val="center"/>
          </w:tcPr>
          <w:p w14:paraId="57929E6C" w14:textId="77777777" w:rsidR="002B429D" w:rsidRPr="00806031" w:rsidRDefault="002B429D" w:rsidP="00563C7C">
            <w:pPr>
              <w:spacing w:after="0" w:line="240" w:lineRule="auto"/>
              <w:jc w:val="center"/>
              <w:rPr>
                <w:rFonts w:eastAsia="Times New Roman"/>
                <w:b/>
                <w:bCs/>
                <w:color w:val="FFFFFF"/>
                <w:spacing w:val="0"/>
                <w:sz w:val="20"/>
                <w:szCs w:val="20"/>
                <w:lang w:val="es-MX" w:eastAsia="es-MX"/>
              </w:rPr>
            </w:pPr>
          </w:p>
        </w:tc>
        <w:tc>
          <w:tcPr>
            <w:tcW w:w="2977" w:type="dxa"/>
            <w:vMerge/>
            <w:tcBorders>
              <w:left w:val="single" w:sz="4" w:space="0" w:color="auto"/>
              <w:bottom w:val="single" w:sz="4" w:space="0" w:color="auto"/>
              <w:right w:val="single" w:sz="4" w:space="0" w:color="auto"/>
            </w:tcBorders>
            <w:shd w:val="clear" w:color="000000" w:fill="142F62"/>
            <w:vAlign w:val="center"/>
          </w:tcPr>
          <w:p w14:paraId="2ED46EDA" w14:textId="77777777" w:rsidR="002B429D" w:rsidRPr="00806031" w:rsidRDefault="002B429D" w:rsidP="00806031">
            <w:pPr>
              <w:spacing w:after="0" w:line="240" w:lineRule="auto"/>
              <w:jc w:val="center"/>
              <w:rPr>
                <w:rFonts w:eastAsia="Times New Roman"/>
                <w:b/>
                <w:bCs/>
                <w:color w:val="FFFFFF"/>
                <w:spacing w:val="0"/>
                <w:sz w:val="20"/>
                <w:szCs w:val="20"/>
                <w:lang w:val="es-MX" w:eastAsia="es-MX"/>
              </w:rPr>
            </w:pPr>
          </w:p>
        </w:tc>
        <w:tc>
          <w:tcPr>
            <w:tcW w:w="850" w:type="dxa"/>
            <w:vMerge/>
            <w:tcBorders>
              <w:left w:val="single" w:sz="4" w:space="0" w:color="auto"/>
              <w:bottom w:val="single" w:sz="4" w:space="0" w:color="auto"/>
              <w:right w:val="single" w:sz="4" w:space="0" w:color="auto"/>
            </w:tcBorders>
            <w:shd w:val="clear" w:color="000000" w:fill="142F62"/>
            <w:vAlign w:val="center"/>
          </w:tcPr>
          <w:p w14:paraId="26AD5DF7" w14:textId="77777777" w:rsidR="002B429D" w:rsidRPr="00806031" w:rsidRDefault="002B429D" w:rsidP="00806031">
            <w:pPr>
              <w:spacing w:after="0" w:line="240" w:lineRule="auto"/>
              <w:jc w:val="center"/>
              <w:rPr>
                <w:rFonts w:eastAsia="Times New Roman"/>
                <w:b/>
                <w:bCs/>
                <w:color w:val="FFFFFF"/>
                <w:spacing w:val="0"/>
                <w:sz w:val="20"/>
                <w:szCs w:val="20"/>
                <w:lang w:val="es-MX" w:eastAsia="es-MX"/>
              </w:rPr>
            </w:pPr>
          </w:p>
        </w:tc>
        <w:tc>
          <w:tcPr>
            <w:tcW w:w="715" w:type="dxa"/>
            <w:gridSpan w:val="2"/>
            <w:tcBorders>
              <w:top w:val="single" w:sz="4" w:space="0" w:color="auto"/>
              <w:left w:val="nil"/>
              <w:bottom w:val="single" w:sz="4" w:space="0" w:color="auto"/>
              <w:right w:val="single" w:sz="4" w:space="0" w:color="auto"/>
            </w:tcBorders>
            <w:shd w:val="clear" w:color="000000" w:fill="142F62"/>
            <w:vAlign w:val="center"/>
          </w:tcPr>
          <w:p w14:paraId="6E936AFA" w14:textId="457E2B1C" w:rsidR="002B429D" w:rsidRPr="00806031" w:rsidRDefault="002B429D" w:rsidP="00806031">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t>2023</w:t>
            </w:r>
          </w:p>
        </w:tc>
        <w:tc>
          <w:tcPr>
            <w:tcW w:w="716" w:type="dxa"/>
            <w:gridSpan w:val="2"/>
            <w:tcBorders>
              <w:top w:val="single" w:sz="4" w:space="0" w:color="auto"/>
              <w:left w:val="nil"/>
              <w:bottom w:val="single" w:sz="4" w:space="0" w:color="auto"/>
              <w:right w:val="single" w:sz="4" w:space="0" w:color="auto"/>
            </w:tcBorders>
            <w:shd w:val="clear" w:color="000000" w:fill="142F62"/>
            <w:vAlign w:val="center"/>
          </w:tcPr>
          <w:p w14:paraId="287BF4D4" w14:textId="048C36AC" w:rsidR="002B429D" w:rsidRPr="00806031" w:rsidRDefault="002B429D" w:rsidP="00806031">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t>2024</w:t>
            </w:r>
          </w:p>
        </w:tc>
        <w:tc>
          <w:tcPr>
            <w:tcW w:w="716" w:type="dxa"/>
            <w:gridSpan w:val="2"/>
            <w:tcBorders>
              <w:top w:val="single" w:sz="4" w:space="0" w:color="auto"/>
              <w:left w:val="nil"/>
              <w:bottom w:val="single" w:sz="4" w:space="0" w:color="auto"/>
              <w:right w:val="single" w:sz="4" w:space="0" w:color="auto"/>
            </w:tcBorders>
            <w:shd w:val="clear" w:color="000000" w:fill="142F62"/>
            <w:vAlign w:val="center"/>
          </w:tcPr>
          <w:p w14:paraId="366C342B" w14:textId="13B3BFD3" w:rsidR="002B429D" w:rsidRPr="00806031" w:rsidRDefault="002B429D" w:rsidP="00806031">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t>2025</w:t>
            </w:r>
          </w:p>
        </w:tc>
        <w:tc>
          <w:tcPr>
            <w:tcW w:w="716" w:type="dxa"/>
            <w:gridSpan w:val="2"/>
            <w:tcBorders>
              <w:top w:val="single" w:sz="4" w:space="0" w:color="auto"/>
              <w:left w:val="nil"/>
              <w:bottom w:val="single" w:sz="4" w:space="0" w:color="auto"/>
              <w:right w:val="single" w:sz="4" w:space="0" w:color="auto"/>
            </w:tcBorders>
            <w:shd w:val="clear" w:color="000000" w:fill="142F62"/>
            <w:vAlign w:val="center"/>
          </w:tcPr>
          <w:p w14:paraId="63FA8C1E" w14:textId="6E656858" w:rsidR="002B429D" w:rsidRPr="00806031" w:rsidRDefault="002B429D" w:rsidP="00806031">
            <w:pPr>
              <w:spacing w:after="0" w:line="240" w:lineRule="auto"/>
              <w:jc w:val="center"/>
              <w:rPr>
                <w:rFonts w:eastAsia="Times New Roman"/>
                <w:b/>
                <w:bCs/>
                <w:color w:val="FFFFFF"/>
                <w:spacing w:val="0"/>
                <w:sz w:val="20"/>
                <w:szCs w:val="20"/>
                <w:lang w:val="es-MX" w:eastAsia="es-MX"/>
              </w:rPr>
            </w:pPr>
            <w:r w:rsidRPr="00806031">
              <w:rPr>
                <w:rFonts w:eastAsia="Times New Roman"/>
                <w:b/>
                <w:bCs/>
                <w:color w:val="FFFFFF"/>
                <w:spacing w:val="0"/>
                <w:sz w:val="20"/>
                <w:szCs w:val="20"/>
                <w:lang w:val="es-MX" w:eastAsia="es-MX"/>
              </w:rPr>
              <w:t>Total</w:t>
            </w:r>
          </w:p>
        </w:tc>
        <w:tc>
          <w:tcPr>
            <w:tcW w:w="774" w:type="dxa"/>
            <w:gridSpan w:val="2"/>
            <w:vMerge/>
            <w:tcBorders>
              <w:left w:val="single" w:sz="4" w:space="0" w:color="auto"/>
              <w:bottom w:val="single" w:sz="4" w:space="0" w:color="auto"/>
              <w:right w:val="single" w:sz="4" w:space="0" w:color="auto"/>
            </w:tcBorders>
            <w:shd w:val="clear" w:color="000000" w:fill="142F62"/>
            <w:vAlign w:val="center"/>
          </w:tcPr>
          <w:p w14:paraId="1DDE4E5E" w14:textId="77777777" w:rsidR="002B429D" w:rsidRPr="00806031" w:rsidRDefault="002B429D" w:rsidP="00806031">
            <w:pPr>
              <w:spacing w:after="0" w:line="240" w:lineRule="auto"/>
              <w:jc w:val="center"/>
              <w:rPr>
                <w:rFonts w:eastAsia="Times New Roman"/>
                <w:b/>
                <w:bCs/>
                <w:color w:val="FFFFFF"/>
                <w:spacing w:val="0"/>
                <w:sz w:val="20"/>
                <w:szCs w:val="20"/>
                <w:lang w:val="es-MX" w:eastAsia="es-MX"/>
              </w:rPr>
            </w:pPr>
          </w:p>
        </w:tc>
      </w:tr>
      <w:tr w:rsidR="002B429D" w:rsidRPr="00806031" w14:paraId="3B6EC4CE" w14:textId="77777777" w:rsidTr="009935E3">
        <w:trPr>
          <w:gridAfter w:val="1"/>
          <w:wAfter w:w="13" w:type="dxa"/>
          <w:trHeight w:val="240"/>
        </w:trPr>
        <w:tc>
          <w:tcPr>
            <w:tcW w:w="572" w:type="dxa"/>
            <w:tcBorders>
              <w:top w:val="nil"/>
              <w:left w:val="single" w:sz="4" w:space="0" w:color="auto"/>
              <w:bottom w:val="single" w:sz="4" w:space="0" w:color="auto"/>
              <w:right w:val="single" w:sz="4" w:space="0" w:color="auto"/>
            </w:tcBorders>
            <w:noWrap/>
            <w:vAlign w:val="center"/>
            <w:hideMark/>
          </w:tcPr>
          <w:p w14:paraId="726FF6F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w:t>
            </w:r>
          </w:p>
        </w:tc>
        <w:tc>
          <w:tcPr>
            <w:tcW w:w="2977" w:type="dxa"/>
            <w:tcBorders>
              <w:top w:val="nil"/>
              <w:left w:val="nil"/>
              <w:bottom w:val="single" w:sz="4" w:space="0" w:color="auto"/>
              <w:right w:val="single" w:sz="4" w:space="0" w:color="auto"/>
            </w:tcBorders>
            <w:noWrap/>
            <w:vAlign w:val="center"/>
            <w:hideMark/>
          </w:tcPr>
          <w:p w14:paraId="4C637AEA"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de Arte Moderno</w:t>
            </w:r>
          </w:p>
        </w:tc>
        <w:tc>
          <w:tcPr>
            <w:tcW w:w="850" w:type="dxa"/>
            <w:tcBorders>
              <w:top w:val="nil"/>
              <w:left w:val="nil"/>
              <w:bottom w:val="single" w:sz="4" w:space="0" w:color="auto"/>
              <w:right w:val="single" w:sz="4" w:space="0" w:color="auto"/>
            </w:tcBorders>
            <w:noWrap/>
            <w:vAlign w:val="center"/>
            <w:hideMark/>
          </w:tcPr>
          <w:p w14:paraId="1F6F3A9A"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1,608</w:t>
            </w:r>
          </w:p>
        </w:tc>
        <w:tc>
          <w:tcPr>
            <w:tcW w:w="635" w:type="dxa"/>
            <w:tcBorders>
              <w:top w:val="nil"/>
              <w:left w:val="nil"/>
              <w:bottom w:val="single" w:sz="4" w:space="0" w:color="auto"/>
              <w:right w:val="single" w:sz="4" w:space="0" w:color="auto"/>
            </w:tcBorders>
            <w:vAlign w:val="center"/>
            <w:hideMark/>
          </w:tcPr>
          <w:p w14:paraId="0927E663"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c>
          <w:tcPr>
            <w:tcW w:w="738" w:type="dxa"/>
            <w:gridSpan w:val="2"/>
            <w:tcBorders>
              <w:top w:val="nil"/>
              <w:left w:val="nil"/>
              <w:bottom w:val="single" w:sz="4" w:space="0" w:color="auto"/>
              <w:right w:val="single" w:sz="4" w:space="0" w:color="auto"/>
            </w:tcBorders>
            <w:noWrap/>
            <w:vAlign w:val="center"/>
            <w:hideMark/>
          </w:tcPr>
          <w:p w14:paraId="5ABE1F88"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1,586</w:t>
            </w:r>
          </w:p>
        </w:tc>
        <w:tc>
          <w:tcPr>
            <w:tcW w:w="635" w:type="dxa"/>
            <w:gridSpan w:val="2"/>
            <w:tcBorders>
              <w:top w:val="nil"/>
              <w:left w:val="nil"/>
              <w:bottom w:val="single" w:sz="4" w:space="0" w:color="auto"/>
              <w:right w:val="single" w:sz="4" w:space="0" w:color="auto"/>
            </w:tcBorders>
            <w:noWrap/>
            <w:vAlign w:val="center"/>
            <w:hideMark/>
          </w:tcPr>
          <w:p w14:paraId="4ACC8DC1"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22</w:t>
            </w:r>
          </w:p>
        </w:tc>
        <w:tc>
          <w:tcPr>
            <w:tcW w:w="842" w:type="dxa"/>
            <w:gridSpan w:val="2"/>
            <w:tcBorders>
              <w:top w:val="nil"/>
              <w:left w:val="nil"/>
              <w:bottom w:val="single" w:sz="4" w:space="0" w:color="auto"/>
              <w:right w:val="single" w:sz="4" w:space="0" w:color="auto"/>
            </w:tcBorders>
            <w:noWrap/>
            <w:vAlign w:val="center"/>
            <w:hideMark/>
          </w:tcPr>
          <w:p w14:paraId="24670DCA"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1,608</w:t>
            </w:r>
          </w:p>
        </w:tc>
        <w:tc>
          <w:tcPr>
            <w:tcW w:w="774" w:type="dxa"/>
            <w:gridSpan w:val="2"/>
            <w:tcBorders>
              <w:top w:val="nil"/>
              <w:left w:val="nil"/>
              <w:bottom w:val="single" w:sz="4" w:space="0" w:color="auto"/>
              <w:right w:val="single" w:sz="4" w:space="0" w:color="auto"/>
            </w:tcBorders>
            <w:noWrap/>
            <w:vAlign w:val="center"/>
            <w:hideMark/>
          </w:tcPr>
          <w:p w14:paraId="2088CEB5"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r>
      <w:tr w:rsidR="002B429D" w:rsidRPr="00806031" w14:paraId="524E1502"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380DE84"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2</w:t>
            </w:r>
          </w:p>
        </w:tc>
        <w:tc>
          <w:tcPr>
            <w:tcW w:w="2977" w:type="dxa"/>
            <w:tcBorders>
              <w:top w:val="nil"/>
              <w:left w:val="nil"/>
              <w:bottom w:val="single" w:sz="4" w:space="0" w:color="auto"/>
              <w:right w:val="single" w:sz="4" w:space="0" w:color="auto"/>
            </w:tcBorders>
            <w:shd w:val="clear" w:color="000000" w:fill="FFFFFF"/>
            <w:noWrap/>
            <w:vAlign w:val="center"/>
            <w:hideMark/>
          </w:tcPr>
          <w:p w14:paraId="21E532F7"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Nacional de Historia y Geografía</w:t>
            </w:r>
          </w:p>
        </w:tc>
        <w:tc>
          <w:tcPr>
            <w:tcW w:w="850" w:type="dxa"/>
            <w:tcBorders>
              <w:top w:val="nil"/>
              <w:left w:val="nil"/>
              <w:bottom w:val="single" w:sz="4" w:space="0" w:color="auto"/>
              <w:right w:val="single" w:sz="4" w:space="0" w:color="auto"/>
            </w:tcBorders>
            <w:noWrap/>
            <w:vAlign w:val="center"/>
            <w:hideMark/>
          </w:tcPr>
          <w:p w14:paraId="70E0EC5E"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1,376</w:t>
            </w:r>
          </w:p>
        </w:tc>
        <w:tc>
          <w:tcPr>
            <w:tcW w:w="635" w:type="dxa"/>
            <w:tcBorders>
              <w:top w:val="nil"/>
              <w:left w:val="nil"/>
              <w:bottom w:val="single" w:sz="4" w:space="0" w:color="auto"/>
              <w:right w:val="single" w:sz="4" w:space="0" w:color="auto"/>
            </w:tcBorders>
            <w:shd w:val="clear" w:color="000000" w:fill="FFFFFF"/>
            <w:vAlign w:val="center"/>
            <w:hideMark/>
          </w:tcPr>
          <w:p w14:paraId="7FD8CCA7"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c>
          <w:tcPr>
            <w:tcW w:w="738" w:type="dxa"/>
            <w:gridSpan w:val="2"/>
            <w:tcBorders>
              <w:top w:val="nil"/>
              <w:left w:val="nil"/>
              <w:bottom w:val="single" w:sz="4" w:space="0" w:color="auto"/>
              <w:right w:val="single" w:sz="4" w:space="0" w:color="auto"/>
            </w:tcBorders>
            <w:shd w:val="clear" w:color="000000" w:fill="FFFFFF"/>
            <w:noWrap/>
            <w:vAlign w:val="center"/>
            <w:hideMark/>
          </w:tcPr>
          <w:p w14:paraId="3B302245" w14:textId="72555C35"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shd w:val="clear" w:color="000000" w:fill="FFFFFF"/>
            <w:noWrap/>
            <w:vAlign w:val="center"/>
            <w:hideMark/>
          </w:tcPr>
          <w:p w14:paraId="409F97CB"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1,220</w:t>
            </w:r>
          </w:p>
        </w:tc>
        <w:tc>
          <w:tcPr>
            <w:tcW w:w="842" w:type="dxa"/>
            <w:gridSpan w:val="2"/>
            <w:tcBorders>
              <w:top w:val="nil"/>
              <w:left w:val="nil"/>
              <w:bottom w:val="single" w:sz="4" w:space="0" w:color="auto"/>
              <w:right w:val="single" w:sz="4" w:space="0" w:color="auto"/>
            </w:tcBorders>
            <w:noWrap/>
            <w:vAlign w:val="center"/>
            <w:hideMark/>
          </w:tcPr>
          <w:p w14:paraId="458F21B6"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1,220</w:t>
            </w:r>
          </w:p>
        </w:tc>
        <w:tc>
          <w:tcPr>
            <w:tcW w:w="774" w:type="dxa"/>
            <w:gridSpan w:val="2"/>
            <w:tcBorders>
              <w:top w:val="nil"/>
              <w:left w:val="nil"/>
              <w:bottom w:val="single" w:sz="4" w:space="0" w:color="auto"/>
              <w:right w:val="single" w:sz="4" w:space="0" w:color="auto"/>
            </w:tcBorders>
            <w:noWrap/>
            <w:vAlign w:val="center"/>
            <w:hideMark/>
          </w:tcPr>
          <w:p w14:paraId="1F0D0A3A"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89%</w:t>
            </w:r>
          </w:p>
        </w:tc>
      </w:tr>
      <w:tr w:rsidR="002B429D" w:rsidRPr="00806031" w14:paraId="09668909"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1888C193"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3</w:t>
            </w:r>
          </w:p>
        </w:tc>
        <w:tc>
          <w:tcPr>
            <w:tcW w:w="2977" w:type="dxa"/>
            <w:tcBorders>
              <w:top w:val="nil"/>
              <w:left w:val="nil"/>
              <w:bottom w:val="single" w:sz="4" w:space="0" w:color="auto"/>
              <w:right w:val="single" w:sz="4" w:space="0" w:color="auto"/>
            </w:tcBorders>
            <w:noWrap/>
            <w:vAlign w:val="center"/>
            <w:hideMark/>
          </w:tcPr>
          <w:p w14:paraId="5176E1B1"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del Hombre Dominicano</w:t>
            </w:r>
          </w:p>
        </w:tc>
        <w:tc>
          <w:tcPr>
            <w:tcW w:w="850" w:type="dxa"/>
            <w:tcBorders>
              <w:top w:val="nil"/>
              <w:left w:val="nil"/>
              <w:bottom w:val="single" w:sz="4" w:space="0" w:color="auto"/>
              <w:right w:val="single" w:sz="4" w:space="0" w:color="auto"/>
            </w:tcBorders>
            <w:noWrap/>
            <w:vAlign w:val="center"/>
            <w:hideMark/>
          </w:tcPr>
          <w:p w14:paraId="58BD3378"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8,181</w:t>
            </w:r>
          </w:p>
        </w:tc>
        <w:tc>
          <w:tcPr>
            <w:tcW w:w="635" w:type="dxa"/>
            <w:tcBorders>
              <w:top w:val="nil"/>
              <w:left w:val="nil"/>
              <w:bottom w:val="single" w:sz="4" w:space="0" w:color="auto"/>
              <w:right w:val="single" w:sz="4" w:space="0" w:color="auto"/>
            </w:tcBorders>
            <w:vAlign w:val="center"/>
            <w:hideMark/>
          </w:tcPr>
          <w:p w14:paraId="6D6C5935"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c>
          <w:tcPr>
            <w:tcW w:w="738" w:type="dxa"/>
            <w:gridSpan w:val="2"/>
            <w:tcBorders>
              <w:top w:val="nil"/>
              <w:left w:val="nil"/>
              <w:bottom w:val="single" w:sz="4" w:space="0" w:color="auto"/>
              <w:right w:val="single" w:sz="4" w:space="0" w:color="auto"/>
            </w:tcBorders>
            <w:noWrap/>
            <w:vAlign w:val="center"/>
            <w:hideMark/>
          </w:tcPr>
          <w:p w14:paraId="70A7458E"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1,869</w:t>
            </w:r>
          </w:p>
        </w:tc>
        <w:tc>
          <w:tcPr>
            <w:tcW w:w="635" w:type="dxa"/>
            <w:gridSpan w:val="2"/>
            <w:tcBorders>
              <w:top w:val="nil"/>
              <w:left w:val="nil"/>
              <w:bottom w:val="single" w:sz="4" w:space="0" w:color="auto"/>
              <w:right w:val="single" w:sz="4" w:space="0" w:color="auto"/>
            </w:tcBorders>
            <w:noWrap/>
            <w:vAlign w:val="center"/>
            <w:hideMark/>
          </w:tcPr>
          <w:p w14:paraId="5C2449C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6,312</w:t>
            </w:r>
          </w:p>
        </w:tc>
        <w:tc>
          <w:tcPr>
            <w:tcW w:w="842" w:type="dxa"/>
            <w:gridSpan w:val="2"/>
            <w:tcBorders>
              <w:top w:val="nil"/>
              <w:left w:val="nil"/>
              <w:bottom w:val="single" w:sz="4" w:space="0" w:color="auto"/>
              <w:right w:val="single" w:sz="4" w:space="0" w:color="auto"/>
            </w:tcBorders>
            <w:noWrap/>
            <w:vAlign w:val="center"/>
            <w:hideMark/>
          </w:tcPr>
          <w:p w14:paraId="773028FE"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8,181</w:t>
            </w:r>
          </w:p>
        </w:tc>
        <w:tc>
          <w:tcPr>
            <w:tcW w:w="774" w:type="dxa"/>
            <w:gridSpan w:val="2"/>
            <w:tcBorders>
              <w:top w:val="nil"/>
              <w:left w:val="nil"/>
              <w:bottom w:val="single" w:sz="4" w:space="0" w:color="auto"/>
              <w:right w:val="single" w:sz="4" w:space="0" w:color="auto"/>
            </w:tcBorders>
            <w:noWrap/>
            <w:vAlign w:val="center"/>
            <w:hideMark/>
          </w:tcPr>
          <w:p w14:paraId="0DA18B38"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r>
      <w:tr w:rsidR="002B429D" w:rsidRPr="00806031" w14:paraId="49EE891C"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3DA3DFC2"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4</w:t>
            </w:r>
          </w:p>
        </w:tc>
        <w:tc>
          <w:tcPr>
            <w:tcW w:w="2977" w:type="dxa"/>
            <w:tcBorders>
              <w:top w:val="nil"/>
              <w:left w:val="nil"/>
              <w:bottom w:val="single" w:sz="4" w:space="0" w:color="auto"/>
              <w:right w:val="single" w:sz="4" w:space="0" w:color="auto"/>
            </w:tcBorders>
            <w:noWrap/>
            <w:vAlign w:val="center"/>
            <w:hideMark/>
          </w:tcPr>
          <w:p w14:paraId="52CBE5E0"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Alcázar de Colón</w:t>
            </w:r>
          </w:p>
        </w:tc>
        <w:tc>
          <w:tcPr>
            <w:tcW w:w="850" w:type="dxa"/>
            <w:tcBorders>
              <w:top w:val="nil"/>
              <w:left w:val="nil"/>
              <w:bottom w:val="single" w:sz="4" w:space="0" w:color="auto"/>
              <w:right w:val="single" w:sz="4" w:space="0" w:color="auto"/>
            </w:tcBorders>
            <w:noWrap/>
            <w:vAlign w:val="center"/>
            <w:hideMark/>
          </w:tcPr>
          <w:p w14:paraId="733E9864"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916</w:t>
            </w:r>
          </w:p>
        </w:tc>
        <w:tc>
          <w:tcPr>
            <w:tcW w:w="635" w:type="dxa"/>
            <w:tcBorders>
              <w:top w:val="nil"/>
              <w:left w:val="nil"/>
              <w:bottom w:val="single" w:sz="4" w:space="0" w:color="auto"/>
              <w:right w:val="single" w:sz="4" w:space="0" w:color="auto"/>
            </w:tcBorders>
            <w:vAlign w:val="center"/>
            <w:hideMark/>
          </w:tcPr>
          <w:p w14:paraId="43692240"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909</w:t>
            </w:r>
          </w:p>
        </w:tc>
        <w:tc>
          <w:tcPr>
            <w:tcW w:w="738" w:type="dxa"/>
            <w:gridSpan w:val="2"/>
            <w:tcBorders>
              <w:top w:val="nil"/>
              <w:left w:val="nil"/>
              <w:bottom w:val="single" w:sz="4" w:space="0" w:color="auto"/>
              <w:right w:val="single" w:sz="4" w:space="0" w:color="auto"/>
            </w:tcBorders>
            <w:noWrap/>
            <w:vAlign w:val="center"/>
          </w:tcPr>
          <w:p w14:paraId="3353B6B6" w14:textId="7B3A85A1"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tcPr>
          <w:p w14:paraId="2D952635" w14:textId="4FBF5C08" w:rsidR="00806031" w:rsidRPr="00806031" w:rsidRDefault="00806031" w:rsidP="00806031">
            <w:pPr>
              <w:spacing w:after="0" w:line="240" w:lineRule="auto"/>
              <w:jc w:val="center"/>
              <w:rPr>
                <w:rFonts w:eastAsia="Times New Roman"/>
                <w:spacing w:val="0"/>
                <w:sz w:val="22"/>
                <w:szCs w:val="22"/>
                <w:lang w:val="es-MX" w:eastAsia="es-MX"/>
              </w:rPr>
            </w:pPr>
          </w:p>
        </w:tc>
        <w:tc>
          <w:tcPr>
            <w:tcW w:w="842" w:type="dxa"/>
            <w:gridSpan w:val="2"/>
            <w:tcBorders>
              <w:top w:val="nil"/>
              <w:left w:val="nil"/>
              <w:bottom w:val="single" w:sz="4" w:space="0" w:color="auto"/>
              <w:right w:val="single" w:sz="4" w:space="0" w:color="auto"/>
            </w:tcBorders>
            <w:noWrap/>
            <w:vAlign w:val="center"/>
            <w:hideMark/>
          </w:tcPr>
          <w:p w14:paraId="4DE77AAC"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909</w:t>
            </w:r>
          </w:p>
        </w:tc>
        <w:tc>
          <w:tcPr>
            <w:tcW w:w="774" w:type="dxa"/>
            <w:gridSpan w:val="2"/>
            <w:tcBorders>
              <w:top w:val="nil"/>
              <w:left w:val="nil"/>
              <w:bottom w:val="single" w:sz="4" w:space="0" w:color="auto"/>
              <w:right w:val="single" w:sz="4" w:space="0" w:color="auto"/>
            </w:tcBorders>
            <w:noWrap/>
            <w:vAlign w:val="center"/>
            <w:hideMark/>
          </w:tcPr>
          <w:p w14:paraId="4459F3E6"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99%</w:t>
            </w:r>
          </w:p>
        </w:tc>
      </w:tr>
      <w:tr w:rsidR="002B429D" w:rsidRPr="00806031" w14:paraId="340AC502"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5F0EC6B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5</w:t>
            </w:r>
          </w:p>
        </w:tc>
        <w:tc>
          <w:tcPr>
            <w:tcW w:w="2977" w:type="dxa"/>
            <w:tcBorders>
              <w:top w:val="nil"/>
              <w:left w:val="nil"/>
              <w:bottom w:val="single" w:sz="4" w:space="0" w:color="auto"/>
              <w:right w:val="single" w:sz="4" w:space="0" w:color="auto"/>
            </w:tcBorders>
            <w:noWrap/>
            <w:vAlign w:val="center"/>
            <w:hideMark/>
          </w:tcPr>
          <w:p w14:paraId="54EB637A"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de las Casas Reales</w:t>
            </w:r>
          </w:p>
        </w:tc>
        <w:tc>
          <w:tcPr>
            <w:tcW w:w="850" w:type="dxa"/>
            <w:tcBorders>
              <w:top w:val="nil"/>
              <w:left w:val="nil"/>
              <w:bottom w:val="single" w:sz="4" w:space="0" w:color="auto"/>
              <w:right w:val="single" w:sz="4" w:space="0" w:color="auto"/>
            </w:tcBorders>
            <w:noWrap/>
            <w:vAlign w:val="center"/>
            <w:hideMark/>
          </w:tcPr>
          <w:p w14:paraId="65543435"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1,966</w:t>
            </w:r>
          </w:p>
        </w:tc>
        <w:tc>
          <w:tcPr>
            <w:tcW w:w="635" w:type="dxa"/>
            <w:tcBorders>
              <w:top w:val="nil"/>
              <w:left w:val="nil"/>
              <w:bottom w:val="single" w:sz="4" w:space="0" w:color="auto"/>
              <w:right w:val="single" w:sz="4" w:space="0" w:color="auto"/>
            </w:tcBorders>
            <w:vAlign w:val="center"/>
            <w:hideMark/>
          </w:tcPr>
          <w:p w14:paraId="6A63BCE1"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1,706</w:t>
            </w:r>
          </w:p>
        </w:tc>
        <w:tc>
          <w:tcPr>
            <w:tcW w:w="738" w:type="dxa"/>
            <w:gridSpan w:val="2"/>
            <w:tcBorders>
              <w:top w:val="nil"/>
              <w:left w:val="nil"/>
              <w:bottom w:val="single" w:sz="4" w:space="0" w:color="auto"/>
              <w:right w:val="single" w:sz="4" w:space="0" w:color="auto"/>
            </w:tcBorders>
            <w:noWrap/>
            <w:vAlign w:val="center"/>
            <w:hideMark/>
          </w:tcPr>
          <w:p w14:paraId="0F51E599"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388</w:t>
            </w:r>
          </w:p>
        </w:tc>
        <w:tc>
          <w:tcPr>
            <w:tcW w:w="635" w:type="dxa"/>
            <w:gridSpan w:val="2"/>
            <w:tcBorders>
              <w:top w:val="nil"/>
              <w:left w:val="nil"/>
              <w:bottom w:val="single" w:sz="4" w:space="0" w:color="auto"/>
              <w:right w:val="single" w:sz="4" w:space="0" w:color="auto"/>
            </w:tcBorders>
            <w:noWrap/>
            <w:vAlign w:val="center"/>
            <w:hideMark/>
          </w:tcPr>
          <w:p w14:paraId="53E1DA99"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402</w:t>
            </w:r>
          </w:p>
        </w:tc>
        <w:tc>
          <w:tcPr>
            <w:tcW w:w="842" w:type="dxa"/>
            <w:gridSpan w:val="2"/>
            <w:tcBorders>
              <w:top w:val="nil"/>
              <w:left w:val="nil"/>
              <w:bottom w:val="single" w:sz="4" w:space="0" w:color="auto"/>
              <w:right w:val="single" w:sz="4" w:space="0" w:color="auto"/>
            </w:tcBorders>
            <w:noWrap/>
            <w:vAlign w:val="center"/>
            <w:hideMark/>
          </w:tcPr>
          <w:p w14:paraId="1A8C0C61"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2,496</w:t>
            </w:r>
          </w:p>
        </w:tc>
        <w:tc>
          <w:tcPr>
            <w:tcW w:w="774" w:type="dxa"/>
            <w:gridSpan w:val="2"/>
            <w:tcBorders>
              <w:top w:val="nil"/>
              <w:left w:val="nil"/>
              <w:bottom w:val="single" w:sz="4" w:space="0" w:color="auto"/>
              <w:right w:val="single" w:sz="4" w:space="0" w:color="auto"/>
            </w:tcBorders>
            <w:noWrap/>
            <w:vAlign w:val="center"/>
            <w:hideMark/>
          </w:tcPr>
          <w:p w14:paraId="09C3B531"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127%</w:t>
            </w:r>
          </w:p>
        </w:tc>
      </w:tr>
      <w:tr w:rsidR="002B429D" w:rsidRPr="00806031" w14:paraId="35B2C13B"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1C34BE03"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6</w:t>
            </w:r>
          </w:p>
        </w:tc>
        <w:tc>
          <w:tcPr>
            <w:tcW w:w="2977" w:type="dxa"/>
            <w:tcBorders>
              <w:top w:val="nil"/>
              <w:left w:val="nil"/>
              <w:bottom w:val="single" w:sz="4" w:space="0" w:color="auto"/>
              <w:right w:val="single" w:sz="4" w:space="0" w:color="auto"/>
            </w:tcBorders>
            <w:noWrap/>
            <w:vAlign w:val="center"/>
            <w:hideMark/>
          </w:tcPr>
          <w:p w14:paraId="2E6A3C3A"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Fortaleza de Santo Domingo</w:t>
            </w:r>
          </w:p>
        </w:tc>
        <w:tc>
          <w:tcPr>
            <w:tcW w:w="850" w:type="dxa"/>
            <w:tcBorders>
              <w:top w:val="nil"/>
              <w:left w:val="nil"/>
              <w:bottom w:val="single" w:sz="4" w:space="0" w:color="auto"/>
              <w:right w:val="single" w:sz="4" w:space="0" w:color="auto"/>
            </w:tcBorders>
            <w:noWrap/>
            <w:vAlign w:val="center"/>
            <w:hideMark/>
          </w:tcPr>
          <w:p w14:paraId="3C954D52"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43</w:t>
            </w:r>
          </w:p>
        </w:tc>
        <w:tc>
          <w:tcPr>
            <w:tcW w:w="635" w:type="dxa"/>
            <w:tcBorders>
              <w:top w:val="nil"/>
              <w:left w:val="nil"/>
              <w:bottom w:val="single" w:sz="4" w:space="0" w:color="auto"/>
              <w:right w:val="single" w:sz="4" w:space="0" w:color="auto"/>
            </w:tcBorders>
            <w:vAlign w:val="center"/>
            <w:hideMark/>
          </w:tcPr>
          <w:p w14:paraId="46C40AD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43</w:t>
            </w:r>
          </w:p>
        </w:tc>
        <w:tc>
          <w:tcPr>
            <w:tcW w:w="738" w:type="dxa"/>
            <w:gridSpan w:val="2"/>
            <w:tcBorders>
              <w:top w:val="nil"/>
              <w:left w:val="nil"/>
              <w:bottom w:val="single" w:sz="4" w:space="0" w:color="auto"/>
              <w:right w:val="single" w:sz="4" w:space="0" w:color="auto"/>
            </w:tcBorders>
            <w:noWrap/>
            <w:vAlign w:val="center"/>
          </w:tcPr>
          <w:p w14:paraId="69E1DCCF" w14:textId="241A6BBB"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tcPr>
          <w:p w14:paraId="18E0DC33" w14:textId="28501AA1" w:rsidR="00806031" w:rsidRPr="00806031" w:rsidRDefault="00806031" w:rsidP="00806031">
            <w:pPr>
              <w:spacing w:after="0" w:line="240" w:lineRule="auto"/>
              <w:jc w:val="center"/>
              <w:rPr>
                <w:rFonts w:eastAsia="Times New Roman"/>
                <w:spacing w:val="0"/>
                <w:sz w:val="22"/>
                <w:szCs w:val="22"/>
                <w:lang w:val="es-MX" w:eastAsia="es-MX"/>
              </w:rPr>
            </w:pPr>
          </w:p>
        </w:tc>
        <w:tc>
          <w:tcPr>
            <w:tcW w:w="842" w:type="dxa"/>
            <w:gridSpan w:val="2"/>
            <w:tcBorders>
              <w:top w:val="nil"/>
              <w:left w:val="nil"/>
              <w:bottom w:val="single" w:sz="4" w:space="0" w:color="auto"/>
              <w:right w:val="single" w:sz="4" w:space="0" w:color="auto"/>
            </w:tcBorders>
            <w:noWrap/>
            <w:vAlign w:val="center"/>
            <w:hideMark/>
          </w:tcPr>
          <w:p w14:paraId="056C52B1"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43</w:t>
            </w:r>
          </w:p>
        </w:tc>
        <w:tc>
          <w:tcPr>
            <w:tcW w:w="774" w:type="dxa"/>
            <w:gridSpan w:val="2"/>
            <w:tcBorders>
              <w:top w:val="nil"/>
              <w:left w:val="nil"/>
              <w:bottom w:val="single" w:sz="4" w:space="0" w:color="auto"/>
              <w:right w:val="single" w:sz="4" w:space="0" w:color="auto"/>
            </w:tcBorders>
            <w:noWrap/>
            <w:vAlign w:val="center"/>
            <w:hideMark/>
          </w:tcPr>
          <w:p w14:paraId="27AD12B0"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r>
      <w:tr w:rsidR="002B429D" w:rsidRPr="00806031" w14:paraId="5541ECAE"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25ABBF5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7</w:t>
            </w:r>
          </w:p>
        </w:tc>
        <w:tc>
          <w:tcPr>
            <w:tcW w:w="2977" w:type="dxa"/>
            <w:tcBorders>
              <w:top w:val="nil"/>
              <w:left w:val="nil"/>
              <w:bottom w:val="single" w:sz="4" w:space="0" w:color="auto"/>
              <w:right w:val="single" w:sz="4" w:space="0" w:color="auto"/>
            </w:tcBorders>
            <w:noWrap/>
            <w:vAlign w:val="center"/>
            <w:hideMark/>
          </w:tcPr>
          <w:p w14:paraId="48D91ED6"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de las Atarazanas Reales</w:t>
            </w:r>
          </w:p>
        </w:tc>
        <w:tc>
          <w:tcPr>
            <w:tcW w:w="850" w:type="dxa"/>
            <w:tcBorders>
              <w:top w:val="nil"/>
              <w:left w:val="nil"/>
              <w:bottom w:val="single" w:sz="4" w:space="0" w:color="auto"/>
              <w:right w:val="single" w:sz="4" w:space="0" w:color="auto"/>
            </w:tcBorders>
            <w:noWrap/>
            <w:vAlign w:val="center"/>
            <w:hideMark/>
          </w:tcPr>
          <w:p w14:paraId="4C80DF98"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1,435</w:t>
            </w:r>
          </w:p>
        </w:tc>
        <w:tc>
          <w:tcPr>
            <w:tcW w:w="635" w:type="dxa"/>
            <w:tcBorders>
              <w:top w:val="nil"/>
              <w:left w:val="nil"/>
              <w:bottom w:val="single" w:sz="4" w:space="0" w:color="auto"/>
              <w:right w:val="single" w:sz="4" w:space="0" w:color="auto"/>
            </w:tcBorders>
            <w:vAlign w:val="center"/>
            <w:hideMark/>
          </w:tcPr>
          <w:p w14:paraId="070E9A9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c>
          <w:tcPr>
            <w:tcW w:w="738" w:type="dxa"/>
            <w:gridSpan w:val="2"/>
            <w:tcBorders>
              <w:top w:val="nil"/>
              <w:left w:val="nil"/>
              <w:bottom w:val="single" w:sz="4" w:space="0" w:color="auto"/>
              <w:right w:val="single" w:sz="4" w:space="0" w:color="auto"/>
            </w:tcBorders>
            <w:noWrap/>
            <w:vAlign w:val="center"/>
          </w:tcPr>
          <w:p w14:paraId="564E756A" w14:textId="0F2572D1"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hideMark/>
          </w:tcPr>
          <w:p w14:paraId="1AFB516E"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600</w:t>
            </w:r>
          </w:p>
        </w:tc>
        <w:tc>
          <w:tcPr>
            <w:tcW w:w="842" w:type="dxa"/>
            <w:gridSpan w:val="2"/>
            <w:tcBorders>
              <w:top w:val="nil"/>
              <w:left w:val="nil"/>
              <w:bottom w:val="single" w:sz="4" w:space="0" w:color="auto"/>
              <w:right w:val="single" w:sz="4" w:space="0" w:color="auto"/>
            </w:tcBorders>
            <w:noWrap/>
            <w:vAlign w:val="center"/>
            <w:hideMark/>
          </w:tcPr>
          <w:p w14:paraId="366FAE58"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600</w:t>
            </w:r>
          </w:p>
        </w:tc>
        <w:tc>
          <w:tcPr>
            <w:tcW w:w="774" w:type="dxa"/>
            <w:gridSpan w:val="2"/>
            <w:tcBorders>
              <w:top w:val="nil"/>
              <w:left w:val="nil"/>
              <w:bottom w:val="single" w:sz="4" w:space="0" w:color="auto"/>
              <w:right w:val="single" w:sz="4" w:space="0" w:color="auto"/>
            </w:tcBorders>
            <w:noWrap/>
            <w:vAlign w:val="center"/>
            <w:hideMark/>
          </w:tcPr>
          <w:p w14:paraId="75804773"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42%</w:t>
            </w:r>
          </w:p>
        </w:tc>
      </w:tr>
      <w:tr w:rsidR="002B429D" w:rsidRPr="00806031" w14:paraId="7BDBF708"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5D21AA3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8</w:t>
            </w:r>
          </w:p>
        </w:tc>
        <w:tc>
          <w:tcPr>
            <w:tcW w:w="2977" w:type="dxa"/>
            <w:tcBorders>
              <w:top w:val="nil"/>
              <w:left w:val="nil"/>
              <w:bottom w:val="single" w:sz="4" w:space="0" w:color="auto"/>
              <w:right w:val="single" w:sz="4" w:space="0" w:color="auto"/>
            </w:tcBorders>
            <w:noWrap/>
            <w:vAlign w:val="center"/>
            <w:hideMark/>
          </w:tcPr>
          <w:p w14:paraId="6F8D2753"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de la Familia Dominicana del Siglo XIX</w:t>
            </w:r>
          </w:p>
        </w:tc>
        <w:tc>
          <w:tcPr>
            <w:tcW w:w="850" w:type="dxa"/>
            <w:tcBorders>
              <w:top w:val="nil"/>
              <w:left w:val="nil"/>
              <w:bottom w:val="single" w:sz="4" w:space="0" w:color="auto"/>
              <w:right w:val="single" w:sz="4" w:space="0" w:color="auto"/>
            </w:tcBorders>
            <w:noWrap/>
            <w:vAlign w:val="center"/>
            <w:hideMark/>
          </w:tcPr>
          <w:p w14:paraId="152A7F56"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712</w:t>
            </w:r>
          </w:p>
        </w:tc>
        <w:tc>
          <w:tcPr>
            <w:tcW w:w="635" w:type="dxa"/>
            <w:tcBorders>
              <w:top w:val="nil"/>
              <w:left w:val="nil"/>
              <w:bottom w:val="single" w:sz="4" w:space="0" w:color="auto"/>
              <w:right w:val="single" w:sz="4" w:space="0" w:color="auto"/>
            </w:tcBorders>
            <w:vAlign w:val="center"/>
            <w:hideMark/>
          </w:tcPr>
          <w:p w14:paraId="1A63B42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687</w:t>
            </w:r>
          </w:p>
        </w:tc>
        <w:tc>
          <w:tcPr>
            <w:tcW w:w="738" w:type="dxa"/>
            <w:gridSpan w:val="2"/>
            <w:tcBorders>
              <w:top w:val="nil"/>
              <w:left w:val="nil"/>
              <w:bottom w:val="single" w:sz="4" w:space="0" w:color="auto"/>
              <w:right w:val="single" w:sz="4" w:space="0" w:color="auto"/>
            </w:tcBorders>
            <w:noWrap/>
            <w:vAlign w:val="center"/>
          </w:tcPr>
          <w:p w14:paraId="7E03E315" w14:textId="2AB2832F"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hideMark/>
          </w:tcPr>
          <w:p w14:paraId="762B9A6E" w14:textId="1F499625" w:rsidR="00806031" w:rsidRPr="00806031" w:rsidRDefault="00806031" w:rsidP="00806031">
            <w:pPr>
              <w:spacing w:after="0" w:line="240" w:lineRule="auto"/>
              <w:jc w:val="center"/>
              <w:rPr>
                <w:rFonts w:eastAsia="Times New Roman"/>
                <w:spacing w:val="0"/>
                <w:sz w:val="22"/>
                <w:szCs w:val="22"/>
                <w:lang w:val="es-MX" w:eastAsia="es-MX"/>
              </w:rPr>
            </w:pPr>
          </w:p>
        </w:tc>
        <w:tc>
          <w:tcPr>
            <w:tcW w:w="842" w:type="dxa"/>
            <w:gridSpan w:val="2"/>
            <w:tcBorders>
              <w:top w:val="nil"/>
              <w:left w:val="nil"/>
              <w:bottom w:val="single" w:sz="4" w:space="0" w:color="auto"/>
              <w:right w:val="single" w:sz="4" w:space="0" w:color="auto"/>
            </w:tcBorders>
            <w:noWrap/>
            <w:vAlign w:val="center"/>
            <w:hideMark/>
          </w:tcPr>
          <w:p w14:paraId="01D06D45"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687</w:t>
            </w:r>
          </w:p>
        </w:tc>
        <w:tc>
          <w:tcPr>
            <w:tcW w:w="774" w:type="dxa"/>
            <w:gridSpan w:val="2"/>
            <w:tcBorders>
              <w:top w:val="nil"/>
              <w:left w:val="nil"/>
              <w:bottom w:val="single" w:sz="4" w:space="0" w:color="auto"/>
              <w:right w:val="single" w:sz="4" w:space="0" w:color="auto"/>
            </w:tcBorders>
            <w:noWrap/>
            <w:vAlign w:val="center"/>
            <w:hideMark/>
          </w:tcPr>
          <w:p w14:paraId="33FC948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96%</w:t>
            </w:r>
          </w:p>
        </w:tc>
      </w:tr>
      <w:tr w:rsidR="002B429D" w:rsidRPr="00EE47D5" w14:paraId="1E1DE05E"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40A0F0E2"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w:t>
            </w:r>
          </w:p>
        </w:tc>
        <w:tc>
          <w:tcPr>
            <w:tcW w:w="2977" w:type="dxa"/>
            <w:tcBorders>
              <w:top w:val="nil"/>
              <w:left w:val="nil"/>
              <w:bottom w:val="single" w:sz="4" w:space="0" w:color="auto"/>
              <w:right w:val="single" w:sz="4" w:space="0" w:color="auto"/>
            </w:tcBorders>
            <w:noWrap/>
            <w:vAlign w:val="center"/>
            <w:hideMark/>
          </w:tcPr>
          <w:p w14:paraId="7945D50E"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Casa de la Música</w:t>
            </w:r>
          </w:p>
        </w:tc>
        <w:tc>
          <w:tcPr>
            <w:tcW w:w="850" w:type="dxa"/>
            <w:tcBorders>
              <w:top w:val="nil"/>
              <w:left w:val="nil"/>
              <w:bottom w:val="single" w:sz="4" w:space="0" w:color="auto"/>
              <w:right w:val="single" w:sz="4" w:space="0" w:color="auto"/>
            </w:tcBorders>
            <w:noWrap/>
            <w:vAlign w:val="center"/>
            <w:hideMark/>
          </w:tcPr>
          <w:p w14:paraId="070B7AD1" w14:textId="76D3BAA8" w:rsidR="00806031" w:rsidRPr="00806031" w:rsidRDefault="00806031" w:rsidP="00806031">
            <w:pPr>
              <w:spacing w:after="0" w:line="240" w:lineRule="auto"/>
              <w:jc w:val="center"/>
              <w:rPr>
                <w:rFonts w:eastAsia="Times New Roman"/>
                <w:spacing w:val="0"/>
                <w:sz w:val="20"/>
                <w:szCs w:val="20"/>
                <w:lang w:val="es-MX" w:eastAsia="es-MX"/>
              </w:rPr>
            </w:pPr>
          </w:p>
        </w:tc>
        <w:tc>
          <w:tcPr>
            <w:tcW w:w="635" w:type="dxa"/>
            <w:tcBorders>
              <w:top w:val="nil"/>
              <w:left w:val="nil"/>
              <w:bottom w:val="single" w:sz="4" w:space="0" w:color="auto"/>
              <w:right w:val="single" w:sz="4" w:space="0" w:color="auto"/>
            </w:tcBorders>
            <w:vAlign w:val="center"/>
            <w:hideMark/>
          </w:tcPr>
          <w:p w14:paraId="5E7359CC"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c>
          <w:tcPr>
            <w:tcW w:w="738" w:type="dxa"/>
            <w:gridSpan w:val="2"/>
            <w:tcBorders>
              <w:top w:val="nil"/>
              <w:left w:val="nil"/>
              <w:bottom w:val="single" w:sz="4" w:space="0" w:color="auto"/>
              <w:right w:val="single" w:sz="4" w:space="0" w:color="auto"/>
            </w:tcBorders>
            <w:noWrap/>
            <w:vAlign w:val="center"/>
          </w:tcPr>
          <w:p w14:paraId="0A48D7F4" w14:textId="1D5F71F3"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hideMark/>
          </w:tcPr>
          <w:p w14:paraId="2791743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c>
          <w:tcPr>
            <w:tcW w:w="842" w:type="dxa"/>
            <w:gridSpan w:val="2"/>
            <w:tcBorders>
              <w:top w:val="nil"/>
              <w:left w:val="nil"/>
              <w:bottom w:val="single" w:sz="4" w:space="0" w:color="auto"/>
              <w:right w:val="single" w:sz="4" w:space="0" w:color="auto"/>
            </w:tcBorders>
            <w:noWrap/>
            <w:vAlign w:val="center"/>
            <w:hideMark/>
          </w:tcPr>
          <w:p w14:paraId="12256F1A" w14:textId="6511CC33" w:rsidR="00806031" w:rsidRPr="00806031" w:rsidRDefault="00806031" w:rsidP="00806031">
            <w:pPr>
              <w:spacing w:after="0" w:line="240" w:lineRule="auto"/>
              <w:jc w:val="center"/>
              <w:rPr>
                <w:rFonts w:eastAsia="Times New Roman"/>
                <w:spacing w:val="0"/>
                <w:sz w:val="22"/>
                <w:szCs w:val="22"/>
                <w:lang w:val="es-MX" w:eastAsia="es-MX"/>
              </w:rPr>
            </w:pPr>
          </w:p>
        </w:tc>
        <w:tc>
          <w:tcPr>
            <w:tcW w:w="774" w:type="dxa"/>
            <w:gridSpan w:val="2"/>
            <w:tcBorders>
              <w:top w:val="nil"/>
              <w:left w:val="nil"/>
              <w:bottom w:val="single" w:sz="4" w:space="0" w:color="auto"/>
              <w:right w:val="single" w:sz="4" w:space="0" w:color="auto"/>
            </w:tcBorders>
            <w:noWrap/>
            <w:vAlign w:val="center"/>
            <w:hideMark/>
          </w:tcPr>
          <w:p w14:paraId="41240699"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r>
      <w:tr w:rsidR="002B429D" w:rsidRPr="00806031" w14:paraId="149F4EAE"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7B35463E"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w:t>
            </w:r>
          </w:p>
        </w:tc>
        <w:tc>
          <w:tcPr>
            <w:tcW w:w="2977" w:type="dxa"/>
            <w:tcBorders>
              <w:top w:val="nil"/>
              <w:left w:val="nil"/>
              <w:bottom w:val="single" w:sz="4" w:space="0" w:color="auto"/>
              <w:right w:val="single" w:sz="4" w:space="0" w:color="auto"/>
            </w:tcBorders>
            <w:noWrap/>
            <w:vAlign w:val="center"/>
            <w:hideMark/>
          </w:tcPr>
          <w:p w14:paraId="45D4BF65"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Faro a Colón</w:t>
            </w:r>
          </w:p>
        </w:tc>
        <w:tc>
          <w:tcPr>
            <w:tcW w:w="850" w:type="dxa"/>
            <w:tcBorders>
              <w:top w:val="nil"/>
              <w:left w:val="nil"/>
              <w:bottom w:val="single" w:sz="4" w:space="0" w:color="auto"/>
              <w:right w:val="single" w:sz="4" w:space="0" w:color="auto"/>
            </w:tcBorders>
            <w:noWrap/>
            <w:vAlign w:val="center"/>
            <w:hideMark/>
          </w:tcPr>
          <w:p w14:paraId="0DBF5DBC"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4,023</w:t>
            </w:r>
          </w:p>
        </w:tc>
        <w:tc>
          <w:tcPr>
            <w:tcW w:w="635" w:type="dxa"/>
            <w:tcBorders>
              <w:top w:val="nil"/>
              <w:left w:val="nil"/>
              <w:bottom w:val="single" w:sz="4" w:space="0" w:color="auto"/>
              <w:right w:val="single" w:sz="4" w:space="0" w:color="auto"/>
            </w:tcBorders>
            <w:vAlign w:val="center"/>
            <w:hideMark/>
          </w:tcPr>
          <w:p w14:paraId="017BB930"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3,996</w:t>
            </w:r>
          </w:p>
        </w:tc>
        <w:tc>
          <w:tcPr>
            <w:tcW w:w="738" w:type="dxa"/>
            <w:gridSpan w:val="2"/>
            <w:tcBorders>
              <w:top w:val="nil"/>
              <w:left w:val="nil"/>
              <w:bottom w:val="single" w:sz="4" w:space="0" w:color="auto"/>
              <w:right w:val="single" w:sz="4" w:space="0" w:color="auto"/>
            </w:tcBorders>
            <w:noWrap/>
            <w:vAlign w:val="center"/>
          </w:tcPr>
          <w:p w14:paraId="027C0949" w14:textId="71A342E1"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hideMark/>
          </w:tcPr>
          <w:p w14:paraId="6B7CD464"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 </w:t>
            </w:r>
          </w:p>
        </w:tc>
        <w:tc>
          <w:tcPr>
            <w:tcW w:w="842" w:type="dxa"/>
            <w:gridSpan w:val="2"/>
            <w:tcBorders>
              <w:top w:val="nil"/>
              <w:left w:val="nil"/>
              <w:bottom w:val="single" w:sz="4" w:space="0" w:color="auto"/>
              <w:right w:val="single" w:sz="4" w:space="0" w:color="auto"/>
            </w:tcBorders>
            <w:noWrap/>
            <w:vAlign w:val="center"/>
            <w:hideMark/>
          </w:tcPr>
          <w:p w14:paraId="2EECDF60"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3,996</w:t>
            </w:r>
          </w:p>
        </w:tc>
        <w:tc>
          <w:tcPr>
            <w:tcW w:w="774" w:type="dxa"/>
            <w:gridSpan w:val="2"/>
            <w:tcBorders>
              <w:top w:val="nil"/>
              <w:left w:val="nil"/>
              <w:bottom w:val="single" w:sz="4" w:space="0" w:color="auto"/>
              <w:right w:val="single" w:sz="4" w:space="0" w:color="auto"/>
            </w:tcBorders>
            <w:noWrap/>
            <w:vAlign w:val="center"/>
            <w:hideMark/>
          </w:tcPr>
          <w:p w14:paraId="50422557"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99%</w:t>
            </w:r>
          </w:p>
        </w:tc>
      </w:tr>
      <w:tr w:rsidR="002B429D" w:rsidRPr="00806031" w14:paraId="6957BFBB"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3E9A150B"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11</w:t>
            </w:r>
          </w:p>
        </w:tc>
        <w:tc>
          <w:tcPr>
            <w:tcW w:w="2977" w:type="dxa"/>
            <w:tcBorders>
              <w:top w:val="nil"/>
              <w:left w:val="nil"/>
              <w:bottom w:val="single" w:sz="4" w:space="0" w:color="auto"/>
              <w:right w:val="single" w:sz="4" w:space="0" w:color="auto"/>
            </w:tcBorders>
            <w:noWrap/>
            <w:vAlign w:val="center"/>
            <w:hideMark/>
          </w:tcPr>
          <w:p w14:paraId="38262ACD"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Casa Fuerte Juan Ponce de León</w:t>
            </w:r>
          </w:p>
        </w:tc>
        <w:tc>
          <w:tcPr>
            <w:tcW w:w="850" w:type="dxa"/>
            <w:tcBorders>
              <w:top w:val="nil"/>
              <w:left w:val="nil"/>
              <w:bottom w:val="single" w:sz="4" w:space="0" w:color="auto"/>
              <w:right w:val="single" w:sz="4" w:space="0" w:color="auto"/>
            </w:tcBorders>
            <w:noWrap/>
            <w:vAlign w:val="center"/>
            <w:hideMark/>
          </w:tcPr>
          <w:p w14:paraId="2B44D237"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157</w:t>
            </w:r>
          </w:p>
        </w:tc>
        <w:tc>
          <w:tcPr>
            <w:tcW w:w="635" w:type="dxa"/>
            <w:tcBorders>
              <w:top w:val="nil"/>
              <w:left w:val="nil"/>
              <w:bottom w:val="single" w:sz="4" w:space="0" w:color="auto"/>
              <w:right w:val="single" w:sz="4" w:space="0" w:color="auto"/>
            </w:tcBorders>
            <w:vAlign w:val="center"/>
            <w:hideMark/>
          </w:tcPr>
          <w:p w14:paraId="0A41565C"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74</w:t>
            </w:r>
          </w:p>
        </w:tc>
        <w:tc>
          <w:tcPr>
            <w:tcW w:w="738" w:type="dxa"/>
            <w:gridSpan w:val="2"/>
            <w:tcBorders>
              <w:top w:val="nil"/>
              <w:left w:val="nil"/>
              <w:bottom w:val="single" w:sz="4" w:space="0" w:color="auto"/>
              <w:right w:val="single" w:sz="4" w:space="0" w:color="auto"/>
            </w:tcBorders>
            <w:noWrap/>
            <w:vAlign w:val="center"/>
            <w:hideMark/>
          </w:tcPr>
          <w:p w14:paraId="079ABAC0"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48</w:t>
            </w:r>
          </w:p>
        </w:tc>
        <w:tc>
          <w:tcPr>
            <w:tcW w:w="635" w:type="dxa"/>
            <w:gridSpan w:val="2"/>
            <w:tcBorders>
              <w:top w:val="nil"/>
              <w:left w:val="nil"/>
              <w:bottom w:val="single" w:sz="4" w:space="0" w:color="auto"/>
              <w:right w:val="single" w:sz="4" w:space="0" w:color="auto"/>
            </w:tcBorders>
            <w:noWrap/>
            <w:vAlign w:val="center"/>
            <w:hideMark/>
          </w:tcPr>
          <w:p w14:paraId="55FB1B7C"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122</w:t>
            </w:r>
          </w:p>
        </w:tc>
        <w:tc>
          <w:tcPr>
            <w:tcW w:w="842" w:type="dxa"/>
            <w:gridSpan w:val="2"/>
            <w:tcBorders>
              <w:top w:val="nil"/>
              <w:left w:val="nil"/>
              <w:bottom w:val="single" w:sz="4" w:space="0" w:color="auto"/>
              <w:right w:val="single" w:sz="4" w:space="0" w:color="auto"/>
            </w:tcBorders>
            <w:noWrap/>
            <w:vAlign w:val="center"/>
            <w:hideMark/>
          </w:tcPr>
          <w:p w14:paraId="1D5A45AE"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244</w:t>
            </w:r>
          </w:p>
        </w:tc>
        <w:tc>
          <w:tcPr>
            <w:tcW w:w="774" w:type="dxa"/>
            <w:gridSpan w:val="2"/>
            <w:tcBorders>
              <w:top w:val="nil"/>
              <w:left w:val="nil"/>
              <w:bottom w:val="single" w:sz="4" w:space="0" w:color="auto"/>
              <w:right w:val="single" w:sz="4" w:space="0" w:color="auto"/>
            </w:tcBorders>
            <w:noWrap/>
            <w:vAlign w:val="center"/>
            <w:hideMark/>
          </w:tcPr>
          <w:p w14:paraId="2B2FF1B0"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155%</w:t>
            </w:r>
          </w:p>
        </w:tc>
      </w:tr>
      <w:tr w:rsidR="002B429D" w:rsidRPr="00806031" w14:paraId="06BC2E66"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66635E1F"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12</w:t>
            </w:r>
          </w:p>
        </w:tc>
        <w:tc>
          <w:tcPr>
            <w:tcW w:w="2977" w:type="dxa"/>
            <w:tcBorders>
              <w:top w:val="nil"/>
              <w:left w:val="nil"/>
              <w:bottom w:val="single" w:sz="4" w:space="0" w:color="auto"/>
              <w:right w:val="single" w:sz="4" w:space="0" w:color="auto"/>
            </w:tcBorders>
            <w:noWrap/>
            <w:vAlign w:val="center"/>
            <w:hideMark/>
          </w:tcPr>
          <w:p w14:paraId="0D1EA867"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Monumento a los Héroes de la Restauración</w:t>
            </w:r>
          </w:p>
        </w:tc>
        <w:tc>
          <w:tcPr>
            <w:tcW w:w="850" w:type="dxa"/>
            <w:tcBorders>
              <w:top w:val="nil"/>
              <w:left w:val="nil"/>
              <w:bottom w:val="single" w:sz="4" w:space="0" w:color="auto"/>
              <w:right w:val="single" w:sz="4" w:space="0" w:color="auto"/>
            </w:tcBorders>
            <w:noWrap/>
            <w:vAlign w:val="center"/>
            <w:hideMark/>
          </w:tcPr>
          <w:p w14:paraId="6C2F226D"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122</w:t>
            </w:r>
          </w:p>
        </w:tc>
        <w:tc>
          <w:tcPr>
            <w:tcW w:w="635" w:type="dxa"/>
            <w:tcBorders>
              <w:top w:val="nil"/>
              <w:left w:val="nil"/>
              <w:bottom w:val="single" w:sz="4" w:space="0" w:color="auto"/>
              <w:right w:val="single" w:sz="4" w:space="0" w:color="auto"/>
            </w:tcBorders>
            <w:vAlign w:val="center"/>
            <w:hideMark/>
          </w:tcPr>
          <w:p w14:paraId="6748937A"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95</w:t>
            </w:r>
          </w:p>
        </w:tc>
        <w:tc>
          <w:tcPr>
            <w:tcW w:w="738" w:type="dxa"/>
            <w:gridSpan w:val="2"/>
            <w:tcBorders>
              <w:top w:val="nil"/>
              <w:left w:val="nil"/>
              <w:bottom w:val="single" w:sz="4" w:space="0" w:color="auto"/>
              <w:right w:val="single" w:sz="4" w:space="0" w:color="auto"/>
            </w:tcBorders>
            <w:noWrap/>
            <w:vAlign w:val="center"/>
          </w:tcPr>
          <w:p w14:paraId="664E8E1A" w14:textId="33ACC215"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hideMark/>
          </w:tcPr>
          <w:p w14:paraId="6EAE7307"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27</w:t>
            </w:r>
          </w:p>
        </w:tc>
        <w:tc>
          <w:tcPr>
            <w:tcW w:w="842" w:type="dxa"/>
            <w:gridSpan w:val="2"/>
            <w:tcBorders>
              <w:top w:val="nil"/>
              <w:left w:val="nil"/>
              <w:bottom w:val="single" w:sz="4" w:space="0" w:color="auto"/>
              <w:right w:val="single" w:sz="4" w:space="0" w:color="auto"/>
            </w:tcBorders>
            <w:noWrap/>
            <w:vAlign w:val="center"/>
            <w:hideMark/>
          </w:tcPr>
          <w:p w14:paraId="357FCFDA"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122</w:t>
            </w:r>
          </w:p>
        </w:tc>
        <w:tc>
          <w:tcPr>
            <w:tcW w:w="774" w:type="dxa"/>
            <w:gridSpan w:val="2"/>
            <w:tcBorders>
              <w:top w:val="nil"/>
              <w:left w:val="nil"/>
              <w:bottom w:val="single" w:sz="4" w:space="0" w:color="auto"/>
              <w:right w:val="single" w:sz="4" w:space="0" w:color="auto"/>
            </w:tcBorders>
            <w:noWrap/>
            <w:vAlign w:val="center"/>
            <w:hideMark/>
          </w:tcPr>
          <w:p w14:paraId="03559ED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r>
      <w:tr w:rsidR="002B429D" w:rsidRPr="00806031" w14:paraId="520B6E90"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7C4CB5A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13</w:t>
            </w:r>
          </w:p>
        </w:tc>
        <w:tc>
          <w:tcPr>
            <w:tcW w:w="2977" w:type="dxa"/>
            <w:tcBorders>
              <w:top w:val="nil"/>
              <w:left w:val="nil"/>
              <w:bottom w:val="single" w:sz="4" w:space="0" w:color="auto"/>
              <w:right w:val="single" w:sz="4" w:space="0" w:color="auto"/>
            </w:tcBorders>
            <w:noWrap/>
            <w:vAlign w:val="center"/>
            <w:hideMark/>
          </w:tcPr>
          <w:p w14:paraId="25E297A6"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Centro Cultural y Museo Horacio Vásquez</w:t>
            </w:r>
          </w:p>
        </w:tc>
        <w:tc>
          <w:tcPr>
            <w:tcW w:w="850" w:type="dxa"/>
            <w:tcBorders>
              <w:top w:val="nil"/>
              <w:left w:val="nil"/>
              <w:bottom w:val="single" w:sz="4" w:space="0" w:color="auto"/>
              <w:right w:val="single" w:sz="4" w:space="0" w:color="auto"/>
            </w:tcBorders>
            <w:noWrap/>
            <w:vAlign w:val="center"/>
            <w:hideMark/>
          </w:tcPr>
          <w:p w14:paraId="00E08111"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100</w:t>
            </w:r>
          </w:p>
        </w:tc>
        <w:tc>
          <w:tcPr>
            <w:tcW w:w="635" w:type="dxa"/>
            <w:tcBorders>
              <w:top w:val="nil"/>
              <w:left w:val="nil"/>
              <w:bottom w:val="single" w:sz="4" w:space="0" w:color="auto"/>
              <w:right w:val="single" w:sz="4" w:space="0" w:color="auto"/>
            </w:tcBorders>
            <w:vAlign w:val="center"/>
            <w:hideMark/>
          </w:tcPr>
          <w:p w14:paraId="3FC420C6"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c>
          <w:tcPr>
            <w:tcW w:w="738" w:type="dxa"/>
            <w:gridSpan w:val="2"/>
            <w:tcBorders>
              <w:top w:val="nil"/>
              <w:left w:val="nil"/>
              <w:bottom w:val="single" w:sz="4" w:space="0" w:color="auto"/>
              <w:right w:val="single" w:sz="4" w:space="0" w:color="auto"/>
            </w:tcBorders>
            <w:noWrap/>
            <w:vAlign w:val="center"/>
          </w:tcPr>
          <w:p w14:paraId="622A1D3A" w14:textId="059E6DA2"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tcPr>
          <w:p w14:paraId="04B02273" w14:textId="75F9DAE7" w:rsidR="00806031" w:rsidRPr="00806031" w:rsidRDefault="00806031" w:rsidP="00806031">
            <w:pPr>
              <w:spacing w:after="0" w:line="240" w:lineRule="auto"/>
              <w:jc w:val="center"/>
              <w:rPr>
                <w:rFonts w:eastAsia="Times New Roman"/>
                <w:spacing w:val="0"/>
                <w:sz w:val="22"/>
                <w:szCs w:val="22"/>
                <w:lang w:val="es-MX" w:eastAsia="es-MX"/>
              </w:rPr>
            </w:pPr>
          </w:p>
        </w:tc>
        <w:tc>
          <w:tcPr>
            <w:tcW w:w="842" w:type="dxa"/>
            <w:gridSpan w:val="2"/>
            <w:tcBorders>
              <w:top w:val="nil"/>
              <w:left w:val="nil"/>
              <w:bottom w:val="single" w:sz="4" w:space="0" w:color="auto"/>
              <w:right w:val="single" w:sz="4" w:space="0" w:color="auto"/>
            </w:tcBorders>
            <w:noWrap/>
            <w:vAlign w:val="center"/>
            <w:hideMark/>
          </w:tcPr>
          <w:p w14:paraId="74264A39"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c>
          <w:tcPr>
            <w:tcW w:w="774" w:type="dxa"/>
            <w:gridSpan w:val="2"/>
            <w:tcBorders>
              <w:top w:val="nil"/>
              <w:left w:val="nil"/>
              <w:bottom w:val="single" w:sz="4" w:space="0" w:color="auto"/>
              <w:right w:val="single" w:sz="4" w:space="0" w:color="auto"/>
            </w:tcBorders>
            <w:noWrap/>
            <w:vAlign w:val="center"/>
            <w:hideMark/>
          </w:tcPr>
          <w:p w14:paraId="7BFA729A"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r>
      <w:tr w:rsidR="002B429D" w:rsidRPr="00806031" w14:paraId="7D2BC6FD" w14:textId="77777777" w:rsidTr="009935E3">
        <w:trPr>
          <w:gridAfter w:val="1"/>
          <w:wAfter w:w="13" w:type="dxa"/>
          <w:trHeight w:val="125"/>
        </w:trPr>
        <w:tc>
          <w:tcPr>
            <w:tcW w:w="572" w:type="dxa"/>
            <w:tcBorders>
              <w:top w:val="nil"/>
              <w:left w:val="single" w:sz="4" w:space="0" w:color="auto"/>
              <w:bottom w:val="single" w:sz="4" w:space="0" w:color="auto"/>
              <w:right w:val="single" w:sz="4" w:space="0" w:color="auto"/>
            </w:tcBorders>
            <w:noWrap/>
            <w:vAlign w:val="center"/>
            <w:hideMark/>
          </w:tcPr>
          <w:p w14:paraId="1B9D6474"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14</w:t>
            </w:r>
          </w:p>
        </w:tc>
        <w:tc>
          <w:tcPr>
            <w:tcW w:w="2977" w:type="dxa"/>
            <w:tcBorders>
              <w:top w:val="nil"/>
              <w:left w:val="nil"/>
              <w:bottom w:val="single" w:sz="4" w:space="0" w:color="auto"/>
              <w:right w:val="single" w:sz="4" w:space="0" w:color="auto"/>
            </w:tcBorders>
            <w:noWrap/>
            <w:vAlign w:val="center"/>
            <w:hideMark/>
          </w:tcPr>
          <w:p w14:paraId="00237D54"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26 de Julio</w:t>
            </w:r>
          </w:p>
        </w:tc>
        <w:tc>
          <w:tcPr>
            <w:tcW w:w="850" w:type="dxa"/>
            <w:tcBorders>
              <w:top w:val="nil"/>
              <w:left w:val="nil"/>
              <w:bottom w:val="single" w:sz="4" w:space="0" w:color="auto"/>
              <w:right w:val="single" w:sz="4" w:space="0" w:color="auto"/>
            </w:tcBorders>
            <w:noWrap/>
            <w:vAlign w:val="center"/>
            <w:hideMark/>
          </w:tcPr>
          <w:p w14:paraId="6C8BA20E"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95</w:t>
            </w:r>
          </w:p>
        </w:tc>
        <w:tc>
          <w:tcPr>
            <w:tcW w:w="635" w:type="dxa"/>
            <w:tcBorders>
              <w:top w:val="nil"/>
              <w:left w:val="nil"/>
              <w:bottom w:val="single" w:sz="4" w:space="0" w:color="auto"/>
              <w:right w:val="single" w:sz="4" w:space="0" w:color="auto"/>
            </w:tcBorders>
            <w:vAlign w:val="center"/>
            <w:hideMark/>
          </w:tcPr>
          <w:p w14:paraId="43D4E92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91</w:t>
            </w:r>
          </w:p>
        </w:tc>
        <w:tc>
          <w:tcPr>
            <w:tcW w:w="738" w:type="dxa"/>
            <w:gridSpan w:val="2"/>
            <w:tcBorders>
              <w:top w:val="nil"/>
              <w:left w:val="nil"/>
              <w:bottom w:val="single" w:sz="4" w:space="0" w:color="auto"/>
              <w:right w:val="single" w:sz="4" w:space="0" w:color="auto"/>
            </w:tcBorders>
            <w:noWrap/>
            <w:vAlign w:val="center"/>
          </w:tcPr>
          <w:p w14:paraId="5A022F66" w14:textId="29E096B3"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tcPr>
          <w:p w14:paraId="20E143E8" w14:textId="0D4FD55E" w:rsidR="00806031" w:rsidRPr="00806031" w:rsidRDefault="00806031" w:rsidP="00806031">
            <w:pPr>
              <w:spacing w:after="0" w:line="240" w:lineRule="auto"/>
              <w:jc w:val="center"/>
              <w:rPr>
                <w:rFonts w:eastAsia="Times New Roman"/>
                <w:spacing w:val="0"/>
                <w:sz w:val="22"/>
                <w:szCs w:val="22"/>
                <w:lang w:val="es-MX" w:eastAsia="es-MX"/>
              </w:rPr>
            </w:pPr>
          </w:p>
        </w:tc>
        <w:tc>
          <w:tcPr>
            <w:tcW w:w="842" w:type="dxa"/>
            <w:gridSpan w:val="2"/>
            <w:tcBorders>
              <w:top w:val="nil"/>
              <w:left w:val="nil"/>
              <w:bottom w:val="single" w:sz="4" w:space="0" w:color="auto"/>
              <w:right w:val="single" w:sz="4" w:space="0" w:color="auto"/>
            </w:tcBorders>
            <w:noWrap/>
            <w:vAlign w:val="center"/>
            <w:hideMark/>
          </w:tcPr>
          <w:p w14:paraId="7CF6EBA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91</w:t>
            </w:r>
          </w:p>
        </w:tc>
        <w:tc>
          <w:tcPr>
            <w:tcW w:w="774" w:type="dxa"/>
            <w:gridSpan w:val="2"/>
            <w:tcBorders>
              <w:top w:val="nil"/>
              <w:left w:val="nil"/>
              <w:bottom w:val="single" w:sz="4" w:space="0" w:color="auto"/>
              <w:right w:val="single" w:sz="4" w:space="0" w:color="auto"/>
            </w:tcBorders>
            <w:noWrap/>
            <w:vAlign w:val="center"/>
            <w:hideMark/>
          </w:tcPr>
          <w:p w14:paraId="27BC483B"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96%</w:t>
            </w:r>
          </w:p>
        </w:tc>
      </w:tr>
      <w:tr w:rsidR="002B429D" w:rsidRPr="00806031" w14:paraId="0CF4BB77" w14:textId="77777777" w:rsidTr="009935E3">
        <w:trPr>
          <w:gridAfter w:val="1"/>
          <w:wAfter w:w="13" w:type="dxa"/>
          <w:trHeight w:val="312"/>
        </w:trPr>
        <w:tc>
          <w:tcPr>
            <w:tcW w:w="572" w:type="dxa"/>
            <w:tcBorders>
              <w:top w:val="nil"/>
              <w:left w:val="single" w:sz="4" w:space="0" w:color="auto"/>
              <w:bottom w:val="single" w:sz="4" w:space="0" w:color="auto"/>
              <w:right w:val="single" w:sz="4" w:space="0" w:color="auto"/>
            </w:tcBorders>
            <w:noWrap/>
            <w:vAlign w:val="center"/>
            <w:hideMark/>
          </w:tcPr>
          <w:p w14:paraId="137DC3A9"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15</w:t>
            </w:r>
          </w:p>
        </w:tc>
        <w:tc>
          <w:tcPr>
            <w:tcW w:w="2977" w:type="dxa"/>
            <w:tcBorders>
              <w:top w:val="nil"/>
              <w:left w:val="nil"/>
              <w:bottom w:val="single" w:sz="4" w:space="0" w:color="auto"/>
              <w:right w:val="single" w:sz="4" w:space="0" w:color="auto"/>
            </w:tcBorders>
            <w:noWrap/>
            <w:vAlign w:val="center"/>
            <w:hideMark/>
          </w:tcPr>
          <w:p w14:paraId="5AC7E5A9" w14:textId="77777777" w:rsidR="00806031" w:rsidRPr="00806031" w:rsidRDefault="00806031" w:rsidP="00806031">
            <w:pPr>
              <w:spacing w:after="0" w:line="240" w:lineRule="auto"/>
              <w:rPr>
                <w:rFonts w:eastAsia="Times New Roman"/>
                <w:spacing w:val="0"/>
                <w:sz w:val="22"/>
                <w:szCs w:val="22"/>
                <w:lang w:val="es-MX" w:eastAsia="es-MX"/>
              </w:rPr>
            </w:pPr>
            <w:r w:rsidRPr="00806031">
              <w:rPr>
                <w:rFonts w:eastAsia="Times New Roman"/>
                <w:spacing w:val="0"/>
                <w:sz w:val="22"/>
                <w:szCs w:val="22"/>
                <w:lang w:val="es-MX" w:eastAsia="es-MX"/>
              </w:rPr>
              <w:t>Museo Fortaleza San Felipe</w:t>
            </w:r>
          </w:p>
        </w:tc>
        <w:tc>
          <w:tcPr>
            <w:tcW w:w="850" w:type="dxa"/>
            <w:tcBorders>
              <w:top w:val="nil"/>
              <w:left w:val="nil"/>
              <w:bottom w:val="single" w:sz="4" w:space="0" w:color="auto"/>
              <w:right w:val="single" w:sz="4" w:space="0" w:color="auto"/>
            </w:tcBorders>
            <w:noWrap/>
            <w:vAlign w:val="center"/>
            <w:hideMark/>
          </w:tcPr>
          <w:p w14:paraId="41C2783C" w14:textId="77777777" w:rsidR="00806031" w:rsidRPr="00806031" w:rsidRDefault="00806031" w:rsidP="00806031">
            <w:pPr>
              <w:spacing w:after="0" w:line="240" w:lineRule="auto"/>
              <w:jc w:val="center"/>
              <w:rPr>
                <w:rFonts w:eastAsia="Times New Roman"/>
                <w:spacing w:val="0"/>
                <w:sz w:val="20"/>
                <w:szCs w:val="20"/>
                <w:lang w:val="es-MX" w:eastAsia="es-MX"/>
              </w:rPr>
            </w:pPr>
            <w:r w:rsidRPr="00806031">
              <w:rPr>
                <w:rFonts w:eastAsia="Times New Roman"/>
                <w:spacing w:val="0"/>
                <w:sz w:val="20"/>
                <w:szCs w:val="20"/>
                <w:lang w:val="es-MX" w:eastAsia="es-MX"/>
              </w:rPr>
              <w:t>151</w:t>
            </w:r>
          </w:p>
        </w:tc>
        <w:tc>
          <w:tcPr>
            <w:tcW w:w="635" w:type="dxa"/>
            <w:tcBorders>
              <w:top w:val="nil"/>
              <w:left w:val="nil"/>
              <w:bottom w:val="single" w:sz="4" w:space="0" w:color="auto"/>
              <w:right w:val="single" w:sz="4" w:space="0" w:color="auto"/>
            </w:tcBorders>
            <w:vAlign w:val="center"/>
            <w:hideMark/>
          </w:tcPr>
          <w:p w14:paraId="5C8B6897"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151</w:t>
            </w:r>
          </w:p>
        </w:tc>
        <w:tc>
          <w:tcPr>
            <w:tcW w:w="738" w:type="dxa"/>
            <w:gridSpan w:val="2"/>
            <w:tcBorders>
              <w:top w:val="nil"/>
              <w:left w:val="nil"/>
              <w:bottom w:val="single" w:sz="4" w:space="0" w:color="auto"/>
              <w:right w:val="single" w:sz="4" w:space="0" w:color="auto"/>
            </w:tcBorders>
            <w:noWrap/>
            <w:vAlign w:val="center"/>
          </w:tcPr>
          <w:p w14:paraId="6B385E0A" w14:textId="2802295F" w:rsidR="00806031" w:rsidRPr="00806031" w:rsidRDefault="00806031" w:rsidP="00806031">
            <w:pPr>
              <w:spacing w:after="0" w:line="240" w:lineRule="auto"/>
              <w:jc w:val="center"/>
              <w:rPr>
                <w:rFonts w:eastAsia="Times New Roman"/>
                <w:spacing w:val="0"/>
                <w:sz w:val="22"/>
                <w:szCs w:val="22"/>
                <w:lang w:val="es-MX" w:eastAsia="es-MX"/>
              </w:rPr>
            </w:pPr>
          </w:p>
        </w:tc>
        <w:tc>
          <w:tcPr>
            <w:tcW w:w="635" w:type="dxa"/>
            <w:gridSpan w:val="2"/>
            <w:tcBorders>
              <w:top w:val="nil"/>
              <w:left w:val="nil"/>
              <w:bottom w:val="single" w:sz="4" w:space="0" w:color="auto"/>
              <w:right w:val="single" w:sz="4" w:space="0" w:color="auto"/>
            </w:tcBorders>
            <w:noWrap/>
            <w:vAlign w:val="center"/>
          </w:tcPr>
          <w:p w14:paraId="6C7CA921" w14:textId="4AB93DF5" w:rsidR="00806031" w:rsidRPr="00806031" w:rsidRDefault="00806031" w:rsidP="00806031">
            <w:pPr>
              <w:spacing w:after="0" w:line="240" w:lineRule="auto"/>
              <w:jc w:val="center"/>
              <w:rPr>
                <w:rFonts w:eastAsia="Times New Roman"/>
                <w:spacing w:val="0"/>
                <w:sz w:val="22"/>
                <w:szCs w:val="22"/>
                <w:lang w:val="es-MX" w:eastAsia="es-MX"/>
              </w:rPr>
            </w:pPr>
          </w:p>
        </w:tc>
        <w:tc>
          <w:tcPr>
            <w:tcW w:w="842" w:type="dxa"/>
            <w:gridSpan w:val="2"/>
            <w:tcBorders>
              <w:top w:val="nil"/>
              <w:left w:val="nil"/>
              <w:bottom w:val="single" w:sz="4" w:space="0" w:color="auto"/>
              <w:right w:val="single" w:sz="4" w:space="0" w:color="auto"/>
            </w:tcBorders>
            <w:noWrap/>
            <w:vAlign w:val="center"/>
            <w:hideMark/>
          </w:tcPr>
          <w:p w14:paraId="05714ECD"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151</w:t>
            </w:r>
          </w:p>
        </w:tc>
        <w:tc>
          <w:tcPr>
            <w:tcW w:w="774" w:type="dxa"/>
            <w:gridSpan w:val="2"/>
            <w:tcBorders>
              <w:top w:val="nil"/>
              <w:left w:val="nil"/>
              <w:bottom w:val="single" w:sz="4" w:space="0" w:color="auto"/>
              <w:right w:val="single" w:sz="4" w:space="0" w:color="auto"/>
            </w:tcBorders>
            <w:noWrap/>
            <w:vAlign w:val="center"/>
            <w:hideMark/>
          </w:tcPr>
          <w:p w14:paraId="66E8D308" w14:textId="77777777" w:rsidR="00806031" w:rsidRPr="00806031" w:rsidRDefault="00806031" w:rsidP="00806031">
            <w:pPr>
              <w:spacing w:after="0" w:line="240" w:lineRule="auto"/>
              <w:jc w:val="center"/>
              <w:rPr>
                <w:rFonts w:eastAsia="Times New Roman"/>
                <w:spacing w:val="0"/>
                <w:sz w:val="22"/>
                <w:szCs w:val="22"/>
                <w:lang w:val="es-MX" w:eastAsia="es-MX"/>
              </w:rPr>
            </w:pPr>
            <w:r w:rsidRPr="00806031">
              <w:rPr>
                <w:rFonts w:eastAsia="Times New Roman"/>
                <w:spacing w:val="0"/>
                <w:sz w:val="22"/>
                <w:szCs w:val="22"/>
                <w:lang w:val="es-MX" w:eastAsia="es-MX"/>
              </w:rPr>
              <w:t>100%</w:t>
            </w:r>
          </w:p>
        </w:tc>
      </w:tr>
      <w:tr w:rsidR="002B429D" w:rsidRPr="00806031" w14:paraId="77606CB8" w14:textId="77777777" w:rsidTr="002B429D">
        <w:trPr>
          <w:gridAfter w:val="1"/>
          <w:wAfter w:w="13" w:type="dxa"/>
          <w:trHeight w:val="312"/>
        </w:trPr>
        <w:tc>
          <w:tcPr>
            <w:tcW w:w="3549" w:type="dxa"/>
            <w:gridSpan w:val="2"/>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23C88ABD" w14:textId="77777777" w:rsidR="00806031" w:rsidRPr="00806031" w:rsidRDefault="00806031" w:rsidP="00806031">
            <w:pPr>
              <w:spacing w:after="0" w:line="240" w:lineRule="auto"/>
              <w:jc w:val="right"/>
              <w:rPr>
                <w:rFonts w:eastAsia="Times New Roman"/>
                <w:b/>
                <w:bCs/>
                <w:color w:val="FFFFFF"/>
                <w:spacing w:val="0"/>
                <w:sz w:val="22"/>
                <w:szCs w:val="22"/>
                <w:lang w:val="es-MX" w:eastAsia="es-MX"/>
              </w:rPr>
            </w:pPr>
            <w:proofErr w:type="gramStart"/>
            <w:r w:rsidRPr="00806031">
              <w:rPr>
                <w:rFonts w:eastAsia="Times New Roman"/>
                <w:b/>
                <w:bCs/>
                <w:color w:val="FFFFFF"/>
                <w:spacing w:val="0"/>
                <w:sz w:val="22"/>
                <w:szCs w:val="22"/>
                <w:lang w:val="es-MX" w:eastAsia="es-MX"/>
              </w:rPr>
              <w:t>Total</w:t>
            </w:r>
            <w:proofErr w:type="gramEnd"/>
            <w:r w:rsidRPr="00806031">
              <w:rPr>
                <w:rFonts w:eastAsia="Times New Roman"/>
                <w:b/>
                <w:bCs/>
                <w:color w:val="FFFFFF"/>
                <w:spacing w:val="0"/>
                <w:sz w:val="22"/>
                <w:szCs w:val="22"/>
                <w:lang w:val="es-MX" w:eastAsia="es-MX"/>
              </w:rPr>
              <w:t xml:space="preserve"> General</w:t>
            </w:r>
          </w:p>
        </w:tc>
        <w:tc>
          <w:tcPr>
            <w:tcW w:w="850" w:type="dxa"/>
            <w:tcBorders>
              <w:top w:val="nil"/>
              <w:left w:val="nil"/>
              <w:bottom w:val="single" w:sz="4" w:space="0" w:color="auto"/>
              <w:right w:val="single" w:sz="4" w:space="0" w:color="auto"/>
            </w:tcBorders>
            <w:shd w:val="clear" w:color="000000" w:fill="142F62"/>
            <w:noWrap/>
            <w:vAlign w:val="center"/>
            <w:hideMark/>
          </w:tcPr>
          <w:p w14:paraId="5F7F4B93" w14:textId="77777777" w:rsidR="00806031" w:rsidRPr="00806031" w:rsidRDefault="00806031" w:rsidP="00806031">
            <w:pPr>
              <w:spacing w:after="0" w:line="240" w:lineRule="auto"/>
              <w:jc w:val="center"/>
              <w:rPr>
                <w:rFonts w:eastAsia="Times New Roman"/>
                <w:b/>
                <w:bCs/>
                <w:color w:val="FFFFFF"/>
                <w:spacing w:val="0"/>
                <w:sz w:val="22"/>
                <w:szCs w:val="22"/>
                <w:lang w:val="es-MX" w:eastAsia="es-MX"/>
              </w:rPr>
            </w:pPr>
            <w:r w:rsidRPr="00806031">
              <w:rPr>
                <w:rFonts w:eastAsia="Times New Roman"/>
                <w:b/>
                <w:bCs/>
                <w:color w:val="FFFFFF"/>
                <w:spacing w:val="0"/>
                <w:sz w:val="22"/>
                <w:szCs w:val="22"/>
                <w:lang w:val="es-MX" w:eastAsia="es-MX"/>
              </w:rPr>
              <w:t>20,885</w:t>
            </w:r>
          </w:p>
        </w:tc>
        <w:tc>
          <w:tcPr>
            <w:tcW w:w="635" w:type="dxa"/>
            <w:tcBorders>
              <w:top w:val="nil"/>
              <w:left w:val="nil"/>
              <w:bottom w:val="single" w:sz="4" w:space="0" w:color="auto"/>
              <w:right w:val="single" w:sz="4" w:space="0" w:color="auto"/>
            </w:tcBorders>
            <w:shd w:val="clear" w:color="000000" w:fill="142F62"/>
            <w:vAlign w:val="center"/>
            <w:hideMark/>
          </w:tcPr>
          <w:p w14:paraId="31833B37" w14:textId="77777777" w:rsidR="00806031" w:rsidRPr="00806031" w:rsidRDefault="00806031" w:rsidP="00806031">
            <w:pPr>
              <w:spacing w:after="0" w:line="240" w:lineRule="auto"/>
              <w:jc w:val="center"/>
              <w:rPr>
                <w:rFonts w:eastAsia="Times New Roman"/>
                <w:b/>
                <w:bCs/>
                <w:color w:val="FFFFFF"/>
                <w:spacing w:val="0"/>
                <w:sz w:val="22"/>
                <w:szCs w:val="22"/>
                <w:lang w:val="es-MX" w:eastAsia="es-MX"/>
              </w:rPr>
            </w:pPr>
            <w:r w:rsidRPr="00806031">
              <w:rPr>
                <w:rFonts w:eastAsia="Times New Roman"/>
                <w:b/>
                <w:bCs/>
                <w:color w:val="FFFFFF"/>
                <w:spacing w:val="0"/>
                <w:sz w:val="22"/>
                <w:szCs w:val="22"/>
                <w:lang w:val="es-MX" w:eastAsia="es-MX"/>
              </w:rPr>
              <w:t>7,852</w:t>
            </w:r>
          </w:p>
        </w:tc>
        <w:tc>
          <w:tcPr>
            <w:tcW w:w="738" w:type="dxa"/>
            <w:gridSpan w:val="2"/>
            <w:tcBorders>
              <w:top w:val="nil"/>
              <w:left w:val="nil"/>
              <w:bottom w:val="single" w:sz="4" w:space="0" w:color="auto"/>
              <w:right w:val="single" w:sz="4" w:space="0" w:color="auto"/>
            </w:tcBorders>
            <w:shd w:val="clear" w:color="000000" w:fill="142F62"/>
            <w:noWrap/>
            <w:vAlign w:val="center"/>
            <w:hideMark/>
          </w:tcPr>
          <w:p w14:paraId="12838DA4" w14:textId="77777777" w:rsidR="00806031" w:rsidRPr="00806031" w:rsidRDefault="00806031" w:rsidP="00806031">
            <w:pPr>
              <w:spacing w:after="0" w:line="240" w:lineRule="auto"/>
              <w:jc w:val="center"/>
              <w:rPr>
                <w:rFonts w:eastAsia="Times New Roman"/>
                <w:b/>
                <w:bCs/>
                <w:color w:val="FFFFFF"/>
                <w:spacing w:val="0"/>
                <w:sz w:val="22"/>
                <w:szCs w:val="22"/>
                <w:lang w:val="es-MX" w:eastAsia="es-MX"/>
              </w:rPr>
            </w:pPr>
            <w:r w:rsidRPr="00806031">
              <w:rPr>
                <w:rFonts w:eastAsia="Times New Roman"/>
                <w:b/>
                <w:bCs/>
                <w:color w:val="FFFFFF"/>
                <w:spacing w:val="0"/>
                <w:sz w:val="22"/>
                <w:szCs w:val="22"/>
                <w:lang w:val="es-MX" w:eastAsia="es-MX"/>
              </w:rPr>
              <w:t>3,891</w:t>
            </w:r>
          </w:p>
        </w:tc>
        <w:tc>
          <w:tcPr>
            <w:tcW w:w="635" w:type="dxa"/>
            <w:gridSpan w:val="2"/>
            <w:tcBorders>
              <w:top w:val="nil"/>
              <w:left w:val="nil"/>
              <w:bottom w:val="single" w:sz="4" w:space="0" w:color="auto"/>
              <w:right w:val="single" w:sz="4" w:space="0" w:color="auto"/>
            </w:tcBorders>
            <w:shd w:val="clear" w:color="000000" w:fill="142F62"/>
            <w:noWrap/>
            <w:vAlign w:val="center"/>
            <w:hideMark/>
          </w:tcPr>
          <w:p w14:paraId="5BDD8C31" w14:textId="77777777" w:rsidR="00806031" w:rsidRPr="00806031" w:rsidRDefault="00806031" w:rsidP="00806031">
            <w:pPr>
              <w:spacing w:after="0" w:line="240" w:lineRule="auto"/>
              <w:jc w:val="center"/>
              <w:rPr>
                <w:rFonts w:eastAsia="Times New Roman"/>
                <w:b/>
                <w:bCs/>
                <w:color w:val="FFFFFF"/>
                <w:spacing w:val="0"/>
                <w:sz w:val="22"/>
                <w:szCs w:val="22"/>
                <w:lang w:val="es-MX" w:eastAsia="es-MX"/>
              </w:rPr>
            </w:pPr>
            <w:r w:rsidRPr="00806031">
              <w:rPr>
                <w:rFonts w:eastAsia="Times New Roman"/>
                <w:b/>
                <w:bCs/>
                <w:color w:val="FFFFFF"/>
                <w:spacing w:val="0"/>
                <w:sz w:val="22"/>
                <w:szCs w:val="22"/>
                <w:lang w:val="es-MX" w:eastAsia="es-MX"/>
              </w:rPr>
              <w:t>8,705</w:t>
            </w:r>
          </w:p>
        </w:tc>
        <w:tc>
          <w:tcPr>
            <w:tcW w:w="842" w:type="dxa"/>
            <w:gridSpan w:val="2"/>
            <w:tcBorders>
              <w:top w:val="nil"/>
              <w:left w:val="nil"/>
              <w:bottom w:val="single" w:sz="4" w:space="0" w:color="auto"/>
              <w:right w:val="single" w:sz="4" w:space="0" w:color="auto"/>
            </w:tcBorders>
            <w:shd w:val="clear" w:color="000000" w:fill="142F62"/>
            <w:noWrap/>
            <w:vAlign w:val="center"/>
            <w:hideMark/>
          </w:tcPr>
          <w:p w14:paraId="5D5815CE" w14:textId="77777777" w:rsidR="00806031" w:rsidRPr="00806031" w:rsidRDefault="00806031" w:rsidP="00806031">
            <w:pPr>
              <w:spacing w:after="0" w:line="240" w:lineRule="auto"/>
              <w:jc w:val="center"/>
              <w:rPr>
                <w:rFonts w:eastAsia="Times New Roman"/>
                <w:b/>
                <w:bCs/>
                <w:color w:val="FFFFFF"/>
                <w:spacing w:val="0"/>
                <w:sz w:val="22"/>
                <w:szCs w:val="22"/>
                <w:lang w:val="es-MX" w:eastAsia="es-MX"/>
              </w:rPr>
            </w:pPr>
            <w:r w:rsidRPr="00806031">
              <w:rPr>
                <w:rFonts w:eastAsia="Times New Roman"/>
                <w:b/>
                <w:bCs/>
                <w:color w:val="FFFFFF"/>
                <w:spacing w:val="0"/>
                <w:sz w:val="22"/>
                <w:szCs w:val="22"/>
                <w:lang w:val="es-MX" w:eastAsia="es-MX"/>
              </w:rPr>
              <w:t>20,448</w:t>
            </w:r>
          </w:p>
        </w:tc>
        <w:tc>
          <w:tcPr>
            <w:tcW w:w="774" w:type="dxa"/>
            <w:gridSpan w:val="2"/>
            <w:tcBorders>
              <w:top w:val="nil"/>
              <w:left w:val="nil"/>
              <w:bottom w:val="single" w:sz="4" w:space="0" w:color="auto"/>
              <w:right w:val="single" w:sz="4" w:space="0" w:color="auto"/>
            </w:tcBorders>
            <w:shd w:val="clear" w:color="000000" w:fill="142F62"/>
            <w:noWrap/>
            <w:vAlign w:val="center"/>
            <w:hideMark/>
          </w:tcPr>
          <w:p w14:paraId="17497028" w14:textId="77777777" w:rsidR="00806031" w:rsidRPr="00806031" w:rsidRDefault="00806031" w:rsidP="00806031">
            <w:pPr>
              <w:spacing w:after="0" w:line="240" w:lineRule="auto"/>
              <w:jc w:val="center"/>
              <w:rPr>
                <w:rFonts w:eastAsia="Times New Roman"/>
                <w:b/>
                <w:bCs/>
                <w:color w:val="FFFFFF"/>
                <w:spacing w:val="0"/>
                <w:sz w:val="22"/>
                <w:szCs w:val="22"/>
                <w:lang w:val="es-MX" w:eastAsia="es-MX"/>
              </w:rPr>
            </w:pPr>
            <w:r w:rsidRPr="00806031">
              <w:rPr>
                <w:rFonts w:eastAsia="Times New Roman"/>
                <w:b/>
                <w:bCs/>
                <w:color w:val="FFFFFF"/>
                <w:spacing w:val="0"/>
                <w:sz w:val="22"/>
                <w:szCs w:val="22"/>
                <w:lang w:val="es-MX" w:eastAsia="es-MX"/>
              </w:rPr>
              <w:t>98%</w:t>
            </w:r>
          </w:p>
        </w:tc>
      </w:tr>
    </w:tbl>
    <w:p w14:paraId="0740B7DD" w14:textId="69AE30A3" w:rsidR="007A6255" w:rsidRPr="00AE6926" w:rsidRDefault="004135A8" w:rsidP="002B429D">
      <w:pPr>
        <w:spacing w:after="0" w:line="240" w:lineRule="auto"/>
        <w:jc w:val="both"/>
        <w:rPr>
          <w:rFonts w:eastAsia="Calibri"/>
          <w:i/>
          <w:iCs/>
          <w:sz w:val="22"/>
          <w:szCs w:val="22"/>
          <w:lang w:val="es-DO"/>
        </w:rPr>
      </w:pPr>
      <w:r w:rsidRPr="00AE6926">
        <w:rPr>
          <w:rFonts w:eastAsia="Calibri"/>
          <w:i/>
          <w:iCs/>
          <w:sz w:val="22"/>
          <w:szCs w:val="22"/>
          <w:lang w:val="es-DO"/>
        </w:rPr>
        <w:t>Cuadro</w:t>
      </w:r>
      <w:r w:rsidR="00EB7C47">
        <w:rPr>
          <w:rFonts w:eastAsia="Calibri"/>
          <w:i/>
          <w:iCs/>
          <w:sz w:val="22"/>
          <w:szCs w:val="22"/>
          <w:lang w:val="es-DO"/>
        </w:rPr>
        <w:t xml:space="preserve"> </w:t>
      </w:r>
      <w:r w:rsidRPr="00AE6926">
        <w:rPr>
          <w:rFonts w:eastAsia="Calibri"/>
          <w:i/>
          <w:iCs/>
          <w:sz w:val="22"/>
          <w:szCs w:val="22"/>
          <w:lang w:val="es-DO"/>
        </w:rPr>
        <w:t>3</w:t>
      </w:r>
      <w:r w:rsidR="007A4E21">
        <w:rPr>
          <w:rFonts w:eastAsia="Calibri"/>
          <w:i/>
          <w:iCs/>
          <w:sz w:val="22"/>
          <w:szCs w:val="22"/>
          <w:lang w:val="es-DO"/>
        </w:rPr>
        <w:t>.</w:t>
      </w:r>
      <w:r w:rsidRPr="00AE6926">
        <w:rPr>
          <w:rFonts w:eastAsia="Calibri"/>
          <w:i/>
          <w:iCs/>
          <w:sz w:val="22"/>
          <w:szCs w:val="22"/>
          <w:lang w:val="es-DO"/>
        </w:rPr>
        <w:t xml:space="preserve"> Cantidad de bienes culturales </w:t>
      </w:r>
      <w:r w:rsidR="007A4E21">
        <w:rPr>
          <w:rFonts w:eastAsia="Calibri"/>
          <w:i/>
          <w:iCs/>
          <w:sz w:val="22"/>
          <w:szCs w:val="22"/>
          <w:lang w:val="es-DO"/>
        </w:rPr>
        <w:t>digitalizado</w:t>
      </w:r>
      <w:r w:rsidR="004E35A9">
        <w:rPr>
          <w:rFonts w:eastAsia="Calibri"/>
          <w:i/>
          <w:iCs/>
          <w:sz w:val="22"/>
          <w:szCs w:val="22"/>
          <w:lang w:val="es-DO"/>
        </w:rPr>
        <w:t xml:space="preserve"> al 15/12/</w:t>
      </w:r>
      <w:r w:rsidR="00076070">
        <w:rPr>
          <w:rFonts w:eastAsia="Calibri"/>
          <w:i/>
          <w:iCs/>
          <w:sz w:val="22"/>
          <w:szCs w:val="22"/>
          <w:lang w:val="es-DO"/>
        </w:rPr>
        <w:t>2025</w:t>
      </w:r>
    </w:p>
    <w:p w14:paraId="1CDB19D5" w14:textId="77777777" w:rsidR="0039446E" w:rsidRDefault="0039446E" w:rsidP="009935E3">
      <w:pPr>
        <w:spacing w:line="360" w:lineRule="auto"/>
        <w:jc w:val="both"/>
        <w:rPr>
          <w:rFonts w:eastAsia="Calibri"/>
          <w:szCs w:val="36"/>
          <w:lang w:val="es-DO"/>
        </w:rPr>
      </w:pPr>
    </w:p>
    <w:p w14:paraId="28FAD990" w14:textId="4534FD02" w:rsidR="00AD1AAE" w:rsidRDefault="00DD7F4D" w:rsidP="00DB2C88">
      <w:pPr>
        <w:spacing w:line="360" w:lineRule="auto"/>
        <w:jc w:val="both"/>
        <w:rPr>
          <w:rFonts w:eastAsia="Calibri"/>
          <w:lang w:val="es-DO"/>
        </w:rPr>
      </w:pPr>
      <w:r>
        <w:rPr>
          <w:rFonts w:eastAsia="Calibri"/>
          <w:szCs w:val="36"/>
          <w:lang w:val="es-DO"/>
        </w:rPr>
        <w:t>Como se observa, con la digitalización d</w:t>
      </w:r>
      <w:r w:rsidR="00563C7C" w:rsidRPr="00A14455">
        <w:rPr>
          <w:rFonts w:eastAsia="Calibri"/>
          <w:szCs w:val="36"/>
          <w:lang w:val="es-DO"/>
        </w:rPr>
        <w:t xml:space="preserve">urante el año 2025 </w:t>
      </w:r>
      <w:r>
        <w:rPr>
          <w:rFonts w:eastAsia="Calibri"/>
          <w:szCs w:val="36"/>
          <w:lang w:val="es-DO"/>
        </w:rPr>
        <w:t xml:space="preserve">de </w:t>
      </w:r>
      <w:r w:rsidR="00563C7C" w:rsidRPr="00A14455">
        <w:rPr>
          <w:rFonts w:eastAsia="Calibri"/>
          <w:szCs w:val="36"/>
          <w:lang w:val="es-DO"/>
        </w:rPr>
        <w:t xml:space="preserve">un total de </w:t>
      </w:r>
      <w:r w:rsidR="00563C7C">
        <w:rPr>
          <w:rFonts w:eastAsia="Calibri"/>
          <w:szCs w:val="36"/>
          <w:lang w:val="es-DO"/>
        </w:rPr>
        <w:t>8,075</w:t>
      </w:r>
      <w:r w:rsidR="00563C7C" w:rsidRPr="00A14455">
        <w:rPr>
          <w:rFonts w:eastAsia="Calibri"/>
          <w:szCs w:val="36"/>
          <w:lang w:val="es-DO"/>
        </w:rPr>
        <w:t xml:space="preserve"> bienes, se alcanzó el 9</w:t>
      </w:r>
      <w:r w:rsidR="00563C7C">
        <w:rPr>
          <w:rFonts w:eastAsia="Calibri"/>
          <w:szCs w:val="36"/>
          <w:lang w:val="es-DO"/>
        </w:rPr>
        <w:t>8</w:t>
      </w:r>
      <w:r w:rsidR="00563C7C" w:rsidRPr="00A14455">
        <w:rPr>
          <w:rFonts w:eastAsia="Calibri"/>
          <w:szCs w:val="36"/>
          <w:lang w:val="es-DO"/>
        </w:rPr>
        <w:t xml:space="preserve">% del total de bienes de las colecciones permanentes de los museos administrados por la DGM, </w:t>
      </w:r>
      <w:r w:rsidR="00563C7C">
        <w:rPr>
          <w:rFonts w:eastAsia="Calibri"/>
          <w:szCs w:val="36"/>
          <w:lang w:val="es-DO"/>
        </w:rPr>
        <w:t xml:space="preserve">equivalente a </w:t>
      </w:r>
      <w:r w:rsidR="00563C7C" w:rsidRPr="00806031">
        <w:rPr>
          <w:rFonts w:eastAsia="Calibri"/>
          <w:szCs w:val="36"/>
          <w:lang w:val="es-DO"/>
        </w:rPr>
        <w:t>20,448</w:t>
      </w:r>
      <w:r w:rsidR="00563C7C">
        <w:rPr>
          <w:rFonts w:eastAsia="Calibri"/>
          <w:szCs w:val="36"/>
          <w:lang w:val="es-DO"/>
        </w:rPr>
        <w:t xml:space="preserve"> bienes patrimoniales</w:t>
      </w:r>
      <w:r w:rsidR="006F102D">
        <w:rPr>
          <w:rFonts w:eastAsia="Calibri"/>
          <w:szCs w:val="36"/>
          <w:lang w:val="es-DO"/>
        </w:rPr>
        <w:t>.</w:t>
      </w:r>
    </w:p>
    <w:p w14:paraId="254EA7BA" w14:textId="5A5F7CA9" w:rsidR="00822088" w:rsidRDefault="006F102D" w:rsidP="00DB2C88">
      <w:pPr>
        <w:spacing w:line="360" w:lineRule="auto"/>
        <w:jc w:val="both"/>
        <w:rPr>
          <w:rFonts w:eastAsia="Calibri"/>
          <w:lang w:val="es-DO"/>
        </w:rPr>
      </w:pPr>
      <w:r>
        <w:rPr>
          <w:rFonts w:eastAsia="Calibri"/>
          <w:lang w:val="es-DO"/>
        </w:rPr>
        <w:t xml:space="preserve">La gráfica siguiente </w:t>
      </w:r>
      <w:r w:rsidR="007F6F30" w:rsidRPr="007F6F30">
        <w:rPr>
          <w:rFonts w:eastAsia="Calibri"/>
          <w:lang w:val="es-DO"/>
        </w:rPr>
        <w:t>permite apreciar de forma clara el grado de cobertura alcanzado al cierre del año 2025 y facilita el análisis del progreso en relación con las metas institucionales de gestión, conservación y acceso a la información patrimonial.</w:t>
      </w:r>
    </w:p>
    <w:p w14:paraId="65704E67" w14:textId="77777777" w:rsidR="000847F1" w:rsidRDefault="000847F1" w:rsidP="00DB2C88">
      <w:pPr>
        <w:spacing w:line="360" w:lineRule="auto"/>
        <w:jc w:val="both"/>
        <w:rPr>
          <w:rFonts w:eastAsia="Calibri"/>
          <w:lang w:val="es-DO"/>
        </w:rPr>
      </w:pPr>
    </w:p>
    <w:p w14:paraId="693B4A08" w14:textId="77777777" w:rsidR="000847F1" w:rsidRDefault="000847F1" w:rsidP="009935E3">
      <w:pPr>
        <w:spacing w:line="360" w:lineRule="auto"/>
        <w:jc w:val="both"/>
        <w:rPr>
          <w:rFonts w:eastAsia="Calibri"/>
          <w:lang w:val="es-DO"/>
        </w:rPr>
      </w:pPr>
    </w:p>
    <w:p w14:paraId="38A656DA" w14:textId="651F35AB" w:rsidR="00FB4C34" w:rsidRDefault="006F102D" w:rsidP="00656C25">
      <w:pPr>
        <w:spacing w:after="0" w:line="360" w:lineRule="auto"/>
        <w:jc w:val="both"/>
        <w:rPr>
          <w:rFonts w:eastAsia="Calibri"/>
          <w:noProof/>
          <w:szCs w:val="36"/>
          <w:lang w:val="es-DO"/>
        </w:rPr>
      </w:pPr>
      <w:r w:rsidRPr="000925AF">
        <w:rPr>
          <w:noProof/>
        </w:rPr>
        <w:lastRenderedPageBreak/>
        <w:drawing>
          <wp:anchor distT="0" distB="0" distL="114300" distR="114300" simplePos="0" relativeHeight="251674624" behindDoc="0" locked="0" layoutInCell="1" allowOverlap="1" wp14:anchorId="1D8AFA5F" wp14:editId="5BEDCD08">
            <wp:simplePos x="0" y="0"/>
            <wp:positionH relativeFrom="margin">
              <wp:align>left</wp:align>
            </wp:positionH>
            <wp:positionV relativeFrom="paragraph">
              <wp:posOffset>6574</wp:posOffset>
            </wp:positionV>
            <wp:extent cx="5070294" cy="2788920"/>
            <wp:effectExtent l="0" t="0" r="16510" b="11430"/>
            <wp:wrapNone/>
            <wp:docPr id="1000274068" name="Gráfico 1">
              <a:extLst xmlns:a="http://schemas.openxmlformats.org/drawingml/2006/main">
                <a:ext uri="{FF2B5EF4-FFF2-40B4-BE49-F238E27FC236}">
                  <a16:creationId xmlns:a16="http://schemas.microsoft.com/office/drawing/2014/main" id="{8E897908-42C9-46AB-BE6D-F627483761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6D045F32" w14:textId="3F7500AE" w:rsidR="00EF4F24" w:rsidRDefault="00EF4F24" w:rsidP="00BF371E">
      <w:pPr>
        <w:spacing w:after="0" w:line="240" w:lineRule="auto"/>
        <w:jc w:val="center"/>
        <w:rPr>
          <w:rFonts w:eastAsia="Calibri"/>
          <w:noProof/>
          <w:szCs w:val="36"/>
          <w:lang w:val="es-DO"/>
        </w:rPr>
      </w:pPr>
    </w:p>
    <w:p w14:paraId="2F148D6F" w14:textId="783DBF0B" w:rsidR="00EF4F24" w:rsidRDefault="00EF4F24" w:rsidP="00BF371E">
      <w:pPr>
        <w:spacing w:after="0" w:line="240" w:lineRule="auto"/>
        <w:jc w:val="center"/>
        <w:rPr>
          <w:rFonts w:eastAsia="Calibri"/>
          <w:noProof/>
          <w:szCs w:val="36"/>
          <w:lang w:val="es-DO"/>
        </w:rPr>
      </w:pPr>
    </w:p>
    <w:p w14:paraId="3C01F11B" w14:textId="45ED634D" w:rsidR="001F402D" w:rsidRDefault="001F402D" w:rsidP="00BF371E">
      <w:pPr>
        <w:spacing w:after="0" w:line="240" w:lineRule="auto"/>
        <w:jc w:val="center"/>
        <w:rPr>
          <w:rFonts w:eastAsia="Calibri"/>
          <w:noProof/>
          <w:szCs w:val="36"/>
          <w:lang w:val="es-DO"/>
        </w:rPr>
      </w:pPr>
    </w:p>
    <w:p w14:paraId="413ECBDB" w14:textId="77777777" w:rsidR="00656C25" w:rsidRDefault="00656C25" w:rsidP="00BF371E">
      <w:pPr>
        <w:spacing w:after="0" w:line="240" w:lineRule="auto"/>
        <w:jc w:val="center"/>
        <w:rPr>
          <w:rFonts w:eastAsia="Calibri"/>
          <w:noProof/>
          <w:szCs w:val="36"/>
          <w:lang w:val="es-DO"/>
        </w:rPr>
      </w:pPr>
    </w:p>
    <w:p w14:paraId="4AA39F8A" w14:textId="01200E4B" w:rsidR="001F402D" w:rsidRDefault="001F402D" w:rsidP="00BF371E">
      <w:pPr>
        <w:spacing w:after="0" w:line="240" w:lineRule="auto"/>
        <w:jc w:val="center"/>
        <w:rPr>
          <w:rFonts w:eastAsia="Calibri"/>
          <w:noProof/>
          <w:szCs w:val="36"/>
          <w:lang w:val="es-DO"/>
        </w:rPr>
      </w:pPr>
    </w:p>
    <w:p w14:paraId="7B500114" w14:textId="77777777" w:rsidR="001F402D" w:rsidRDefault="001F402D" w:rsidP="00BF371E">
      <w:pPr>
        <w:spacing w:after="0" w:line="240" w:lineRule="auto"/>
        <w:jc w:val="center"/>
        <w:rPr>
          <w:rFonts w:eastAsia="Calibri"/>
          <w:noProof/>
          <w:szCs w:val="36"/>
          <w:lang w:val="es-DO"/>
        </w:rPr>
      </w:pPr>
    </w:p>
    <w:p w14:paraId="21105887" w14:textId="77777777" w:rsidR="00DE453F" w:rsidRDefault="00DE453F" w:rsidP="00BF371E">
      <w:pPr>
        <w:spacing w:after="0" w:line="240" w:lineRule="auto"/>
        <w:jc w:val="center"/>
        <w:rPr>
          <w:rFonts w:eastAsia="Calibri"/>
          <w:noProof/>
          <w:szCs w:val="36"/>
          <w:lang w:val="es-DO"/>
        </w:rPr>
      </w:pPr>
    </w:p>
    <w:p w14:paraId="07D3B285" w14:textId="77777777" w:rsidR="00DE453F" w:rsidRDefault="00DE453F" w:rsidP="00BF371E">
      <w:pPr>
        <w:spacing w:after="0" w:line="240" w:lineRule="auto"/>
        <w:jc w:val="center"/>
        <w:rPr>
          <w:rFonts w:eastAsia="Calibri"/>
          <w:noProof/>
          <w:szCs w:val="36"/>
          <w:lang w:val="es-DO"/>
        </w:rPr>
      </w:pPr>
    </w:p>
    <w:p w14:paraId="0A19AD1B" w14:textId="77777777" w:rsidR="00DE453F" w:rsidRDefault="00DE453F" w:rsidP="00BF371E">
      <w:pPr>
        <w:spacing w:after="0" w:line="240" w:lineRule="auto"/>
        <w:jc w:val="center"/>
        <w:rPr>
          <w:rFonts w:eastAsia="Calibri"/>
          <w:noProof/>
          <w:szCs w:val="36"/>
          <w:lang w:val="es-DO"/>
        </w:rPr>
      </w:pPr>
    </w:p>
    <w:p w14:paraId="70A1387D" w14:textId="77777777" w:rsidR="001F402D" w:rsidRDefault="001F402D" w:rsidP="00BF371E">
      <w:pPr>
        <w:spacing w:after="0" w:line="240" w:lineRule="auto"/>
        <w:jc w:val="center"/>
        <w:rPr>
          <w:rFonts w:eastAsia="Calibri"/>
          <w:noProof/>
          <w:szCs w:val="36"/>
          <w:lang w:val="es-DO"/>
        </w:rPr>
      </w:pPr>
    </w:p>
    <w:p w14:paraId="64B944A6" w14:textId="77777777" w:rsidR="000925AF" w:rsidRDefault="000925AF" w:rsidP="00BF371E">
      <w:pPr>
        <w:spacing w:after="0" w:line="240" w:lineRule="auto"/>
        <w:jc w:val="center"/>
        <w:rPr>
          <w:rFonts w:eastAsia="Calibri"/>
          <w:noProof/>
          <w:szCs w:val="36"/>
          <w:lang w:val="es-DO"/>
        </w:rPr>
      </w:pPr>
    </w:p>
    <w:p w14:paraId="3DA4DB40" w14:textId="77777777" w:rsidR="006F102D" w:rsidRDefault="006F102D" w:rsidP="00BF371E">
      <w:pPr>
        <w:spacing w:after="0" w:line="240" w:lineRule="auto"/>
        <w:jc w:val="center"/>
        <w:rPr>
          <w:rFonts w:eastAsia="Calibri"/>
          <w:noProof/>
          <w:szCs w:val="36"/>
          <w:lang w:val="es-DO"/>
        </w:rPr>
      </w:pPr>
    </w:p>
    <w:p w14:paraId="327F0E22" w14:textId="77777777" w:rsidR="006F102D" w:rsidRDefault="006F102D" w:rsidP="00BF371E">
      <w:pPr>
        <w:spacing w:after="0" w:line="240" w:lineRule="auto"/>
        <w:jc w:val="center"/>
        <w:rPr>
          <w:rFonts w:eastAsia="Calibri"/>
          <w:noProof/>
          <w:szCs w:val="36"/>
          <w:lang w:val="es-DO"/>
        </w:rPr>
      </w:pPr>
    </w:p>
    <w:p w14:paraId="2AA16DA8" w14:textId="77777777" w:rsidR="00FB4C34" w:rsidRDefault="00FB4C34" w:rsidP="00BF371E">
      <w:pPr>
        <w:spacing w:after="0" w:line="240" w:lineRule="auto"/>
        <w:jc w:val="center"/>
        <w:rPr>
          <w:rFonts w:eastAsia="Calibri"/>
          <w:noProof/>
          <w:szCs w:val="36"/>
          <w:lang w:val="es-DO"/>
        </w:rPr>
      </w:pPr>
    </w:p>
    <w:p w14:paraId="120F2E3E" w14:textId="77777777" w:rsidR="00FB4C34" w:rsidRDefault="00FB4C34" w:rsidP="00BF371E">
      <w:pPr>
        <w:spacing w:after="0" w:line="240" w:lineRule="auto"/>
        <w:jc w:val="center"/>
        <w:rPr>
          <w:rFonts w:eastAsia="Calibri"/>
          <w:noProof/>
          <w:szCs w:val="36"/>
          <w:lang w:val="es-DO"/>
        </w:rPr>
      </w:pPr>
    </w:p>
    <w:p w14:paraId="5731FCDA" w14:textId="62BE0AA3" w:rsidR="00BF371E" w:rsidRPr="00630743" w:rsidRDefault="006F102D" w:rsidP="006F102D">
      <w:pPr>
        <w:spacing w:after="0" w:line="240" w:lineRule="auto"/>
        <w:ind w:left="284"/>
        <w:rPr>
          <w:rFonts w:eastAsia="Calibri"/>
          <w:i/>
          <w:iCs/>
          <w:szCs w:val="36"/>
          <w:lang w:val="es-DO"/>
        </w:rPr>
      </w:pPr>
      <w:r>
        <w:rPr>
          <w:rFonts w:eastAsia="Calibri"/>
          <w:i/>
          <w:iCs/>
          <w:sz w:val="20"/>
          <w:szCs w:val="28"/>
          <w:lang w:val="es-DO"/>
        </w:rPr>
        <w:t>G</w:t>
      </w:r>
      <w:r w:rsidR="00BF371E" w:rsidRPr="00630743">
        <w:rPr>
          <w:rFonts w:eastAsia="Calibri"/>
          <w:i/>
          <w:iCs/>
          <w:sz w:val="20"/>
          <w:szCs w:val="28"/>
          <w:lang w:val="es-DO"/>
        </w:rPr>
        <w:t xml:space="preserve">ráfica </w:t>
      </w:r>
      <w:r>
        <w:rPr>
          <w:rFonts w:eastAsia="Calibri"/>
          <w:i/>
          <w:iCs/>
          <w:sz w:val="20"/>
          <w:szCs w:val="28"/>
          <w:lang w:val="es-DO"/>
        </w:rPr>
        <w:t>2.</w:t>
      </w:r>
      <w:r w:rsidR="00BF371E" w:rsidRPr="00630743">
        <w:rPr>
          <w:rFonts w:eastAsia="Calibri"/>
          <w:i/>
          <w:iCs/>
          <w:sz w:val="20"/>
          <w:szCs w:val="28"/>
          <w:lang w:val="es-DO"/>
        </w:rPr>
        <w:t xml:space="preserve"> Porcentaje de bienes </w:t>
      </w:r>
      <w:r w:rsidR="00A14455">
        <w:rPr>
          <w:rFonts w:eastAsia="Calibri"/>
          <w:i/>
          <w:iCs/>
          <w:sz w:val="20"/>
          <w:szCs w:val="28"/>
          <w:lang w:val="es-DO"/>
        </w:rPr>
        <w:t>d</w:t>
      </w:r>
      <w:r w:rsidR="003170F2" w:rsidRPr="00630743">
        <w:rPr>
          <w:rFonts w:eastAsia="Calibri"/>
          <w:i/>
          <w:iCs/>
          <w:sz w:val="20"/>
          <w:szCs w:val="28"/>
          <w:lang w:val="es-DO"/>
        </w:rPr>
        <w:t>igitali</w:t>
      </w:r>
      <w:r w:rsidR="00BF371E" w:rsidRPr="00630743">
        <w:rPr>
          <w:rFonts w:eastAsia="Calibri"/>
          <w:i/>
          <w:iCs/>
          <w:sz w:val="20"/>
          <w:szCs w:val="28"/>
          <w:lang w:val="es-DO"/>
        </w:rPr>
        <w:t>zados</w:t>
      </w:r>
      <w:r w:rsidR="00D6407B">
        <w:rPr>
          <w:rFonts w:eastAsia="Calibri"/>
          <w:i/>
          <w:iCs/>
          <w:sz w:val="20"/>
          <w:szCs w:val="28"/>
          <w:lang w:val="es-DO"/>
        </w:rPr>
        <w:t>, año 2025</w:t>
      </w:r>
    </w:p>
    <w:p w14:paraId="3DE1D99E" w14:textId="77777777" w:rsidR="00BF371E" w:rsidRDefault="00BF371E" w:rsidP="00656C25">
      <w:pPr>
        <w:spacing w:line="360" w:lineRule="auto"/>
        <w:jc w:val="both"/>
        <w:rPr>
          <w:rFonts w:eastAsia="Calibri"/>
          <w:szCs w:val="36"/>
          <w:lang w:val="es-DO"/>
        </w:rPr>
      </w:pPr>
    </w:p>
    <w:p w14:paraId="015E1D46" w14:textId="77777777" w:rsidR="00A14455" w:rsidRDefault="00460478" w:rsidP="00DB2C88">
      <w:pPr>
        <w:spacing w:line="360" w:lineRule="auto"/>
        <w:jc w:val="both"/>
        <w:rPr>
          <w:rFonts w:eastAsia="Calibri"/>
          <w:szCs w:val="36"/>
          <w:lang w:val="es-DO"/>
        </w:rPr>
      </w:pPr>
      <w:r w:rsidRPr="00460478">
        <w:rPr>
          <w:rFonts w:eastAsia="Calibri"/>
          <w:szCs w:val="36"/>
          <w:lang w:val="es-DO"/>
        </w:rPr>
        <w:t xml:space="preserve">Con la implementación del Sistema de Gestión de Colecciones, el Estado Dominicano, a través de la Dirección General de Museos, dispone de una base de datos institucional robusta, fiable y permanentemente actualizada, que fortalece la transparencia en la gestión del patrimonio cultural mueble y garantiza el acceso público a la información sobre las colecciones de los museos bajo su administración. </w:t>
      </w:r>
    </w:p>
    <w:p w14:paraId="14F88BBC" w14:textId="77777777" w:rsidR="00A14455" w:rsidRDefault="00460478" w:rsidP="00DB2C88">
      <w:pPr>
        <w:spacing w:line="360" w:lineRule="auto"/>
        <w:jc w:val="both"/>
        <w:rPr>
          <w:rFonts w:eastAsia="Calibri"/>
          <w:szCs w:val="36"/>
          <w:lang w:val="es-DO"/>
        </w:rPr>
      </w:pPr>
      <w:r w:rsidRPr="00460478">
        <w:rPr>
          <w:rFonts w:eastAsia="Calibri"/>
          <w:szCs w:val="36"/>
          <w:lang w:val="es-DO"/>
        </w:rPr>
        <w:t xml:space="preserve">La disponibilidad en línea de estos registros permite a la ciudadanía, investigadores y actores del sector cultural consultar de manera abierta y sistemática los bienes patrimoniales, contribuyendo a la apropiación social del patrimonio y al control social de la gestión pública. </w:t>
      </w:r>
    </w:p>
    <w:p w14:paraId="36599518" w14:textId="1295B975" w:rsidR="00124FDC" w:rsidRDefault="00460478" w:rsidP="00DB2C88">
      <w:pPr>
        <w:spacing w:line="360" w:lineRule="auto"/>
        <w:jc w:val="both"/>
        <w:rPr>
          <w:rFonts w:eastAsia="Calibri"/>
          <w:szCs w:val="36"/>
          <w:lang w:val="es-DO"/>
        </w:rPr>
      </w:pPr>
      <w:r w:rsidRPr="00460478">
        <w:rPr>
          <w:rFonts w:eastAsia="Calibri"/>
          <w:szCs w:val="36"/>
          <w:lang w:val="es-DO"/>
        </w:rPr>
        <w:t xml:space="preserve">Asimismo, este sistema constituye una herramienta clave para la prevención, detección y combate del tráfico ilícito de bienes culturales, al facilitar la identificación, trazabilidad y verificación de las piezas, reforzando la protección del patrimonio cultural de la </w:t>
      </w:r>
      <w:r w:rsidRPr="00460478">
        <w:rPr>
          <w:rFonts w:eastAsia="Calibri"/>
          <w:szCs w:val="36"/>
          <w:lang w:val="es-DO"/>
        </w:rPr>
        <w:lastRenderedPageBreak/>
        <w:t>nación en coherencia con los estándares internacionales y la normativa vigente.</w:t>
      </w:r>
    </w:p>
    <w:p w14:paraId="71BA1420" w14:textId="2934BF3C" w:rsidR="00A14455" w:rsidRPr="00124FDC" w:rsidRDefault="00A14455" w:rsidP="00DB2C88">
      <w:pPr>
        <w:spacing w:line="360" w:lineRule="auto"/>
        <w:jc w:val="center"/>
        <w:rPr>
          <w:rFonts w:eastAsia="Calibri"/>
          <w:b/>
          <w:bCs/>
          <w:szCs w:val="36"/>
          <w:lang w:val="es-DO"/>
        </w:rPr>
      </w:pPr>
      <w:r>
        <w:rPr>
          <w:rFonts w:eastAsia="Calibri"/>
          <w:b/>
          <w:bCs/>
          <w:szCs w:val="36"/>
          <w:lang w:val="es-DO"/>
        </w:rPr>
        <w:t xml:space="preserve">Conservación y restauración de las </w:t>
      </w:r>
      <w:r w:rsidRPr="00124FDC">
        <w:rPr>
          <w:rFonts w:eastAsia="Calibri"/>
          <w:b/>
          <w:bCs/>
          <w:szCs w:val="36"/>
          <w:lang w:val="es-DO"/>
        </w:rPr>
        <w:t>colecciones</w:t>
      </w:r>
    </w:p>
    <w:p w14:paraId="512B29A1" w14:textId="77777777" w:rsidR="00880017" w:rsidRDefault="00880017" w:rsidP="00DB2C88">
      <w:pPr>
        <w:spacing w:line="360" w:lineRule="auto"/>
        <w:jc w:val="both"/>
        <w:rPr>
          <w:rFonts w:eastAsia="Calibri"/>
          <w:szCs w:val="36"/>
          <w:lang w:val="es-MX"/>
        </w:rPr>
      </w:pPr>
      <w:r w:rsidRPr="00880017">
        <w:rPr>
          <w:rFonts w:eastAsia="Calibri"/>
          <w:szCs w:val="36"/>
          <w:lang w:val="es-MX"/>
        </w:rPr>
        <w:t xml:space="preserve">Durante el año 2025, la Dirección General de Museos desarrolló múltiples acciones orientadas a la conservación preventiva y la restauración especializada de bienes culturales, con el propósito de garantizar su estabilidad física, funcional y estética, así como su preservación a largo plazo. </w:t>
      </w:r>
    </w:p>
    <w:p w14:paraId="56D05FCD" w14:textId="3CD4F797" w:rsidR="00880017" w:rsidRDefault="00880017" w:rsidP="00DB2C88">
      <w:pPr>
        <w:spacing w:line="360" w:lineRule="auto"/>
        <w:jc w:val="both"/>
        <w:rPr>
          <w:rFonts w:eastAsia="Calibri"/>
          <w:szCs w:val="36"/>
          <w:lang w:val="es-MX"/>
        </w:rPr>
      </w:pPr>
      <w:r w:rsidRPr="00880017">
        <w:rPr>
          <w:rFonts w:eastAsia="Calibri"/>
          <w:szCs w:val="36"/>
          <w:lang w:val="es-MX"/>
        </w:rPr>
        <w:t>Estas intervenciones comprendieron diagnósticos técnicos especializados, tratamientos de conservación, restauraciones puntuales y acciones de acondicionamiento, ejecutadas conforme a criterios museológicos y protocolos reconocidos a nivel nacional e internacional.</w:t>
      </w:r>
    </w:p>
    <w:p w14:paraId="79AE2D28" w14:textId="77777777" w:rsidR="00B00609" w:rsidRDefault="00B351F4" w:rsidP="00DB2C88">
      <w:pPr>
        <w:spacing w:line="360" w:lineRule="auto"/>
        <w:jc w:val="both"/>
        <w:rPr>
          <w:rFonts w:eastAsia="Calibri"/>
          <w:szCs w:val="36"/>
          <w:lang w:val="es-MX"/>
        </w:rPr>
      </w:pPr>
      <w:r w:rsidRPr="00B351F4">
        <w:rPr>
          <w:rFonts w:eastAsia="Calibri"/>
          <w:szCs w:val="36"/>
          <w:lang w:val="es-MX"/>
        </w:rPr>
        <w:t>En este marco, el Museo de la Familia Dominicana del Siglo XIX (Casa de Tostado) ejecutó un importante proyecto de restauración y acondicionamiento de su colección</w:t>
      </w:r>
      <w:r w:rsidR="004C1FED">
        <w:rPr>
          <w:rFonts w:eastAsia="Calibri"/>
          <w:szCs w:val="36"/>
          <w:lang w:val="es-MX"/>
        </w:rPr>
        <w:t xml:space="preserve">.  Con una donación del </w:t>
      </w:r>
      <w:r w:rsidRPr="00B351F4">
        <w:rPr>
          <w:rFonts w:eastAsia="Calibri"/>
          <w:szCs w:val="36"/>
          <w:lang w:val="es-MX"/>
        </w:rPr>
        <w:t xml:space="preserve">Banco Popular Dominicano, por un monto de RD$553,558.00, se intervinieron 137 piezas, de las cuales el 90 % ha sido restaurado a la fecha, bajo la ejecución técnica del restaurador y conservador Jordi Molina Figueras. </w:t>
      </w:r>
    </w:p>
    <w:p w14:paraId="6F153C88" w14:textId="2A074ED2" w:rsidR="00B351F4" w:rsidRDefault="00B351F4" w:rsidP="00DB2C88">
      <w:pPr>
        <w:spacing w:line="360" w:lineRule="auto"/>
        <w:jc w:val="both"/>
        <w:rPr>
          <w:rFonts w:eastAsia="Calibri"/>
          <w:szCs w:val="36"/>
          <w:lang w:val="es-MX"/>
        </w:rPr>
      </w:pPr>
      <w:r w:rsidRPr="00B351F4">
        <w:rPr>
          <w:rFonts w:eastAsia="Calibri"/>
          <w:szCs w:val="36"/>
          <w:lang w:val="es-MX"/>
        </w:rPr>
        <w:t>Esta intervención ha contribuido de manera significativa a la preservación y puesta en valor del acervo del museo, fortaleciendo las condiciones de conservación de los bienes y ampliando su disponibilidad para fines expositivos, educativos y de investigación.</w:t>
      </w:r>
      <w:r w:rsidR="00B00609">
        <w:rPr>
          <w:rFonts w:eastAsia="Calibri"/>
          <w:szCs w:val="36"/>
          <w:lang w:val="es-MX"/>
        </w:rPr>
        <w:t xml:space="preserve"> </w:t>
      </w:r>
    </w:p>
    <w:p w14:paraId="040AB379" w14:textId="77777777" w:rsidR="00A9277E" w:rsidRDefault="00351A52" w:rsidP="00DB2C88">
      <w:pPr>
        <w:spacing w:line="360" w:lineRule="auto"/>
        <w:jc w:val="both"/>
        <w:rPr>
          <w:rFonts w:eastAsia="Calibri"/>
          <w:szCs w:val="36"/>
          <w:lang w:val="es-MX"/>
        </w:rPr>
      </w:pPr>
      <w:r w:rsidRPr="00351A52">
        <w:rPr>
          <w:rFonts w:eastAsia="Calibri"/>
          <w:szCs w:val="36"/>
          <w:lang w:val="es-MX"/>
        </w:rPr>
        <w:t xml:space="preserve">De igual modo, en el Museo Casa Fuerte Juan Ponce de León se realizó un levantamiento diagnóstico especializado, con el acompañamiento de los expertos </w:t>
      </w:r>
      <w:proofErr w:type="spellStart"/>
      <w:r w:rsidRPr="00351A52">
        <w:rPr>
          <w:rFonts w:eastAsia="Calibri"/>
          <w:szCs w:val="36"/>
          <w:lang w:val="es-MX"/>
        </w:rPr>
        <w:t>Ruahidy</w:t>
      </w:r>
      <w:proofErr w:type="spellEnd"/>
      <w:r w:rsidRPr="00351A52">
        <w:rPr>
          <w:rFonts w:eastAsia="Calibri"/>
          <w:szCs w:val="36"/>
          <w:lang w:val="es-MX"/>
        </w:rPr>
        <w:t xml:space="preserve"> </w:t>
      </w:r>
      <w:proofErr w:type="spellStart"/>
      <w:r w:rsidRPr="00351A52">
        <w:rPr>
          <w:rFonts w:eastAsia="Calibri"/>
          <w:szCs w:val="36"/>
          <w:lang w:val="es-MX"/>
        </w:rPr>
        <w:t>Lombert</w:t>
      </w:r>
      <w:proofErr w:type="spellEnd"/>
      <w:r w:rsidRPr="00351A52">
        <w:rPr>
          <w:rFonts w:eastAsia="Calibri"/>
          <w:szCs w:val="36"/>
          <w:lang w:val="es-MX"/>
        </w:rPr>
        <w:t xml:space="preserve"> y Jordi Molina, orientado a identificar de manera sistemática las necesidades de </w:t>
      </w:r>
      <w:r w:rsidRPr="00351A52">
        <w:rPr>
          <w:rFonts w:eastAsia="Calibri"/>
          <w:szCs w:val="36"/>
          <w:lang w:val="es-MX"/>
        </w:rPr>
        <w:lastRenderedPageBreak/>
        <w:t xml:space="preserve">restauración y conservación de la colección. </w:t>
      </w:r>
    </w:p>
    <w:p w14:paraId="1FE7027F" w14:textId="59DCBB4F" w:rsidR="00B00609" w:rsidRDefault="00351A52" w:rsidP="00DB2C88">
      <w:pPr>
        <w:spacing w:line="360" w:lineRule="auto"/>
        <w:jc w:val="both"/>
        <w:rPr>
          <w:rFonts w:eastAsia="Calibri"/>
          <w:szCs w:val="36"/>
          <w:lang w:val="es-MX"/>
        </w:rPr>
      </w:pPr>
      <w:r w:rsidRPr="00351A52">
        <w:rPr>
          <w:rFonts w:eastAsia="Calibri"/>
          <w:szCs w:val="36"/>
          <w:lang w:val="es-MX"/>
        </w:rPr>
        <w:t>Este proceso permitió evaluar el estado de los bienes culturales, establecer criterios de priorización y definir insumos técnicos para la planificación de futuras intervenciones especializadas, fortaleciendo la gestión preventiva, la toma de decisiones basada en evidencia y la programación de acciones de conservación a corto y mediano plazo.</w:t>
      </w:r>
    </w:p>
    <w:p w14:paraId="558D618B" w14:textId="77777777" w:rsidR="00006454" w:rsidRDefault="00CF7BBE" w:rsidP="00DB2C88">
      <w:pPr>
        <w:spacing w:line="360" w:lineRule="auto"/>
        <w:jc w:val="both"/>
        <w:rPr>
          <w:rFonts w:eastAsia="Calibri"/>
          <w:szCs w:val="36"/>
          <w:lang w:val="es-MX"/>
        </w:rPr>
      </w:pPr>
      <w:r w:rsidRPr="00CF7BBE">
        <w:rPr>
          <w:rFonts w:eastAsia="Calibri"/>
          <w:szCs w:val="36"/>
          <w:lang w:val="es-MX"/>
        </w:rPr>
        <w:t xml:space="preserve">En el Museo del Hombre Dominicano, durante el período evaluado se ejecutaron acciones puntuales de conservación y restauración orientadas al fortalecimiento de su imagen institucional y a la adecuada preparación de sus espacios expositivos. </w:t>
      </w:r>
    </w:p>
    <w:p w14:paraId="6488543A" w14:textId="77777777" w:rsidR="00006454" w:rsidRDefault="00CF7BBE" w:rsidP="00DB2C88">
      <w:pPr>
        <w:spacing w:line="360" w:lineRule="auto"/>
        <w:jc w:val="both"/>
        <w:rPr>
          <w:rFonts w:eastAsia="Calibri"/>
          <w:szCs w:val="36"/>
          <w:lang w:val="es-MX"/>
        </w:rPr>
      </w:pPr>
      <w:r w:rsidRPr="00CF7BBE">
        <w:rPr>
          <w:rFonts w:eastAsia="Calibri"/>
          <w:szCs w:val="36"/>
          <w:lang w:val="es-MX"/>
        </w:rPr>
        <w:t xml:space="preserve">En este marco, se llevó a cabo la restauración de la escultura ubicada en la parte frontal del museo, dedicada a Sebastián </w:t>
      </w:r>
      <w:proofErr w:type="spellStart"/>
      <w:r w:rsidRPr="00CF7BBE">
        <w:rPr>
          <w:rFonts w:eastAsia="Calibri"/>
          <w:szCs w:val="36"/>
          <w:lang w:val="es-MX"/>
        </w:rPr>
        <w:t>Lemba</w:t>
      </w:r>
      <w:proofErr w:type="spellEnd"/>
      <w:r w:rsidRPr="00CF7BBE">
        <w:rPr>
          <w:rFonts w:eastAsia="Calibri"/>
          <w:szCs w:val="36"/>
          <w:lang w:val="es-MX"/>
        </w:rPr>
        <w:t xml:space="preserve">, contribuyendo a la recuperación y puesta en valor de este elemento simbólico de alto significado histórico y cultural. </w:t>
      </w:r>
    </w:p>
    <w:p w14:paraId="0F303EA3" w14:textId="2BE3FDB2" w:rsidR="00B351F4" w:rsidRDefault="00CF7BBE" w:rsidP="00DB2C88">
      <w:pPr>
        <w:spacing w:line="360" w:lineRule="auto"/>
        <w:jc w:val="both"/>
        <w:rPr>
          <w:rFonts w:eastAsia="Calibri"/>
          <w:szCs w:val="36"/>
          <w:lang w:val="es-MX"/>
        </w:rPr>
      </w:pPr>
      <w:r w:rsidRPr="00CF7BBE">
        <w:rPr>
          <w:rFonts w:eastAsia="Calibri"/>
          <w:szCs w:val="36"/>
          <w:lang w:val="es-MX"/>
        </w:rPr>
        <w:t>De manera complementaria, se realizó una evaluación diagnóstica especializada de los bienes culturales destinados a ser expuestos en las nuevas salas del museo, con el objetivo de determinar su estado de conservación, identificar necesidades de intervención y garantizar condiciones adecuadas para su exhibición, en coherencia con los criterios museológicos y estándares técnicos vigentes.</w:t>
      </w:r>
    </w:p>
    <w:p w14:paraId="35FEBA01" w14:textId="77777777" w:rsidR="009B02F2" w:rsidRDefault="005B123A" w:rsidP="00DB2C88">
      <w:pPr>
        <w:spacing w:line="360" w:lineRule="auto"/>
        <w:jc w:val="both"/>
        <w:rPr>
          <w:rFonts w:eastAsia="Calibri"/>
          <w:szCs w:val="36"/>
          <w:lang w:val="es-MX"/>
        </w:rPr>
      </w:pPr>
      <w:r w:rsidRPr="005B123A">
        <w:rPr>
          <w:rFonts w:eastAsia="Calibri"/>
          <w:szCs w:val="36"/>
          <w:lang w:val="es-MX"/>
        </w:rPr>
        <w:t xml:space="preserve">En el Museo Monumento a los Héroes de la Restauración, durante el año 2025 se ejecutó de manera sostenida el programa de conservación, salvaguarda y puesta en valor de la colección y del patrimonio del museo, con especial atención a los veinte murales del maestro José Vela Zanetti (1913–1999), elementos centrales de su valor artístico y simbólico. </w:t>
      </w:r>
    </w:p>
    <w:p w14:paraId="0F1EFD3F" w14:textId="77777777" w:rsidR="00D52943" w:rsidRDefault="005B123A" w:rsidP="00D52943">
      <w:pPr>
        <w:spacing w:line="360" w:lineRule="auto"/>
        <w:jc w:val="both"/>
        <w:rPr>
          <w:rFonts w:eastAsia="Calibri"/>
          <w:szCs w:val="36"/>
          <w:lang w:val="es-MX"/>
        </w:rPr>
      </w:pPr>
      <w:r w:rsidRPr="005B123A">
        <w:rPr>
          <w:rFonts w:eastAsia="Calibri"/>
          <w:szCs w:val="36"/>
          <w:lang w:val="es-MX"/>
        </w:rPr>
        <w:t xml:space="preserve">Como parte de este programa, se aplicaron tratamientos preventivos y correctivos a los murales previamente restaurados en 2024, </w:t>
      </w:r>
    </w:p>
    <w:p w14:paraId="185E6F0C" w14:textId="1EBB364D" w:rsidR="004B2F5D" w:rsidRDefault="005B123A" w:rsidP="00DB2C88">
      <w:pPr>
        <w:spacing w:line="360" w:lineRule="auto"/>
        <w:jc w:val="both"/>
        <w:rPr>
          <w:rFonts w:eastAsia="Calibri"/>
          <w:szCs w:val="36"/>
          <w:lang w:val="es-MX"/>
        </w:rPr>
      </w:pPr>
      <w:r w:rsidRPr="005B123A">
        <w:rPr>
          <w:rFonts w:eastAsia="Calibri"/>
          <w:szCs w:val="36"/>
          <w:lang w:val="es-MX"/>
        </w:rPr>
        <w:lastRenderedPageBreak/>
        <w:t xml:space="preserve">incluyendo el control y eliminación de focos de hongo, la aplicación de tratamientos especializados para prevenir su reaparición, así como acciones de limpieza, consolidación de capas pictóricas y monitoreo continuo de su estado de conservación, garantizando la estabilidad y durabilidad de las intervenciones realizadas. </w:t>
      </w:r>
    </w:p>
    <w:p w14:paraId="455E593E" w14:textId="33CE9CB4" w:rsidR="00B351F4" w:rsidRDefault="005B123A" w:rsidP="00DB2C88">
      <w:pPr>
        <w:spacing w:line="360" w:lineRule="auto"/>
        <w:jc w:val="both"/>
        <w:rPr>
          <w:rFonts w:eastAsia="Calibri"/>
          <w:szCs w:val="36"/>
          <w:lang w:val="es-MX"/>
        </w:rPr>
      </w:pPr>
      <w:r w:rsidRPr="005B123A">
        <w:rPr>
          <w:rFonts w:eastAsia="Calibri"/>
          <w:szCs w:val="36"/>
          <w:lang w:val="es-MX"/>
        </w:rPr>
        <w:t>De manera complementaria, se llevó a cabo un levantamiento exhaustivo del inventario</w:t>
      </w:r>
      <w:r w:rsidR="00585ACD">
        <w:rPr>
          <w:rFonts w:eastAsia="Calibri"/>
          <w:szCs w:val="36"/>
          <w:lang w:val="es-MX"/>
        </w:rPr>
        <w:t xml:space="preserve"> y estado de conservación </w:t>
      </w:r>
      <w:r w:rsidRPr="005B123A">
        <w:rPr>
          <w:rFonts w:eastAsia="Calibri"/>
          <w:szCs w:val="36"/>
          <w:lang w:val="es-MX"/>
        </w:rPr>
        <w:t>de las colecciones.</w:t>
      </w:r>
    </w:p>
    <w:p w14:paraId="518EA397" w14:textId="77777777" w:rsidR="005D1DC5" w:rsidRDefault="00B934E9" w:rsidP="00DB2C88">
      <w:pPr>
        <w:spacing w:line="360" w:lineRule="auto"/>
        <w:jc w:val="both"/>
        <w:rPr>
          <w:rFonts w:eastAsia="Calibri"/>
          <w:szCs w:val="36"/>
          <w:lang w:val="es-MX"/>
        </w:rPr>
      </w:pPr>
      <w:r w:rsidRPr="00B934E9">
        <w:rPr>
          <w:rFonts w:eastAsia="Calibri"/>
          <w:szCs w:val="36"/>
          <w:lang w:val="es-MX"/>
        </w:rPr>
        <w:t xml:space="preserve">En el Museo Nacional de Historia y Geografía, los avances en el eje de conservación durante el año 2025 alcanzaron un 70 % de ejecución </w:t>
      </w:r>
      <w:r w:rsidR="005D1DC5">
        <w:rPr>
          <w:rFonts w:eastAsia="Calibri"/>
          <w:szCs w:val="36"/>
          <w:lang w:val="es-MX"/>
        </w:rPr>
        <w:t>correspondiente a la</w:t>
      </w:r>
      <w:r w:rsidRPr="00B934E9">
        <w:rPr>
          <w:rFonts w:eastAsia="Calibri"/>
          <w:szCs w:val="36"/>
          <w:lang w:val="es-MX"/>
        </w:rPr>
        <w:t xml:space="preserve"> primera etapa del nuevo guion museográfico, incorporando la instalación y restauración de piezas emblemáticas tanto en jardines museísticos como en salas expositivas. </w:t>
      </w:r>
    </w:p>
    <w:p w14:paraId="452E4EA0" w14:textId="3A565C44" w:rsidR="00B934E9" w:rsidRPr="00B934E9" w:rsidRDefault="00B934E9" w:rsidP="00DB2C88">
      <w:pPr>
        <w:spacing w:line="360" w:lineRule="auto"/>
        <w:jc w:val="both"/>
        <w:rPr>
          <w:rFonts w:eastAsia="Calibri"/>
          <w:szCs w:val="36"/>
          <w:lang w:val="es-MX"/>
        </w:rPr>
      </w:pPr>
      <w:r w:rsidRPr="00B934E9">
        <w:rPr>
          <w:rFonts w:eastAsia="Calibri"/>
          <w:szCs w:val="36"/>
          <w:lang w:val="es-MX"/>
        </w:rPr>
        <w:t xml:space="preserve">Estas acciones estuvieron orientadas a fortalecer la coherencia narrativa del museo, mejorar la interpretación histórica de los bienes y </w:t>
      </w:r>
      <w:r w:rsidR="00DB74F5">
        <w:rPr>
          <w:rFonts w:eastAsia="Calibri"/>
          <w:szCs w:val="36"/>
          <w:lang w:val="es-MX"/>
        </w:rPr>
        <w:t>mejorar</w:t>
      </w:r>
      <w:r w:rsidRPr="00B934E9">
        <w:rPr>
          <w:rFonts w:eastAsia="Calibri"/>
          <w:szCs w:val="36"/>
          <w:lang w:val="es-MX"/>
        </w:rPr>
        <w:t xml:space="preserve"> la experiencia del público.</w:t>
      </w:r>
    </w:p>
    <w:p w14:paraId="28463FDB" w14:textId="77777777" w:rsidR="002E7AAA" w:rsidRDefault="00B934E9" w:rsidP="00DB2C88">
      <w:pPr>
        <w:spacing w:line="360" w:lineRule="auto"/>
        <w:jc w:val="both"/>
        <w:rPr>
          <w:rFonts w:eastAsia="Calibri"/>
          <w:szCs w:val="36"/>
          <w:lang w:val="es-MX"/>
        </w:rPr>
      </w:pPr>
      <w:r w:rsidRPr="00B934E9">
        <w:rPr>
          <w:rFonts w:eastAsia="Calibri"/>
          <w:szCs w:val="36"/>
          <w:lang w:val="es-MX"/>
        </w:rPr>
        <w:t xml:space="preserve">Entre los bienes intervenidos y actualmente ubicados en los jardines del museo se destacan la réplica de “La Cabra Loca”, </w:t>
      </w:r>
      <w:proofErr w:type="spellStart"/>
      <w:r w:rsidRPr="00B934E9">
        <w:rPr>
          <w:rFonts w:eastAsia="Calibri"/>
          <w:szCs w:val="36"/>
          <w:lang w:val="es-MX"/>
        </w:rPr>
        <w:t>girocóptero</w:t>
      </w:r>
      <w:proofErr w:type="spellEnd"/>
      <w:r w:rsidRPr="00B934E9">
        <w:rPr>
          <w:rFonts w:eastAsia="Calibri"/>
          <w:szCs w:val="36"/>
          <w:lang w:val="es-MX"/>
        </w:rPr>
        <w:t xml:space="preserve"> modificado por el dominicano Tirso García Fernández y referente de la historia de la aviación nacional; el primer avión dominicano</w:t>
      </w:r>
      <w:r w:rsidR="00DB74F5">
        <w:rPr>
          <w:rFonts w:eastAsia="Calibri"/>
          <w:szCs w:val="36"/>
          <w:lang w:val="es-MX"/>
        </w:rPr>
        <w:t>.  Un</w:t>
      </w:r>
      <w:r w:rsidRPr="00B934E9">
        <w:rPr>
          <w:rFonts w:eastAsia="Calibri"/>
          <w:szCs w:val="36"/>
          <w:lang w:val="es-MX"/>
        </w:rPr>
        <w:t xml:space="preserve"> ancla histórica de época colonial</w:t>
      </w:r>
      <w:r w:rsidR="002E7AAA">
        <w:rPr>
          <w:rFonts w:eastAsia="Calibri"/>
          <w:szCs w:val="36"/>
          <w:lang w:val="es-MX"/>
        </w:rPr>
        <w:t xml:space="preserve"> </w:t>
      </w:r>
      <w:r w:rsidRPr="00B934E9">
        <w:rPr>
          <w:rFonts w:eastAsia="Calibri"/>
          <w:szCs w:val="36"/>
          <w:lang w:val="es-MX"/>
        </w:rPr>
        <w:t>vinculada a la navegación transatlántica de los siglos XVI y XVII</w:t>
      </w:r>
      <w:r w:rsidR="002E7AAA">
        <w:rPr>
          <w:rFonts w:eastAsia="Calibri"/>
          <w:szCs w:val="36"/>
          <w:lang w:val="es-MX"/>
        </w:rPr>
        <w:t>, también ubicada en el jardín frontal</w:t>
      </w:r>
      <w:r w:rsidRPr="00B934E9">
        <w:rPr>
          <w:rFonts w:eastAsia="Calibri"/>
          <w:szCs w:val="36"/>
          <w:lang w:val="es-MX"/>
        </w:rPr>
        <w:t xml:space="preserve">. </w:t>
      </w:r>
    </w:p>
    <w:p w14:paraId="6688E321" w14:textId="77777777" w:rsidR="00617AAF" w:rsidRDefault="00B934E9" w:rsidP="00DB2C88">
      <w:pPr>
        <w:spacing w:line="360" w:lineRule="auto"/>
        <w:jc w:val="both"/>
        <w:rPr>
          <w:rFonts w:eastAsia="Calibri"/>
          <w:szCs w:val="36"/>
          <w:lang w:val="es-MX"/>
        </w:rPr>
      </w:pPr>
      <w:r w:rsidRPr="00B934E9">
        <w:rPr>
          <w:rFonts w:eastAsia="Calibri"/>
          <w:szCs w:val="36"/>
          <w:lang w:val="es-MX"/>
        </w:rPr>
        <w:t xml:space="preserve">De igual modo, se realizó la restauración del segmento del Muro de Berlín, mediante la recuperación de sus capas pictóricas y la recolocación de su cartela interpretativa, con el propósito de mejorar la comprensión histórica del bien por parte del público. </w:t>
      </w:r>
    </w:p>
    <w:p w14:paraId="0BD82A23" w14:textId="77777777" w:rsidR="00D52943" w:rsidRDefault="00D52943" w:rsidP="00DB2C88">
      <w:pPr>
        <w:spacing w:line="360" w:lineRule="auto"/>
        <w:jc w:val="both"/>
        <w:rPr>
          <w:rFonts w:eastAsia="Calibri"/>
          <w:szCs w:val="36"/>
          <w:lang w:val="es-MX"/>
        </w:rPr>
      </w:pPr>
    </w:p>
    <w:p w14:paraId="228AD242" w14:textId="75555ACA" w:rsidR="00B934E9" w:rsidRPr="00B934E9" w:rsidRDefault="00B934E9" w:rsidP="00DB2C88">
      <w:pPr>
        <w:spacing w:line="360" w:lineRule="auto"/>
        <w:jc w:val="both"/>
        <w:rPr>
          <w:rFonts w:eastAsia="Calibri"/>
          <w:szCs w:val="36"/>
          <w:lang w:val="es-MX"/>
        </w:rPr>
      </w:pPr>
      <w:r w:rsidRPr="00B934E9">
        <w:rPr>
          <w:rFonts w:eastAsia="Calibri"/>
          <w:szCs w:val="36"/>
          <w:lang w:val="es-MX"/>
        </w:rPr>
        <w:lastRenderedPageBreak/>
        <w:t>Estas intervenciones permitieron integrar referentes de la historia dominicana con procesos de alcance internacional, reforzando el carácter educativo y patrimonial del museo.</w:t>
      </w:r>
    </w:p>
    <w:p w14:paraId="73B95727" w14:textId="77777777" w:rsidR="00E509DF" w:rsidRDefault="00B934E9" w:rsidP="00DB2C88">
      <w:pPr>
        <w:spacing w:line="360" w:lineRule="auto"/>
        <w:jc w:val="both"/>
        <w:rPr>
          <w:rFonts w:eastAsia="Calibri"/>
          <w:szCs w:val="36"/>
          <w:lang w:val="es-MX"/>
        </w:rPr>
      </w:pPr>
      <w:r w:rsidRPr="00B934E9">
        <w:rPr>
          <w:rFonts w:eastAsia="Calibri"/>
          <w:szCs w:val="36"/>
          <w:lang w:val="es-MX"/>
        </w:rPr>
        <w:t xml:space="preserve">Durante el año 2025, el Museo Nacional de Historia y Geografía desarrolló además acciones puntuales de restauración y conservación de bienes museográficos, priorizando aquellos necesarios para la puesta en valor de la nueva museografía permanente, en particular los vinculados a la narrativa histórica de la Guerra de </w:t>
      </w:r>
      <w:proofErr w:type="gramStart"/>
      <w:r w:rsidRPr="00B934E9">
        <w:rPr>
          <w:rFonts w:eastAsia="Calibri"/>
          <w:szCs w:val="36"/>
          <w:lang w:val="es-MX"/>
        </w:rPr>
        <w:t>Abril</w:t>
      </w:r>
      <w:proofErr w:type="gramEnd"/>
      <w:r w:rsidRPr="00B934E9">
        <w:rPr>
          <w:rFonts w:eastAsia="Calibri"/>
          <w:szCs w:val="36"/>
          <w:lang w:val="es-MX"/>
        </w:rPr>
        <w:t xml:space="preserve"> de 1965. </w:t>
      </w:r>
    </w:p>
    <w:p w14:paraId="4C48E733" w14:textId="687E09E4" w:rsidR="00585ACD" w:rsidRDefault="00B934E9" w:rsidP="00DB2C88">
      <w:pPr>
        <w:spacing w:line="360" w:lineRule="auto"/>
        <w:jc w:val="both"/>
        <w:rPr>
          <w:rFonts w:eastAsia="Calibri"/>
          <w:szCs w:val="36"/>
          <w:lang w:val="es-MX"/>
        </w:rPr>
      </w:pPr>
      <w:r w:rsidRPr="00B934E9">
        <w:rPr>
          <w:rFonts w:eastAsia="Calibri"/>
          <w:szCs w:val="36"/>
          <w:lang w:val="es-MX"/>
        </w:rPr>
        <w:t xml:space="preserve">En este contexto, a </w:t>
      </w:r>
      <w:proofErr w:type="gramStart"/>
      <w:r w:rsidRPr="00B934E9">
        <w:rPr>
          <w:rFonts w:eastAsia="Calibri"/>
          <w:szCs w:val="36"/>
          <w:lang w:val="es-MX"/>
        </w:rPr>
        <w:t>continuación</w:t>
      </w:r>
      <w:proofErr w:type="gramEnd"/>
      <w:r w:rsidRPr="00B934E9">
        <w:rPr>
          <w:rFonts w:eastAsia="Calibri"/>
          <w:szCs w:val="36"/>
          <w:lang w:val="es-MX"/>
        </w:rPr>
        <w:t xml:space="preserve"> se presenta el detalle de los bienes restaurados y conservados durante el año 2025.</w:t>
      </w:r>
    </w:p>
    <w:tbl>
      <w:tblPr>
        <w:tblW w:w="8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16"/>
        <w:gridCol w:w="1261"/>
        <w:gridCol w:w="675"/>
      </w:tblGrid>
      <w:tr w:rsidR="008B52F8" w:rsidRPr="008B52F8" w14:paraId="57D90102" w14:textId="77777777" w:rsidTr="0039446E">
        <w:trPr>
          <w:gridAfter w:val="1"/>
          <w:wAfter w:w="675" w:type="dxa"/>
          <w:trHeight w:val="288"/>
          <w:tblHeader/>
        </w:trPr>
        <w:tc>
          <w:tcPr>
            <w:tcW w:w="6516" w:type="dxa"/>
            <w:shd w:val="clear" w:color="auto" w:fill="002060"/>
            <w:vAlign w:val="center"/>
            <w:hideMark/>
          </w:tcPr>
          <w:p w14:paraId="1FE49E3A" w14:textId="77777777" w:rsidR="008B52F8" w:rsidRPr="008B52F8" w:rsidRDefault="008B52F8" w:rsidP="008B52F8">
            <w:pPr>
              <w:spacing w:after="0" w:line="240" w:lineRule="auto"/>
              <w:jc w:val="center"/>
              <w:rPr>
                <w:rFonts w:eastAsia="Calibri"/>
                <w:b/>
                <w:bCs/>
                <w:color w:val="FFFFFF" w:themeColor="background1"/>
                <w:szCs w:val="36"/>
                <w:lang w:val="es-MX"/>
              </w:rPr>
            </w:pPr>
            <w:r w:rsidRPr="008B52F8">
              <w:rPr>
                <w:rFonts w:eastAsia="Calibri"/>
                <w:b/>
                <w:bCs/>
                <w:color w:val="FFFFFF" w:themeColor="background1"/>
                <w:szCs w:val="36"/>
                <w:lang w:val="es-MX"/>
              </w:rPr>
              <w:t>Bienes restaurados / conservados</w:t>
            </w:r>
          </w:p>
        </w:tc>
        <w:tc>
          <w:tcPr>
            <w:tcW w:w="1261" w:type="dxa"/>
            <w:shd w:val="clear" w:color="auto" w:fill="002060"/>
            <w:vAlign w:val="center"/>
            <w:hideMark/>
          </w:tcPr>
          <w:p w14:paraId="2096E4EC" w14:textId="77777777" w:rsidR="008B52F8" w:rsidRPr="008B52F8" w:rsidRDefault="008B52F8" w:rsidP="008B52F8">
            <w:pPr>
              <w:spacing w:after="0" w:line="240" w:lineRule="auto"/>
              <w:jc w:val="center"/>
              <w:rPr>
                <w:rFonts w:eastAsia="Calibri"/>
                <w:b/>
                <w:bCs/>
                <w:color w:val="FFFFFF" w:themeColor="background1"/>
                <w:szCs w:val="36"/>
                <w:lang w:val="es-MX"/>
              </w:rPr>
            </w:pPr>
            <w:r w:rsidRPr="008B52F8">
              <w:rPr>
                <w:rFonts w:eastAsia="Calibri"/>
                <w:b/>
                <w:bCs/>
                <w:color w:val="FFFFFF" w:themeColor="background1"/>
                <w:szCs w:val="36"/>
                <w:lang w:val="es-MX"/>
              </w:rPr>
              <w:t>Cantidad</w:t>
            </w:r>
          </w:p>
        </w:tc>
      </w:tr>
      <w:tr w:rsidR="008B52F8" w:rsidRPr="008B52F8" w14:paraId="3B9620E2" w14:textId="77777777" w:rsidTr="0039446E">
        <w:trPr>
          <w:gridAfter w:val="1"/>
          <w:wAfter w:w="675" w:type="dxa"/>
          <w:trHeight w:val="288"/>
        </w:trPr>
        <w:tc>
          <w:tcPr>
            <w:tcW w:w="6516" w:type="dxa"/>
            <w:vAlign w:val="center"/>
            <w:hideMark/>
          </w:tcPr>
          <w:p w14:paraId="3B088A4F"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Bancos de madera</w:t>
            </w:r>
          </w:p>
        </w:tc>
        <w:tc>
          <w:tcPr>
            <w:tcW w:w="1261" w:type="dxa"/>
            <w:vAlign w:val="center"/>
            <w:hideMark/>
          </w:tcPr>
          <w:p w14:paraId="51AED7B5"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3</w:t>
            </w:r>
          </w:p>
        </w:tc>
      </w:tr>
      <w:tr w:rsidR="008B52F8" w:rsidRPr="008B52F8" w14:paraId="765DC3D2" w14:textId="77777777" w:rsidTr="0039446E">
        <w:trPr>
          <w:gridAfter w:val="1"/>
          <w:wAfter w:w="675" w:type="dxa"/>
          <w:trHeight w:val="288"/>
        </w:trPr>
        <w:tc>
          <w:tcPr>
            <w:tcW w:w="6516" w:type="dxa"/>
            <w:vAlign w:val="center"/>
            <w:hideMark/>
          </w:tcPr>
          <w:p w14:paraId="097847AF"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Cuadro de Pedro Santana</w:t>
            </w:r>
          </w:p>
        </w:tc>
        <w:tc>
          <w:tcPr>
            <w:tcW w:w="1261" w:type="dxa"/>
            <w:vAlign w:val="center"/>
            <w:hideMark/>
          </w:tcPr>
          <w:p w14:paraId="6662C649"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1A7C844B" w14:textId="77777777" w:rsidTr="0039446E">
        <w:trPr>
          <w:gridAfter w:val="1"/>
          <w:wAfter w:w="675" w:type="dxa"/>
          <w:trHeight w:val="211"/>
        </w:trPr>
        <w:tc>
          <w:tcPr>
            <w:tcW w:w="6516" w:type="dxa"/>
            <w:vAlign w:val="center"/>
            <w:hideMark/>
          </w:tcPr>
          <w:p w14:paraId="062E3F50" w14:textId="71DB0728"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Fragmentos tarja fúnebre de Francisco del Rosario Sánchez</w:t>
            </w:r>
          </w:p>
        </w:tc>
        <w:tc>
          <w:tcPr>
            <w:tcW w:w="1261" w:type="dxa"/>
            <w:vAlign w:val="center"/>
            <w:hideMark/>
          </w:tcPr>
          <w:p w14:paraId="373F8275"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3</w:t>
            </w:r>
          </w:p>
        </w:tc>
      </w:tr>
      <w:tr w:rsidR="008B52F8" w:rsidRPr="008B52F8" w14:paraId="0E98783C" w14:textId="77777777" w:rsidTr="0039446E">
        <w:trPr>
          <w:gridAfter w:val="1"/>
          <w:wAfter w:w="675" w:type="dxa"/>
          <w:trHeight w:val="288"/>
        </w:trPr>
        <w:tc>
          <w:tcPr>
            <w:tcW w:w="6516" w:type="dxa"/>
            <w:vAlign w:val="center"/>
            <w:hideMark/>
          </w:tcPr>
          <w:p w14:paraId="35EBF728"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 xml:space="preserve">Copia de obra de </w:t>
            </w:r>
            <w:proofErr w:type="spellStart"/>
            <w:r w:rsidRPr="008B52F8">
              <w:rPr>
                <w:rFonts w:eastAsia="Calibri"/>
                <w:sz w:val="22"/>
                <w:szCs w:val="32"/>
                <w:lang w:val="es-MX"/>
              </w:rPr>
              <w:t>Yoryi</w:t>
            </w:r>
            <w:proofErr w:type="spellEnd"/>
            <w:r w:rsidRPr="008B52F8">
              <w:rPr>
                <w:rFonts w:eastAsia="Calibri"/>
                <w:sz w:val="22"/>
                <w:szCs w:val="32"/>
                <w:lang w:val="es-MX"/>
              </w:rPr>
              <w:t xml:space="preserve"> Morel</w:t>
            </w:r>
          </w:p>
        </w:tc>
        <w:tc>
          <w:tcPr>
            <w:tcW w:w="1261" w:type="dxa"/>
            <w:vAlign w:val="center"/>
            <w:hideMark/>
          </w:tcPr>
          <w:p w14:paraId="38757F11"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05B8DB43" w14:textId="77777777" w:rsidTr="0039446E">
        <w:trPr>
          <w:gridAfter w:val="1"/>
          <w:wAfter w:w="675" w:type="dxa"/>
          <w:trHeight w:val="288"/>
        </w:trPr>
        <w:tc>
          <w:tcPr>
            <w:tcW w:w="6516" w:type="dxa"/>
            <w:vAlign w:val="center"/>
            <w:hideMark/>
          </w:tcPr>
          <w:p w14:paraId="0A494D19"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Tarja de mármol de Ulises Heureaux</w:t>
            </w:r>
          </w:p>
        </w:tc>
        <w:tc>
          <w:tcPr>
            <w:tcW w:w="1261" w:type="dxa"/>
            <w:vAlign w:val="center"/>
            <w:hideMark/>
          </w:tcPr>
          <w:p w14:paraId="391F6D82"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34F7870A" w14:textId="77777777" w:rsidTr="0039446E">
        <w:trPr>
          <w:gridAfter w:val="1"/>
          <w:wAfter w:w="675" w:type="dxa"/>
          <w:trHeight w:val="241"/>
        </w:trPr>
        <w:tc>
          <w:tcPr>
            <w:tcW w:w="6516" w:type="dxa"/>
            <w:vAlign w:val="center"/>
            <w:hideMark/>
          </w:tcPr>
          <w:p w14:paraId="1FC05450"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Tarja con el escudo nacional de Ramón Mella (fragmento)</w:t>
            </w:r>
          </w:p>
        </w:tc>
        <w:tc>
          <w:tcPr>
            <w:tcW w:w="1261" w:type="dxa"/>
            <w:vAlign w:val="center"/>
            <w:hideMark/>
          </w:tcPr>
          <w:p w14:paraId="306F32AB"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09CCB124" w14:textId="77777777" w:rsidTr="0039446E">
        <w:trPr>
          <w:gridAfter w:val="1"/>
          <w:wAfter w:w="675" w:type="dxa"/>
          <w:trHeight w:val="288"/>
        </w:trPr>
        <w:tc>
          <w:tcPr>
            <w:tcW w:w="6516" w:type="dxa"/>
            <w:vAlign w:val="center"/>
            <w:hideMark/>
          </w:tcPr>
          <w:p w14:paraId="170457F6"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Retrato de Juana Saltitopa</w:t>
            </w:r>
          </w:p>
        </w:tc>
        <w:tc>
          <w:tcPr>
            <w:tcW w:w="1261" w:type="dxa"/>
            <w:vAlign w:val="center"/>
            <w:hideMark/>
          </w:tcPr>
          <w:p w14:paraId="1CAF3D3B"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2EBE2FA6" w14:textId="77777777" w:rsidTr="0039446E">
        <w:trPr>
          <w:gridAfter w:val="1"/>
          <w:wAfter w:w="675" w:type="dxa"/>
          <w:trHeight w:val="288"/>
        </w:trPr>
        <w:tc>
          <w:tcPr>
            <w:tcW w:w="6516" w:type="dxa"/>
            <w:vAlign w:val="center"/>
            <w:hideMark/>
          </w:tcPr>
          <w:p w14:paraId="0CB4681B"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Reconocimientos de Pedro Mir</w:t>
            </w:r>
          </w:p>
        </w:tc>
        <w:tc>
          <w:tcPr>
            <w:tcW w:w="1261" w:type="dxa"/>
            <w:vAlign w:val="center"/>
            <w:hideMark/>
          </w:tcPr>
          <w:p w14:paraId="000A85DD"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4</w:t>
            </w:r>
          </w:p>
        </w:tc>
      </w:tr>
      <w:tr w:rsidR="008B52F8" w:rsidRPr="008B52F8" w14:paraId="4F164CBF" w14:textId="77777777" w:rsidTr="0039446E">
        <w:trPr>
          <w:gridAfter w:val="1"/>
          <w:wAfter w:w="675" w:type="dxa"/>
          <w:trHeight w:val="288"/>
        </w:trPr>
        <w:tc>
          <w:tcPr>
            <w:tcW w:w="6516" w:type="dxa"/>
            <w:vAlign w:val="center"/>
            <w:hideMark/>
          </w:tcPr>
          <w:p w14:paraId="5136CE45"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Piezas de Tirso García</w:t>
            </w:r>
          </w:p>
        </w:tc>
        <w:tc>
          <w:tcPr>
            <w:tcW w:w="1261" w:type="dxa"/>
            <w:vAlign w:val="center"/>
            <w:hideMark/>
          </w:tcPr>
          <w:p w14:paraId="3E9401D0"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8</w:t>
            </w:r>
          </w:p>
        </w:tc>
      </w:tr>
      <w:tr w:rsidR="008B52F8" w:rsidRPr="008B52F8" w14:paraId="143C1504" w14:textId="77777777" w:rsidTr="0039446E">
        <w:trPr>
          <w:gridAfter w:val="1"/>
          <w:wAfter w:w="675" w:type="dxa"/>
          <w:trHeight w:val="288"/>
        </w:trPr>
        <w:tc>
          <w:tcPr>
            <w:tcW w:w="6516" w:type="dxa"/>
            <w:vAlign w:val="center"/>
            <w:hideMark/>
          </w:tcPr>
          <w:p w14:paraId="258B2078"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Reconocimientos de Tirso García</w:t>
            </w:r>
          </w:p>
        </w:tc>
        <w:tc>
          <w:tcPr>
            <w:tcW w:w="1261" w:type="dxa"/>
            <w:vAlign w:val="center"/>
            <w:hideMark/>
          </w:tcPr>
          <w:p w14:paraId="65695057"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6</w:t>
            </w:r>
          </w:p>
        </w:tc>
      </w:tr>
      <w:tr w:rsidR="008B52F8" w:rsidRPr="008B52F8" w14:paraId="560C67AA" w14:textId="77777777" w:rsidTr="0039446E">
        <w:trPr>
          <w:gridAfter w:val="1"/>
          <w:wAfter w:w="675" w:type="dxa"/>
          <w:trHeight w:val="288"/>
        </w:trPr>
        <w:tc>
          <w:tcPr>
            <w:tcW w:w="6516" w:type="dxa"/>
            <w:vAlign w:val="center"/>
            <w:hideMark/>
          </w:tcPr>
          <w:p w14:paraId="5FFEF425"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Dibujos de Camilo Caro</w:t>
            </w:r>
          </w:p>
        </w:tc>
        <w:tc>
          <w:tcPr>
            <w:tcW w:w="1261" w:type="dxa"/>
            <w:vAlign w:val="center"/>
            <w:hideMark/>
          </w:tcPr>
          <w:p w14:paraId="52E92A66"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4</w:t>
            </w:r>
          </w:p>
        </w:tc>
      </w:tr>
      <w:tr w:rsidR="008B52F8" w:rsidRPr="008B52F8" w14:paraId="1204B394" w14:textId="77777777" w:rsidTr="0039446E">
        <w:trPr>
          <w:gridAfter w:val="1"/>
          <w:wAfter w:w="675" w:type="dxa"/>
          <w:trHeight w:val="143"/>
        </w:trPr>
        <w:tc>
          <w:tcPr>
            <w:tcW w:w="6516" w:type="dxa"/>
            <w:vAlign w:val="center"/>
            <w:hideMark/>
          </w:tcPr>
          <w:p w14:paraId="34F1D214" w14:textId="7E8C3998"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 xml:space="preserve">Armas de la Sala de la Patria </w:t>
            </w:r>
          </w:p>
        </w:tc>
        <w:tc>
          <w:tcPr>
            <w:tcW w:w="1261" w:type="dxa"/>
            <w:vAlign w:val="center"/>
            <w:hideMark/>
          </w:tcPr>
          <w:p w14:paraId="3C1523A1"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49</w:t>
            </w:r>
          </w:p>
        </w:tc>
      </w:tr>
      <w:tr w:rsidR="008B52F8" w:rsidRPr="008B52F8" w14:paraId="55FBB853" w14:textId="77777777" w:rsidTr="0039446E">
        <w:trPr>
          <w:gridAfter w:val="1"/>
          <w:wAfter w:w="675" w:type="dxa"/>
          <w:trHeight w:val="288"/>
        </w:trPr>
        <w:tc>
          <w:tcPr>
            <w:tcW w:w="6516" w:type="dxa"/>
            <w:vAlign w:val="center"/>
            <w:hideMark/>
          </w:tcPr>
          <w:p w14:paraId="5969F14E"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Máquina de coser</w:t>
            </w:r>
          </w:p>
        </w:tc>
        <w:tc>
          <w:tcPr>
            <w:tcW w:w="1261" w:type="dxa"/>
            <w:vAlign w:val="center"/>
            <w:hideMark/>
          </w:tcPr>
          <w:p w14:paraId="505B348C"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3B6F1E15" w14:textId="77777777" w:rsidTr="0039446E">
        <w:trPr>
          <w:gridAfter w:val="1"/>
          <w:wAfter w:w="675" w:type="dxa"/>
          <w:trHeight w:val="288"/>
        </w:trPr>
        <w:tc>
          <w:tcPr>
            <w:tcW w:w="6516" w:type="dxa"/>
            <w:vAlign w:val="center"/>
            <w:hideMark/>
          </w:tcPr>
          <w:p w14:paraId="34DB1D59"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Rueda de carruaje</w:t>
            </w:r>
          </w:p>
        </w:tc>
        <w:tc>
          <w:tcPr>
            <w:tcW w:w="1261" w:type="dxa"/>
            <w:vAlign w:val="center"/>
            <w:hideMark/>
          </w:tcPr>
          <w:p w14:paraId="5501A6F6"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4910C0F4" w14:textId="77777777" w:rsidTr="0039446E">
        <w:trPr>
          <w:gridAfter w:val="1"/>
          <w:wAfter w:w="675" w:type="dxa"/>
          <w:trHeight w:val="288"/>
        </w:trPr>
        <w:tc>
          <w:tcPr>
            <w:tcW w:w="6516" w:type="dxa"/>
            <w:vAlign w:val="center"/>
            <w:hideMark/>
          </w:tcPr>
          <w:p w14:paraId="30E1E8FE"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Muestra “Grito de Independencia”</w:t>
            </w:r>
          </w:p>
        </w:tc>
        <w:tc>
          <w:tcPr>
            <w:tcW w:w="1261" w:type="dxa"/>
            <w:vAlign w:val="center"/>
            <w:hideMark/>
          </w:tcPr>
          <w:p w14:paraId="65B4182F"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3D57CDB4" w14:textId="77777777" w:rsidTr="0039446E">
        <w:trPr>
          <w:gridAfter w:val="1"/>
          <w:wAfter w:w="675" w:type="dxa"/>
          <w:trHeight w:val="288"/>
        </w:trPr>
        <w:tc>
          <w:tcPr>
            <w:tcW w:w="6516" w:type="dxa"/>
            <w:vAlign w:val="center"/>
            <w:hideMark/>
          </w:tcPr>
          <w:p w14:paraId="22C7307A"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 xml:space="preserve">Teléfono de la Librería </w:t>
            </w:r>
            <w:proofErr w:type="spellStart"/>
            <w:r w:rsidRPr="008B52F8">
              <w:rPr>
                <w:rFonts w:eastAsia="Calibri"/>
                <w:sz w:val="22"/>
                <w:szCs w:val="32"/>
                <w:lang w:val="es-MX"/>
              </w:rPr>
              <w:t>Fiume</w:t>
            </w:r>
            <w:proofErr w:type="spellEnd"/>
          </w:p>
        </w:tc>
        <w:tc>
          <w:tcPr>
            <w:tcW w:w="1261" w:type="dxa"/>
            <w:vAlign w:val="center"/>
            <w:hideMark/>
          </w:tcPr>
          <w:p w14:paraId="4E9B7802"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0D7F8578" w14:textId="77777777" w:rsidTr="0039446E">
        <w:trPr>
          <w:gridAfter w:val="1"/>
          <w:wAfter w:w="675" w:type="dxa"/>
          <w:trHeight w:val="288"/>
        </w:trPr>
        <w:tc>
          <w:tcPr>
            <w:tcW w:w="6516" w:type="dxa"/>
            <w:vAlign w:val="center"/>
            <w:hideMark/>
          </w:tcPr>
          <w:p w14:paraId="6C7B3839"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Máquina de escribir de Pedro Mir</w:t>
            </w:r>
          </w:p>
        </w:tc>
        <w:tc>
          <w:tcPr>
            <w:tcW w:w="1261" w:type="dxa"/>
            <w:vAlign w:val="center"/>
            <w:hideMark/>
          </w:tcPr>
          <w:p w14:paraId="4E28C7A3"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8B52F8" w:rsidRPr="008B52F8" w14:paraId="233B63E3" w14:textId="77777777" w:rsidTr="0039446E">
        <w:trPr>
          <w:gridAfter w:val="1"/>
          <w:wAfter w:w="675" w:type="dxa"/>
          <w:trHeight w:val="288"/>
        </w:trPr>
        <w:tc>
          <w:tcPr>
            <w:tcW w:w="6516" w:type="dxa"/>
            <w:vAlign w:val="center"/>
            <w:hideMark/>
          </w:tcPr>
          <w:p w14:paraId="70300A7B" w14:textId="77777777" w:rsidR="008B52F8" w:rsidRPr="008B52F8" w:rsidRDefault="008B52F8" w:rsidP="008B52F8">
            <w:pPr>
              <w:spacing w:after="0" w:line="240" w:lineRule="auto"/>
              <w:rPr>
                <w:rFonts w:eastAsia="Calibri"/>
                <w:sz w:val="22"/>
                <w:szCs w:val="32"/>
                <w:lang w:val="es-MX"/>
              </w:rPr>
            </w:pPr>
            <w:r w:rsidRPr="008B52F8">
              <w:rPr>
                <w:rFonts w:eastAsia="Calibri"/>
                <w:sz w:val="22"/>
                <w:szCs w:val="32"/>
                <w:lang w:val="es-MX"/>
              </w:rPr>
              <w:t>Retratos a plumilla</w:t>
            </w:r>
          </w:p>
        </w:tc>
        <w:tc>
          <w:tcPr>
            <w:tcW w:w="1261" w:type="dxa"/>
            <w:vAlign w:val="center"/>
            <w:hideMark/>
          </w:tcPr>
          <w:p w14:paraId="7E0F123B" w14:textId="77777777" w:rsidR="008B52F8" w:rsidRPr="008B52F8" w:rsidRDefault="008B52F8" w:rsidP="008B52F8">
            <w:pPr>
              <w:spacing w:after="0" w:line="240" w:lineRule="auto"/>
              <w:jc w:val="center"/>
              <w:rPr>
                <w:rFonts w:eastAsia="Calibri"/>
                <w:sz w:val="22"/>
                <w:szCs w:val="32"/>
                <w:lang w:val="es-MX"/>
              </w:rPr>
            </w:pPr>
            <w:r w:rsidRPr="008B52F8">
              <w:rPr>
                <w:rFonts w:eastAsia="Calibri"/>
                <w:sz w:val="22"/>
                <w:szCs w:val="32"/>
                <w:lang w:val="es-MX"/>
              </w:rPr>
              <w:t>1</w:t>
            </w:r>
          </w:p>
        </w:tc>
      </w:tr>
      <w:tr w:rsidR="00781215" w:rsidRPr="003A6766" w14:paraId="5ACFBF95" w14:textId="77777777" w:rsidTr="0039446E">
        <w:trPr>
          <w:gridAfter w:val="1"/>
          <w:wAfter w:w="675" w:type="dxa"/>
          <w:trHeight w:val="288"/>
        </w:trPr>
        <w:tc>
          <w:tcPr>
            <w:tcW w:w="6516" w:type="dxa"/>
            <w:vAlign w:val="center"/>
          </w:tcPr>
          <w:p w14:paraId="2386079A" w14:textId="3360F076" w:rsidR="00781215" w:rsidRPr="003A6766" w:rsidRDefault="00781215" w:rsidP="008B52F8">
            <w:pPr>
              <w:spacing w:after="0" w:line="240" w:lineRule="auto"/>
              <w:rPr>
                <w:rFonts w:eastAsia="Calibri"/>
                <w:sz w:val="22"/>
                <w:szCs w:val="32"/>
                <w:lang w:val="es-MX"/>
              </w:rPr>
            </w:pPr>
            <w:r w:rsidRPr="003A6766">
              <w:rPr>
                <w:rFonts w:eastAsia="Calibri"/>
                <w:sz w:val="22"/>
                <w:szCs w:val="32"/>
                <w:lang w:val="es-MX"/>
              </w:rPr>
              <w:t xml:space="preserve">Ancla </w:t>
            </w:r>
            <w:r w:rsidR="001F6EB2" w:rsidRPr="003A6766">
              <w:rPr>
                <w:rFonts w:eastAsia="Calibri"/>
                <w:sz w:val="22"/>
                <w:szCs w:val="32"/>
                <w:lang w:val="es-MX"/>
              </w:rPr>
              <w:t>S.</w:t>
            </w:r>
            <w:r w:rsidR="001F6EB2" w:rsidRPr="003A6766">
              <w:rPr>
                <w:sz w:val="22"/>
                <w:szCs w:val="32"/>
                <w:lang w:val="es-MX"/>
              </w:rPr>
              <w:t xml:space="preserve"> </w:t>
            </w:r>
            <w:r w:rsidR="001F6EB2" w:rsidRPr="003A6766">
              <w:rPr>
                <w:rFonts w:eastAsia="Calibri"/>
                <w:sz w:val="22"/>
                <w:szCs w:val="32"/>
                <w:lang w:val="es-MX"/>
              </w:rPr>
              <w:t>XVI y XVII</w:t>
            </w:r>
          </w:p>
        </w:tc>
        <w:tc>
          <w:tcPr>
            <w:tcW w:w="1261" w:type="dxa"/>
            <w:vAlign w:val="center"/>
          </w:tcPr>
          <w:p w14:paraId="67DE6B85" w14:textId="28F59CC2" w:rsidR="00781215" w:rsidRPr="003A6766" w:rsidRDefault="001F6EB2" w:rsidP="008B52F8">
            <w:pPr>
              <w:spacing w:after="0" w:line="240" w:lineRule="auto"/>
              <w:jc w:val="center"/>
              <w:rPr>
                <w:rFonts w:eastAsia="Calibri"/>
                <w:sz w:val="22"/>
                <w:szCs w:val="32"/>
                <w:lang w:val="es-MX"/>
              </w:rPr>
            </w:pPr>
            <w:r w:rsidRPr="003A6766">
              <w:rPr>
                <w:rFonts w:eastAsia="Calibri"/>
                <w:sz w:val="22"/>
                <w:szCs w:val="32"/>
                <w:lang w:val="es-MX"/>
              </w:rPr>
              <w:t>1</w:t>
            </w:r>
          </w:p>
        </w:tc>
      </w:tr>
      <w:tr w:rsidR="00781215" w:rsidRPr="003A6766" w14:paraId="540AB26D" w14:textId="77777777" w:rsidTr="0039446E">
        <w:trPr>
          <w:gridAfter w:val="1"/>
          <w:wAfter w:w="675" w:type="dxa"/>
          <w:trHeight w:val="288"/>
        </w:trPr>
        <w:tc>
          <w:tcPr>
            <w:tcW w:w="6516" w:type="dxa"/>
            <w:vAlign w:val="center"/>
          </w:tcPr>
          <w:p w14:paraId="2FF8E18F" w14:textId="5E4CE0BB" w:rsidR="00781215" w:rsidRPr="003A6766" w:rsidRDefault="00AA4A49" w:rsidP="008B52F8">
            <w:pPr>
              <w:spacing w:after="0" w:line="240" w:lineRule="auto"/>
              <w:rPr>
                <w:rFonts w:eastAsia="Calibri"/>
                <w:sz w:val="22"/>
                <w:szCs w:val="32"/>
                <w:lang w:val="es-MX"/>
              </w:rPr>
            </w:pPr>
            <w:r w:rsidRPr="003A6766">
              <w:rPr>
                <w:rFonts w:eastAsia="Calibri"/>
                <w:sz w:val="22"/>
                <w:szCs w:val="32"/>
                <w:lang w:val="es-MX"/>
              </w:rPr>
              <w:t>Girocóptero Tirso García</w:t>
            </w:r>
          </w:p>
        </w:tc>
        <w:tc>
          <w:tcPr>
            <w:tcW w:w="1261" w:type="dxa"/>
            <w:vAlign w:val="center"/>
          </w:tcPr>
          <w:p w14:paraId="79F20084" w14:textId="4656411F" w:rsidR="00781215" w:rsidRPr="003A6766" w:rsidRDefault="00AA4A49" w:rsidP="008B52F8">
            <w:pPr>
              <w:spacing w:after="0" w:line="240" w:lineRule="auto"/>
              <w:jc w:val="center"/>
              <w:rPr>
                <w:rFonts w:eastAsia="Calibri"/>
                <w:sz w:val="22"/>
                <w:szCs w:val="32"/>
                <w:lang w:val="es-MX"/>
              </w:rPr>
            </w:pPr>
            <w:r w:rsidRPr="003A6766">
              <w:rPr>
                <w:rFonts w:eastAsia="Calibri"/>
                <w:sz w:val="22"/>
                <w:szCs w:val="32"/>
                <w:lang w:val="es-MX"/>
              </w:rPr>
              <w:t>1</w:t>
            </w:r>
          </w:p>
        </w:tc>
      </w:tr>
      <w:tr w:rsidR="00781215" w:rsidRPr="003A6766" w14:paraId="4C508E7B" w14:textId="77777777" w:rsidTr="0039446E">
        <w:trPr>
          <w:gridAfter w:val="1"/>
          <w:wAfter w:w="675" w:type="dxa"/>
          <w:trHeight w:val="288"/>
        </w:trPr>
        <w:tc>
          <w:tcPr>
            <w:tcW w:w="6516" w:type="dxa"/>
            <w:vAlign w:val="center"/>
          </w:tcPr>
          <w:p w14:paraId="718DF378" w14:textId="5957467F" w:rsidR="00781215" w:rsidRPr="003A6766" w:rsidRDefault="00AA4A49" w:rsidP="008B52F8">
            <w:pPr>
              <w:spacing w:after="0" w:line="240" w:lineRule="auto"/>
              <w:rPr>
                <w:rFonts w:eastAsia="Calibri"/>
                <w:sz w:val="22"/>
                <w:szCs w:val="32"/>
                <w:lang w:val="es-MX"/>
              </w:rPr>
            </w:pPr>
            <w:r w:rsidRPr="003A6766">
              <w:rPr>
                <w:rFonts w:eastAsia="Calibri"/>
                <w:sz w:val="22"/>
                <w:szCs w:val="32"/>
                <w:lang w:val="es-MX"/>
              </w:rPr>
              <w:t>Segmento Muro de Berlín</w:t>
            </w:r>
          </w:p>
        </w:tc>
        <w:tc>
          <w:tcPr>
            <w:tcW w:w="1261" w:type="dxa"/>
            <w:vAlign w:val="center"/>
          </w:tcPr>
          <w:p w14:paraId="6DC2269F" w14:textId="04385F6A" w:rsidR="00781215" w:rsidRPr="003A6766" w:rsidRDefault="00AA4A49" w:rsidP="008B52F8">
            <w:pPr>
              <w:spacing w:after="0" w:line="240" w:lineRule="auto"/>
              <w:jc w:val="center"/>
              <w:rPr>
                <w:rFonts w:eastAsia="Calibri"/>
                <w:sz w:val="22"/>
                <w:szCs w:val="32"/>
                <w:lang w:val="es-MX"/>
              </w:rPr>
            </w:pPr>
            <w:r w:rsidRPr="003A6766">
              <w:rPr>
                <w:rFonts w:eastAsia="Calibri"/>
                <w:sz w:val="22"/>
                <w:szCs w:val="32"/>
                <w:lang w:val="es-MX"/>
              </w:rPr>
              <w:t>1</w:t>
            </w:r>
          </w:p>
        </w:tc>
      </w:tr>
      <w:tr w:rsidR="008B52F8" w:rsidRPr="008B52F8" w14:paraId="592E4BC2" w14:textId="77777777" w:rsidTr="0039446E">
        <w:trPr>
          <w:gridAfter w:val="1"/>
          <w:wAfter w:w="675" w:type="dxa"/>
          <w:trHeight w:val="288"/>
        </w:trPr>
        <w:tc>
          <w:tcPr>
            <w:tcW w:w="6516" w:type="dxa"/>
            <w:vAlign w:val="center"/>
            <w:hideMark/>
          </w:tcPr>
          <w:p w14:paraId="3873B815" w14:textId="77777777" w:rsidR="008B52F8" w:rsidRPr="008B52F8" w:rsidRDefault="008B52F8" w:rsidP="008B52F8">
            <w:pPr>
              <w:spacing w:after="0" w:line="240" w:lineRule="auto"/>
              <w:jc w:val="right"/>
              <w:rPr>
                <w:rFonts w:eastAsia="Calibri"/>
                <w:b/>
                <w:bCs/>
                <w:sz w:val="22"/>
                <w:szCs w:val="32"/>
                <w:lang w:val="es-MX"/>
              </w:rPr>
            </w:pPr>
            <w:r w:rsidRPr="008B52F8">
              <w:rPr>
                <w:rFonts w:eastAsia="Calibri"/>
                <w:b/>
                <w:bCs/>
                <w:sz w:val="22"/>
                <w:szCs w:val="32"/>
                <w:lang w:val="es-MX"/>
              </w:rPr>
              <w:t>Total</w:t>
            </w:r>
          </w:p>
        </w:tc>
        <w:tc>
          <w:tcPr>
            <w:tcW w:w="1261" w:type="dxa"/>
            <w:noWrap/>
            <w:vAlign w:val="bottom"/>
            <w:hideMark/>
          </w:tcPr>
          <w:p w14:paraId="4A69D572" w14:textId="3438A542" w:rsidR="008B52F8" w:rsidRPr="008B52F8" w:rsidRDefault="00AA4A49" w:rsidP="008B52F8">
            <w:pPr>
              <w:spacing w:after="0" w:line="240" w:lineRule="auto"/>
              <w:jc w:val="center"/>
              <w:rPr>
                <w:rFonts w:eastAsia="Calibri"/>
                <w:b/>
                <w:bCs/>
                <w:sz w:val="22"/>
                <w:szCs w:val="32"/>
                <w:lang w:val="es-MX"/>
              </w:rPr>
            </w:pPr>
            <w:r w:rsidRPr="003A6766">
              <w:rPr>
                <w:rFonts w:eastAsia="Calibri"/>
                <w:b/>
                <w:bCs/>
                <w:sz w:val="22"/>
                <w:szCs w:val="32"/>
                <w:lang w:val="es-MX"/>
              </w:rPr>
              <w:t>91</w:t>
            </w:r>
          </w:p>
        </w:tc>
      </w:tr>
      <w:tr w:rsidR="00000D9D" w:rsidRPr="00EE47D5" w14:paraId="7BC9129E" w14:textId="77777777" w:rsidTr="003944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8452" w:type="dxa"/>
            <w:gridSpan w:val="3"/>
            <w:shd w:val="clear" w:color="auto" w:fill="FFFFFF" w:themeFill="background1"/>
            <w:noWrap/>
            <w:vAlign w:val="center"/>
          </w:tcPr>
          <w:p w14:paraId="13032C59" w14:textId="2EEF950C" w:rsidR="00000D9D" w:rsidRPr="003A6766" w:rsidRDefault="00000D9D" w:rsidP="00380477">
            <w:pPr>
              <w:spacing w:after="0" w:line="240" w:lineRule="auto"/>
              <w:rPr>
                <w:rFonts w:eastAsia="Times New Roman"/>
                <w:b/>
                <w:bCs/>
                <w:color w:val="FFFFFF"/>
                <w:spacing w:val="0"/>
                <w:sz w:val="22"/>
                <w:szCs w:val="32"/>
                <w:lang w:val="es-MX" w:eastAsia="es-MX"/>
              </w:rPr>
            </w:pPr>
            <w:r w:rsidRPr="003A6766">
              <w:rPr>
                <w:rFonts w:eastAsia="Calibri"/>
                <w:i/>
                <w:iCs/>
                <w:sz w:val="22"/>
                <w:szCs w:val="32"/>
                <w:lang w:val="es-DO"/>
              </w:rPr>
              <w:t>Cuadro 4</w:t>
            </w:r>
            <w:r w:rsidR="00A67E9B">
              <w:rPr>
                <w:rFonts w:eastAsia="Calibri"/>
                <w:i/>
                <w:iCs/>
                <w:sz w:val="22"/>
                <w:szCs w:val="32"/>
                <w:lang w:val="es-DO"/>
              </w:rPr>
              <w:t>.</w:t>
            </w:r>
            <w:r w:rsidRPr="003A6766">
              <w:rPr>
                <w:rFonts w:eastAsia="Calibri"/>
                <w:i/>
                <w:iCs/>
                <w:sz w:val="22"/>
                <w:szCs w:val="32"/>
                <w:lang w:val="es-DO"/>
              </w:rPr>
              <w:t xml:space="preserve"> Bienes restaurados Museo </w:t>
            </w:r>
            <w:r w:rsidR="00CA3E9E" w:rsidRPr="003A6766">
              <w:rPr>
                <w:rFonts w:eastAsia="Calibri"/>
                <w:i/>
                <w:iCs/>
                <w:sz w:val="22"/>
                <w:szCs w:val="32"/>
                <w:lang w:val="es-DO"/>
              </w:rPr>
              <w:t>Nacional</w:t>
            </w:r>
            <w:r w:rsidRPr="003A6766">
              <w:rPr>
                <w:rFonts w:eastAsia="Calibri"/>
                <w:i/>
                <w:iCs/>
                <w:sz w:val="22"/>
                <w:szCs w:val="32"/>
                <w:lang w:val="es-DO"/>
              </w:rPr>
              <w:t xml:space="preserve"> de Historia y Geografía</w:t>
            </w:r>
            <w:r w:rsidR="00CA3E9E" w:rsidRPr="003A6766">
              <w:rPr>
                <w:rFonts w:eastAsia="Calibri"/>
                <w:i/>
                <w:iCs/>
                <w:sz w:val="22"/>
                <w:szCs w:val="32"/>
                <w:lang w:val="es-DO"/>
              </w:rPr>
              <w:t>, año</w:t>
            </w:r>
            <w:r w:rsidRPr="003A6766">
              <w:rPr>
                <w:rFonts w:eastAsia="Calibri"/>
                <w:i/>
                <w:iCs/>
                <w:sz w:val="22"/>
                <w:szCs w:val="32"/>
                <w:lang w:val="es-DO"/>
              </w:rPr>
              <w:t xml:space="preserve"> 2025</w:t>
            </w:r>
          </w:p>
        </w:tc>
      </w:tr>
    </w:tbl>
    <w:p w14:paraId="6BDC31C1" w14:textId="77777777" w:rsidR="00000D9D" w:rsidRPr="007F6F30" w:rsidRDefault="00000D9D" w:rsidP="00000D9D">
      <w:pPr>
        <w:spacing w:after="0" w:line="360" w:lineRule="auto"/>
        <w:jc w:val="both"/>
        <w:rPr>
          <w:rFonts w:eastAsia="Calibri"/>
          <w:lang w:val="es-DO"/>
        </w:rPr>
      </w:pPr>
      <w:r w:rsidRPr="007F6F30">
        <w:rPr>
          <w:rFonts w:eastAsia="Calibri"/>
          <w:lang w:val="es-DO"/>
        </w:rPr>
        <w:t xml:space="preserve">   .</w:t>
      </w:r>
    </w:p>
    <w:p w14:paraId="359E3A04" w14:textId="77777777" w:rsidR="0058436C" w:rsidRDefault="008F0004" w:rsidP="00DB2C88">
      <w:pPr>
        <w:spacing w:line="360" w:lineRule="auto"/>
        <w:jc w:val="both"/>
        <w:rPr>
          <w:rFonts w:eastAsia="Calibri"/>
          <w:szCs w:val="36"/>
          <w:lang w:val="es-MX"/>
        </w:rPr>
      </w:pPr>
      <w:r w:rsidRPr="008F0004">
        <w:rPr>
          <w:rFonts w:eastAsia="Calibri"/>
          <w:szCs w:val="36"/>
          <w:lang w:val="es-MX"/>
        </w:rPr>
        <w:lastRenderedPageBreak/>
        <w:t xml:space="preserve">Las intervenciones realizadas durante el año 2025 evidencian un esfuerzo sistemático y sostenido por fortalecer la conservación del patrimonio cultural bajo custodia del Museo Nacional de Historia y Geografía. </w:t>
      </w:r>
    </w:p>
    <w:p w14:paraId="18446442" w14:textId="57BAD585" w:rsidR="008F0004" w:rsidRDefault="008F0004" w:rsidP="00DB2C88">
      <w:pPr>
        <w:spacing w:line="360" w:lineRule="auto"/>
        <w:jc w:val="both"/>
        <w:rPr>
          <w:rFonts w:eastAsia="Calibri"/>
          <w:szCs w:val="36"/>
          <w:lang w:val="es-MX"/>
        </w:rPr>
      </w:pPr>
      <w:r w:rsidRPr="008F0004">
        <w:rPr>
          <w:rFonts w:eastAsia="Calibri"/>
          <w:szCs w:val="36"/>
          <w:lang w:val="es-MX"/>
        </w:rPr>
        <w:t>La diversidad de bienes intervenidos</w:t>
      </w:r>
      <w:r>
        <w:rPr>
          <w:rFonts w:eastAsia="Calibri"/>
          <w:szCs w:val="36"/>
          <w:lang w:val="es-MX"/>
        </w:rPr>
        <w:t xml:space="preserve">, </w:t>
      </w:r>
      <w:r w:rsidRPr="008F0004">
        <w:rPr>
          <w:rFonts w:eastAsia="Calibri"/>
          <w:szCs w:val="36"/>
          <w:lang w:val="es-MX"/>
        </w:rPr>
        <w:t>que abarca obras artísticas, objetos históricos, documentos, reconocimientos y armamento</w:t>
      </w:r>
      <w:r>
        <w:rPr>
          <w:rFonts w:eastAsia="Calibri"/>
          <w:szCs w:val="36"/>
          <w:lang w:val="es-MX"/>
        </w:rPr>
        <w:t xml:space="preserve">, </w:t>
      </w:r>
      <w:r w:rsidRPr="008F0004">
        <w:rPr>
          <w:rFonts w:eastAsia="Calibri"/>
          <w:szCs w:val="36"/>
          <w:lang w:val="es-MX"/>
        </w:rPr>
        <w:t xml:space="preserve">refleja un enfoque integral de conservación, alineado con la actualización del discurso museográfico y con el compromiso institucional de preservar, interpretar y difundir la memoria histórica dominicana. </w:t>
      </w:r>
    </w:p>
    <w:p w14:paraId="0BBE7BB2" w14:textId="5FE2BB9D" w:rsidR="00585ACD" w:rsidRDefault="008F0004" w:rsidP="00DB2C88">
      <w:pPr>
        <w:spacing w:line="360" w:lineRule="auto"/>
        <w:jc w:val="both"/>
        <w:rPr>
          <w:rFonts w:eastAsia="Calibri"/>
          <w:szCs w:val="36"/>
          <w:lang w:val="es-MX"/>
        </w:rPr>
      </w:pPr>
      <w:r w:rsidRPr="008F0004">
        <w:rPr>
          <w:rFonts w:eastAsia="Calibri"/>
          <w:szCs w:val="36"/>
          <w:lang w:val="es-MX"/>
        </w:rPr>
        <w:t>Estas acciones contribuyen de manera directa a la calidad de la oferta museística y a la transmisión del patrimonio cultural a las generaciones presentes y futuras.</w:t>
      </w:r>
    </w:p>
    <w:p w14:paraId="7B69C9A8" w14:textId="2D777547" w:rsidR="00DD7798" w:rsidRDefault="00EF41B8" w:rsidP="00DB2C88">
      <w:pPr>
        <w:spacing w:line="360" w:lineRule="auto"/>
        <w:jc w:val="both"/>
        <w:rPr>
          <w:rFonts w:eastAsia="Calibri"/>
          <w:szCs w:val="36"/>
          <w:lang w:val="es-MX"/>
        </w:rPr>
      </w:pPr>
      <w:r>
        <w:rPr>
          <w:rFonts w:eastAsia="Calibri"/>
          <w:szCs w:val="36"/>
          <w:lang w:val="es-MX"/>
        </w:rPr>
        <w:t xml:space="preserve">Por otro lado, </w:t>
      </w:r>
      <w:r w:rsidRPr="00EF41B8">
        <w:rPr>
          <w:rFonts w:eastAsia="Calibri"/>
          <w:szCs w:val="36"/>
          <w:lang w:val="es-MX"/>
        </w:rPr>
        <w:t xml:space="preserve">el Museo Alcázar de Colón desarrolla un proceso sostenido de conservación especializada de bienes muebles de su colección, en el marco del proyecto integral de intervención del monumento. </w:t>
      </w:r>
    </w:p>
    <w:p w14:paraId="519D2369" w14:textId="1665B9E2" w:rsidR="00EB44A9" w:rsidRDefault="00DD7798" w:rsidP="00DB2C88">
      <w:pPr>
        <w:spacing w:line="360" w:lineRule="auto"/>
        <w:jc w:val="both"/>
        <w:rPr>
          <w:rFonts w:eastAsia="Calibri"/>
          <w:szCs w:val="36"/>
          <w:lang w:val="es-MX"/>
        </w:rPr>
      </w:pPr>
      <w:r>
        <w:rPr>
          <w:rFonts w:eastAsia="Calibri"/>
          <w:szCs w:val="36"/>
          <w:lang w:val="es-MX"/>
        </w:rPr>
        <w:t>Este proceso, iniciado desde 2023,</w:t>
      </w:r>
      <w:r w:rsidR="00EB44A9">
        <w:rPr>
          <w:rFonts w:eastAsia="Calibri"/>
          <w:szCs w:val="36"/>
          <w:lang w:val="es-MX"/>
        </w:rPr>
        <w:t xml:space="preserve"> continuó d</w:t>
      </w:r>
      <w:r w:rsidR="00EF41B8" w:rsidRPr="00EF41B8">
        <w:rPr>
          <w:rFonts w:eastAsia="Calibri"/>
          <w:szCs w:val="36"/>
          <w:lang w:val="es-MX"/>
        </w:rPr>
        <w:t xml:space="preserve">urante el año 2024 </w:t>
      </w:r>
      <w:r w:rsidR="00EB44A9">
        <w:rPr>
          <w:rFonts w:eastAsia="Calibri"/>
          <w:szCs w:val="36"/>
          <w:lang w:val="es-MX"/>
        </w:rPr>
        <w:t xml:space="preserve">con la realización de </w:t>
      </w:r>
      <w:r w:rsidR="00EF41B8" w:rsidRPr="00EF41B8">
        <w:rPr>
          <w:rFonts w:eastAsia="Calibri"/>
          <w:szCs w:val="36"/>
          <w:lang w:val="es-MX"/>
        </w:rPr>
        <w:t xml:space="preserve">trabajos de conservación </w:t>
      </w:r>
      <w:r w:rsidR="00F228AC">
        <w:rPr>
          <w:rFonts w:eastAsia="Calibri"/>
          <w:szCs w:val="36"/>
          <w:lang w:val="es-MX"/>
        </w:rPr>
        <w:t>de</w:t>
      </w:r>
      <w:r w:rsidR="00EF41B8" w:rsidRPr="00EF41B8">
        <w:rPr>
          <w:rFonts w:eastAsia="Calibri"/>
          <w:szCs w:val="36"/>
          <w:lang w:val="es-MX"/>
        </w:rPr>
        <w:t xml:space="preserve"> 74 bienes muebles, principalmente mobiliario histórico, que incluyeron fumigación de la madera, limpieza superficial, estabilización estructural y encerado. </w:t>
      </w:r>
    </w:p>
    <w:p w14:paraId="3DB3FEB7" w14:textId="77777777" w:rsidR="00D81BAB" w:rsidRDefault="00936A54" w:rsidP="00DB2C88">
      <w:pPr>
        <w:spacing w:line="360" w:lineRule="auto"/>
        <w:jc w:val="both"/>
        <w:rPr>
          <w:rFonts w:eastAsia="Calibri"/>
          <w:szCs w:val="36"/>
          <w:lang w:val="es-MX"/>
        </w:rPr>
      </w:pPr>
      <w:r w:rsidRPr="00936A54">
        <w:rPr>
          <w:rFonts w:eastAsia="Calibri"/>
          <w:szCs w:val="36"/>
          <w:lang w:val="es-MX"/>
        </w:rPr>
        <w:t xml:space="preserve">En el año 2025, las labores de conservación continuaron con la intervención de 60 bienes patrimoniales elaborados en metal, madera y cerámica. Los trabajos se ejecutaron mayoritariamente in situ, en talleres temporales habilitados dentro del monumento, y de manera complementaria en un espacio especializado dispuesto en el Museo de las Casas Reales para piezas de pequeño y mediano formato. </w:t>
      </w:r>
    </w:p>
    <w:p w14:paraId="48254C69" w14:textId="77777777" w:rsidR="00D81BAB" w:rsidRDefault="00936A54" w:rsidP="00DB2C88">
      <w:pPr>
        <w:spacing w:line="360" w:lineRule="auto"/>
        <w:jc w:val="both"/>
        <w:rPr>
          <w:rFonts w:eastAsia="Calibri"/>
          <w:szCs w:val="36"/>
          <w:lang w:val="es-MX"/>
        </w:rPr>
      </w:pPr>
      <w:r w:rsidRPr="00936A54">
        <w:rPr>
          <w:rFonts w:eastAsia="Calibri"/>
          <w:szCs w:val="36"/>
          <w:lang w:val="es-MX"/>
        </w:rPr>
        <w:lastRenderedPageBreak/>
        <w:t xml:space="preserve">Asimismo, se concluyeron los trabajos de limpieza, fumigación, consolidación y protección de la policromía del artesonado del segundo nivel del Alcázar, contribuyendo a la preservación integral de este conjunto patrimonial. </w:t>
      </w:r>
    </w:p>
    <w:p w14:paraId="5F78F7E8" w14:textId="3D3F802E" w:rsidR="00C71BAE" w:rsidRDefault="00936A54" w:rsidP="00DB2C88">
      <w:pPr>
        <w:spacing w:line="360" w:lineRule="auto"/>
        <w:jc w:val="both"/>
        <w:rPr>
          <w:rFonts w:eastAsia="Calibri"/>
          <w:szCs w:val="36"/>
          <w:lang w:val="es-MX"/>
        </w:rPr>
      </w:pPr>
      <w:r w:rsidRPr="00936A54">
        <w:rPr>
          <w:rFonts w:eastAsia="Calibri"/>
          <w:szCs w:val="36"/>
          <w:lang w:val="es-MX"/>
        </w:rPr>
        <w:t>Adicionalmente, y como parte de las acciones de conservación especializada, se gestionó el envío de nueve tapices pertenecientes a la colección del museo a la Real Fábrica de Tapices de Madrid, donde se encuentran en proceso de restauración bajo la supervisión conjunta del Ministerio de Cultura y el Voluntariado de la Ciudad Colonial.</w:t>
      </w:r>
    </w:p>
    <w:p w14:paraId="53D4B0E3" w14:textId="77777777" w:rsidR="00060C4B" w:rsidRDefault="006D1F22" w:rsidP="00DB2C88">
      <w:pPr>
        <w:spacing w:line="360" w:lineRule="auto"/>
        <w:jc w:val="both"/>
        <w:rPr>
          <w:rFonts w:eastAsia="Calibri"/>
          <w:szCs w:val="36"/>
          <w:lang w:val="es-MX"/>
        </w:rPr>
      </w:pPr>
      <w:r w:rsidRPr="006D1F22">
        <w:rPr>
          <w:rFonts w:eastAsia="Calibri"/>
          <w:szCs w:val="36"/>
          <w:lang w:val="es-MX"/>
        </w:rPr>
        <w:t xml:space="preserve">En continuidad con los procesos de restauración y conservación de colecciones desarrollados en el Museo Alcázar de Colón y el Museo de las Casas Reales, y como parte del fortalecimiento de las capacidades técnicas institucionales, la Dirección General de Museos contó con el apoyo del programa </w:t>
      </w:r>
      <w:proofErr w:type="spellStart"/>
      <w:r w:rsidRPr="006D1F22">
        <w:rPr>
          <w:rFonts w:eastAsia="Calibri"/>
          <w:szCs w:val="36"/>
          <w:lang w:val="es-MX"/>
        </w:rPr>
        <w:t>Fulbright</w:t>
      </w:r>
      <w:proofErr w:type="spellEnd"/>
      <w:r w:rsidRPr="006D1F22">
        <w:rPr>
          <w:rFonts w:eastAsia="Calibri"/>
          <w:szCs w:val="36"/>
          <w:lang w:val="es-MX"/>
        </w:rPr>
        <w:t xml:space="preserve"> del Gobierno de los Estados Unidos, a través de la segunda visita de una especialista en conservación del Museo de Arte Americano. </w:t>
      </w:r>
    </w:p>
    <w:p w14:paraId="2F35DBCD" w14:textId="77777777" w:rsidR="00810DFD" w:rsidRDefault="006D1F22" w:rsidP="00DB2C88">
      <w:pPr>
        <w:spacing w:line="360" w:lineRule="auto"/>
        <w:jc w:val="both"/>
        <w:rPr>
          <w:rFonts w:eastAsia="Calibri"/>
          <w:szCs w:val="36"/>
          <w:lang w:val="es-MX"/>
        </w:rPr>
      </w:pPr>
      <w:r w:rsidRPr="006D1F22">
        <w:rPr>
          <w:rFonts w:eastAsia="Calibri"/>
          <w:szCs w:val="36"/>
          <w:lang w:val="es-MX"/>
        </w:rPr>
        <w:t xml:space="preserve">Esta colaboración permitió profundizar la evaluación del estado de conservación de diversos objetos pertenecientes a las colecciones de ambos museos, aportando criterios técnicos especializados para la planificación de futuras intervenciones. </w:t>
      </w:r>
    </w:p>
    <w:p w14:paraId="02E8B2E8" w14:textId="5334E4AE" w:rsidR="00C71BAE" w:rsidRDefault="006D1F22" w:rsidP="00DB2C88">
      <w:pPr>
        <w:spacing w:line="360" w:lineRule="auto"/>
        <w:jc w:val="both"/>
        <w:rPr>
          <w:rFonts w:eastAsia="Calibri"/>
          <w:szCs w:val="36"/>
          <w:lang w:val="es-MX"/>
        </w:rPr>
      </w:pPr>
      <w:r w:rsidRPr="006D1F22">
        <w:rPr>
          <w:rFonts w:eastAsia="Calibri"/>
          <w:szCs w:val="36"/>
          <w:lang w:val="es-MX"/>
        </w:rPr>
        <w:t>De manera complementaria, se realizó un taller introductorio sobre conservación de cerámicas, dirigido al personal técnico, fortaleciendo el intercambio de buenas prácticas internacionales y consolidando una gestión de colecciones basada en estándares especializados.</w:t>
      </w:r>
    </w:p>
    <w:p w14:paraId="0BC8BC5D" w14:textId="77777777" w:rsidR="00FA5F64" w:rsidRDefault="007F0D6A" w:rsidP="00DB2C88">
      <w:pPr>
        <w:spacing w:line="360" w:lineRule="auto"/>
        <w:jc w:val="both"/>
        <w:rPr>
          <w:rFonts w:eastAsia="Calibri"/>
          <w:szCs w:val="36"/>
          <w:lang w:val="es-MX"/>
        </w:rPr>
      </w:pPr>
      <w:r w:rsidRPr="007F0D6A">
        <w:rPr>
          <w:rFonts w:eastAsia="Calibri"/>
          <w:szCs w:val="36"/>
          <w:lang w:val="es-MX"/>
        </w:rPr>
        <w:t xml:space="preserve">En el Museo de Arte Moderno, durante el </w:t>
      </w:r>
      <w:r>
        <w:rPr>
          <w:rFonts w:eastAsia="Calibri"/>
          <w:szCs w:val="36"/>
          <w:lang w:val="es-MX"/>
        </w:rPr>
        <w:t xml:space="preserve">año </w:t>
      </w:r>
      <w:r w:rsidRPr="007F0D6A">
        <w:rPr>
          <w:rFonts w:eastAsia="Calibri"/>
          <w:szCs w:val="36"/>
          <w:lang w:val="es-MX"/>
        </w:rPr>
        <w:t xml:space="preserve">2025 se </w:t>
      </w:r>
      <w:r w:rsidR="00FA5F64">
        <w:rPr>
          <w:rFonts w:eastAsia="Calibri"/>
          <w:szCs w:val="36"/>
          <w:lang w:val="es-MX"/>
        </w:rPr>
        <w:t xml:space="preserve">continuó con el </w:t>
      </w:r>
      <w:r w:rsidRPr="007F0D6A">
        <w:rPr>
          <w:rFonts w:eastAsia="Calibri"/>
          <w:szCs w:val="36"/>
          <w:lang w:val="es-MX"/>
        </w:rPr>
        <w:t>desarroll</w:t>
      </w:r>
      <w:r w:rsidR="00FA5F64">
        <w:rPr>
          <w:rFonts w:eastAsia="Calibri"/>
          <w:szCs w:val="36"/>
          <w:lang w:val="es-MX"/>
        </w:rPr>
        <w:t>o de</w:t>
      </w:r>
      <w:r w:rsidRPr="007F0D6A">
        <w:rPr>
          <w:rFonts w:eastAsia="Calibri"/>
          <w:szCs w:val="36"/>
          <w:lang w:val="es-MX"/>
        </w:rPr>
        <w:t xml:space="preserve"> un proceso sostenido de restauración y conservación de bienes de la colección, orientado a garantizar la preservación del patrimonio artístico nacional bajo su custodia. </w:t>
      </w:r>
    </w:p>
    <w:p w14:paraId="55B5BCA9" w14:textId="77777777" w:rsidR="00D52943" w:rsidRDefault="007F0D6A" w:rsidP="00DB2C88">
      <w:pPr>
        <w:spacing w:line="360" w:lineRule="auto"/>
        <w:jc w:val="both"/>
        <w:rPr>
          <w:rFonts w:eastAsia="Calibri"/>
          <w:szCs w:val="36"/>
          <w:lang w:val="es-MX"/>
        </w:rPr>
      </w:pPr>
      <w:r w:rsidRPr="007F0D6A">
        <w:rPr>
          <w:rFonts w:eastAsia="Calibri"/>
          <w:szCs w:val="36"/>
          <w:lang w:val="es-MX"/>
        </w:rPr>
        <w:lastRenderedPageBreak/>
        <w:t>En el marco de estas acciones, se atendieron 115 bienes en condición aceptable durante el año 2025, alcanzando un 80 % de avance en el tratamiento de este conjunto, conforme a la planificación establecida.</w:t>
      </w:r>
    </w:p>
    <w:p w14:paraId="688EE864" w14:textId="38137A22" w:rsidR="00C71BAE" w:rsidRDefault="007F0D6A" w:rsidP="00DB2C88">
      <w:pPr>
        <w:spacing w:line="360" w:lineRule="auto"/>
        <w:jc w:val="both"/>
        <w:rPr>
          <w:rFonts w:eastAsia="Calibri"/>
          <w:szCs w:val="36"/>
          <w:lang w:val="es-MX"/>
        </w:rPr>
      </w:pPr>
      <w:r w:rsidRPr="007F0D6A">
        <w:rPr>
          <w:rFonts w:eastAsia="Calibri"/>
          <w:szCs w:val="36"/>
          <w:lang w:val="es-MX"/>
        </w:rPr>
        <w:t>Las intervenciones realizadas se enmarcaron en criterios de conservación preventiva y restauración especializada, contribuyendo a la estabilidad física de las obras y a su adecuada disponibilidad para fines expositivos, educativos y de investigación.</w:t>
      </w:r>
    </w:p>
    <w:p w14:paraId="12F812FE" w14:textId="527DA6BD" w:rsidR="00880017" w:rsidRPr="00880017" w:rsidRDefault="00880017" w:rsidP="00DB2C88">
      <w:pPr>
        <w:spacing w:line="360" w:lineRule="auto"/>
        <w:jc w:val="both"/>
        <w:rPr>
          <w:rFonts w:eastAsia="Calibri"/>
          <w:szCs w:val="36"/>
          <w:lang w:val="es-MX"/>
        </w:rPr>
      </w:pPr>
      <w:r w:rsidRPr="00880017">
        <w:rPr>
          <w:rFonts w:eastAsia="Calibri"/>
          <w:szCs w:val="36"/>
          <w:lang w:val="es-MX"/>
        </w:rPr>
        <w:t xml:space="preserve">Como resultado de estos esfuerzos, </w:t>
      </w:r>
      <w:r w:rsidR="00A962EB" w:rsidRPr="00A962EB">
        <w:rPr>
          <w:rFonts w:eastAsia="Calibri"/>
          <w:b/>
          <w:bCs/>
          <w:szCs w:val="36"/>
          <w:lang w:val="es-MX"/>
        </w:rPr>
        <w:t xml:space="preserve">más de setecientos </w:t>
      </w:r>
      <w:r w:rsidRPr="00880017">
        <w:rPr>
          <w:rFonts w:eastAsia="Calibri"/>
          <w:b/>
          <w:bCs/>
          <w:szCs w:val="36"/>
          <w:lang w:val="es-MX"/>
        </w:rPr>
        <w:t>bienes patrimoniales fueron evaluados y atendidos</w:t>
      </w:r>
      <w:r w:rsidRPr="00880017">
        <w:rPr>
          <w:rFonts w:eastAsia="Calibri"/>
          <w:szCs w:val="36"/>
          <w:lang w:val="es-MX"/>
        </w:rPr>
        <w:t>, fortaleciendo de manera significativa la calidad, integridad y sostenibilidad de las colecciones museísticas. Estas acciones contribuyen de forma directa a la salvaguarda del patrimonio cultural mueble y aseguran su adecuada transmisión a las generaciones presentes y futuras, en coherencia con la misión institucional de preservación y puesta en valor del patrimonio cultural de la nación.</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gridCol w:w="1134"/>
        <w:gridCol w:w="4536"/>
      </w:tblGrid>
      <w:tr w:rsidR="00D52943" w:rsidRPr="006834EE" w14:paraId="71193F5F" w14:textId="77777777" w:rsidTr="00D52943">
        <w:trPr>
          <w:trHeight w:val="325"/>
          <w:tblHeader/>
          <w:jc w:val="center"/>
        </w:trPr>
        <w:tc>
          <w:tcPr>
            <w:tcW w:w="2263" w:type="dxa"/>
            <w:shd w:val="clear" w:color="auto" w:fill="002060"/>
            <w:vAlign w:val="center"/>
            <w:hideMark/>
          </w:tcPr>
          <w:p w14:paraId="6B77067F" w14:textId="77777777" w:rsidR="00D52943" w:rsidRPr="00A7164D" w:rsidRDefault="00D52943" w:rsidP="00A7164D">
            <w:pPr>
              <w:spacing w:after="0" w:line="240" w:lineRule="auto"/>
              <w:jc w:val="center"/>
              <w:rPr>
                <w:rFonts w:eastAsia="Times New Roman"/>
                <w:b/>
                <w:bCs/>
                <w:color w:val="FFFFFF" w:themeColor="background1"/>
                <w:spacing w:val="0"/>
                <w:sz w:val="22"/>
                <w:szCs w:val="22"/>
                <w:lang w:val="es-MX" w:eastAsia="es-MX"/>
              </w:rPr>
            </w:pPr>
            <w:r w:rsidRPr="00A7164D">
              <w:rPr>
                <w:rFonts w:eastAsia="Times New Roman"/>
                <w:b/>
                <w:bCs/>
                <w:color w:val="FFFFFF" w:themeColor="background1"/>
                <w:spacing w:val="0"/>
                <w:sz w:val="22"/>
                <w:szCs w:val="22"/>
                <w:lang w:val="es-MX" w:eastAsia="es-MX"/>
              </w:rPr>
              <w:t>Museo</w:t>
            </w:r>
          </w:p>
        </w:tc>
        <w:tc>
          <w:tcPr>
            <w:tcW w:w="1134" w:type="dxa"/>
            <w:shd w:val="clear" w:color="auto" w:fill="002060"/>
            <w:vAlign w:val="center"/>
            <w:hideMark/>
          </w:tcPr>
          <w:p w14:paraId="50412EEC" w14:textId="726F56E8" w:rsidR="00D52943" w:rsidRPr="00A7164D" w:rsidRDefault="00D52943" w:rsidP="00A7164D">
            <w:pPr>
              <w:spacing w:after="0" w:line="240" w:lineRule="auto"/>
              <w:jc w:val="center"/>
              <w:rPr>
                <w:rFonts w:eastAsia="Times New Roman"/>
                <w:b/>
                <w:bCs/>
                <w:color w:val="FFFFFF" w:themeColor="background1"/>
                <w:spacing w:val="0"/>
                <w:sz w:val="22"/>
                <w:szCs w:val="22"/>
                <w:lang w:val="es-MX" w:eastAsia="es-MX"/>
              </w:rPr>
            </w:pPr>
            <w:r w:rsidRPr="00A7164D">
              <w:rPr>
                <w:rFonts w:eastAsia="Times New Roman"/>
                <w:b/>
                <w:bCs/>
                <w:color w:val="FFFFFF" w:themeColor="background1"/>
                <w:spacing w:val="0"/>
                <w:sz w:val="22"/>
                <w:szCs w:val="22"/>
                <w:lang w:val="es-MX" w:eastAsia="es-MX"/>
              </w:rPr>
              <w:t xml:space="preserve">Cantidad de bienes </w:t>
            </w:r>
          </w:p>
        </w:tc>
        <w:tc>
          <w:tcPr>
            <w:tcW w:w="4536" w:type="dxa"/>
            <w:shd w:val="clear" w:color="auto" w:fill="002060"/>
            <w:vAlign w:val="center"/>
            <w:hideMark/>
          </w:tcPr>
          <w:p w14:paraId="1A7D3C97" w14:textId="518A2580" w:rsidR="00D52943" w:rsidRPr="00A7164D" w:rsidRDefault="00D52943" w:rsidP="00A7164D">
            <w:pPr>
              <w:spacing w:after="0" w:line="240" w:lineRule="auto"/>
              <w:jc w:val="center"/>
              <w:rPr>
                <w:rFonts w:eastAsia="Times New Roman"/>
                <w:b/>
                <w:bCs/>
                <w:color w:val="FFFFFF" w:themeColor="background1"/>
                <w:spacing w:val="0"/>
                <w:sz w:val="22"/>
                <w:szCs w:val="22"/>
                <w:lang w:val="es-MX" w:eastAsia="es-MX"/>
              </w:rPr>
            </w:pPr>
            <w:r w:rsidRPr="00A7164D">
              <w:rPr>
                <w:rFonts w:eastAsia="Times New Roman"/>
                <w:b/>
                <w:bCs/>
                <w:color w:val="FFFFFF" w:themeColor="background1"/>
                <w:spacing w:val="0"/>
                <w:sz w:val="22"/>
                <w:szCs w:val="22"/>
                <w:lang w:val="es-MX" w:eastAsia="es-MX"/>
              </w:rPr>
              <w:t>Tipo de intervención</w:t>
            </w:r>
            <w:r>
              <w:rPr>
                <w:rFonts w:eastAsia="Times New Roman"/>
                <w:b/>
                <w:bCs/>
                <w:color w:val="FFFFFF" w:themeColor="background1"/>
                <w:spacing w:val="0"/>
                <w:sz w:val="22"/>
                <w:szCs w:val="22"/>
                <w:lang w:val="es-MX" w:eastAsia="es-MX"/>
              </w:rPr>
              <w:t>/</w:t>
            </w:r>
          </w:p>
          <w:p w14:paraId="16D47F02" w14:textId="25D5E9F6" w:rsidR="00D52943" w:rsidRPr="00A7164D" w:rsidRDefault="00D52943" w:rsidP="00A7164D">
            <w:pPr>
              <w:spacing w:after="0" w:line="240" w:lineRule="auto"/>
              <w:jc w:val="center"/>
              <w:rPr>
                <w:rFonts w:eastAsia="Times New Roman"/>
                <w:b/>
                <w:bCs/>
                <w:color w:val="FFFFFF" w:themeColor="background1"/>
                <w:spacing w:val="0"/>
                <w:sz w:val="22"/>
                <w:szCs w:val="22"/>
                <w:lang w:val="es-MX" w:eastAsia="es-MX"/>
              </w:rPr>
            </w:pPr>
            <w:r w:rsidRPr="00A7164D">
              <w:rPr>
                <w:rFonts w:eastAsia="Times New Roman"/>
                <w:b/>
                <w:bCs/>
                <w:color w:val="FFFFFF" w:themeColor="background1"/>
                <w:spacing w:val="0"/>
                <w:sz w:val="22"/>
                <w:szCs w:val="22"/>
                <w:lang w:val="es-MX" w:eastAsia="es-MX"/>
              </w:rPr>
              <w:t>Observaciones</w:t>
            </w:r>
          </w:p>
        </w:tc>
      </w:tr>
      <w:tr w:rsidR="001767EA" w:rsidRPr="00EE47D5" w14:paraId="73E7EB35" w14:textId="77777777" w:rsidTr="00D52943">
        <w:trPr>
          <w:trHeight w:val="626"/>
          <w:jc w:val="center"/>
        </w:trPr>
        <w:tc>
          <w:tcPr>
            <w:tcW w:w="2263" w:type="dxa"/>
            <w:vAlign w:val="center"/>
            <w:hideMark/>
          </w:tcPr>
          <w:p w14:paraId="70A122EF" w14:textId="636F0A1D" w:rsidR="001767EA" w:rsidRPr="00A7164D" w:rsidRDefault="001767EA" w:rsidP="00A7164D">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Museo de Arte Moderno</w:t>
            </w:r>
          </w:p>
        </w:tc>
        <w:tc>
          <w:tcPr>
            <w:tcW w:w="1134" w:type="dxa"/>
            <w:vAlign w:val="center"/>
            <w:hideMark/>
          </w:tcPr>
          <w:p w14:paraId="70C61BBD" w14:textId="77777777" w:rsidR="001767EA" w:rsidRPr="00A7164D" w:rsidRDefault="001767EA" w:rsidP="00A7164D">
            <w:pPr>
              <w:spacing w:after="0" w:line="240" w:lineRule="auto"/>
              <w:jc w:val="center"/>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115</w:t>
            </w:r>
          </w:p>
        </w:tc>
        <w:tc>
          <w:tcPr>
            <w:tcW w:w="4536" w:type="dxa"/>
            <w:vAlign w:val="center"/>
            <w:hideMark/>
          </w:tcPr>
          <w:p w14:paraId="0C4FFEA0" w14:textId="1713CD47" w:rsidR="001767EA" w:rsidRPr="00A7164D" w:rsidRDefault="001767EA" w:rsidP="00A7164D">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Conservación preventiva y restauración especializada</w:t>
            </w:r>
            <w:r w:rsidRPr="00842DE9">
              <w:rPr>
                <w:rFonts w:eastAsia="Times New Roman"/>
                <w:color w:val="595959" w:themeColor="text1" w:themeTint="A6"/>
                <w:spacing w:val="0"/>
                <w:sz w:val="22"/>
                <w:szCs w:val="22"/>
                <w:lang w:val="es-MX" w:eastAsia="es-MX"/>
              </w:rPr>
              <w:t xml:space="preserve">. </w:t>
            </w:r>
            <w:r w:rsidRPr="00A7164D">
              <w:rPr>
                <w:rFonts w:eastAsia="Times New Roman"/>
                <w:color w:val="595959" w:themeColor="text1" w:themeTint="A6"/>
                <w:spacing w:val="0"/>
                <w:sz w:val="22"/>
                <w:szCs w:val="22"/>
                <w:lang w:val="es-MX" w:eastAsia="es-MX"/>
              </w:rPr>
              <w:t>Bienes en condición aceptable atendidos; 80 % de avance del conjunto planificado</w:t>
            </w:r>
          </w:p>
        </w:tc>
      </w:tr>
      <w:tr w:rsidR="001767EA" w:rsidRPr="00EE47D5" w14:paraId="0884ED76" w14:textId="77777777" w:rsidTr="00D52943">
        <w:trPr>
          <w:trHeight w:val="462"/>
          <w:jc w:val="center"/>
        </w:trPr>
        <w:tc>
          <w:tcPr>
            <w:tcW w:w="2263" w:type="dxa"/>
            <w:vAlign w:val="center"/>
            <w:hideMark/>
          </w:tcPr>
          <w:p w14:paraId="23373B1B" w14:textId="35E3DC3E" w:rsidR="001767EA" w:rsidRPr="00A7164D" w:rsidRDefault="001767EA" w:rsidP="00A7164D">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 xml:space="preserve">Museo Nacional de Historia y Geografía </w:t>
            </w:r>
          </w:p>
        </w:tc>
        <w:tc>
          <w:tcPr>
            <w:tcW w:w="1134" w:type="dxa"/>
            <w:vAlign w:val="center"/>
            <w:hideMark/>
          </w:tcPr>
          <w:p w14:paraId="18E32F30" w14:textId="4F37DB26" w:rsidR="001767EA" w:rsidRPr="00A7164D" w:rsidRDefault="001767EA" w:rsidP="00A7164D">
            <w:pPr>
              <w:spacing w:after="0" w:line="240" w:lineRule="auto"/>
              <w:jc w:val="center"/>
              <w:rPr>
                <w:rFonts w:eastAsia="Times New Roman"/>
                <w:color w:val="595959" w:themeColor="text1" w:themeTint="A6"/>
                <w:spacing w:val="0"/>
                <w:sz w:val="22"/>
                <w:szCs w:val="22"/>
                <w:lang w:val="es-MX" w:eastAsia="es-MX"/>
              </w:rPr>
            </w:pPr>
            <w:r w:rsidRPr="00842DE9">
              <w:rPr>
                <w:rFonts w:eastAsia="Times New Roman"/>
                <w:color w:val="595959" w:themeColor="text1" w:themeTint="A6"/>
                <w:spacing w:val="0"/>
                <w:sz w:val="22"/>
                <w:szCs w:val="22"/>
                <w:lang w:val="es-MX" w:eastAsia="es-MX"/>
              </w:rPr>
              <w:t>91</w:t>
            </w:r>
          </w:p>
        </w:tc>
        <w:tc>
          <w:tcPr>
            <w:tcW w:w="4536" w:type="dxa"/>
            <w:vAlign w:val="center"/>
            <w:hideMark/>
          </w:tcPr>
          <w:p w14:paraId="3A23BFE1" w14:textId="5604D1A4" w:rsidR="001767EA" w:rsidRPr="00A7164D" w:rsidRDefault="001767EA" w:rsidP="00A7164D">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Restauración y conservación museográfica</w:t>
            </w:r>
            <w:r w:rsidRPr="00842DE9">
              <w:rPr>
                <w:rFonts w:eastAsia="Times New Roman"/>
                <w:color w:val="595959" w:themeColor="text1" w:themeTint="A6"/>
                <w:spacing w:val="0"/>
                <w:sz w:val="22"/>
                <w:szCs w:val="22"/>
                <w:lang w:val="es-MX" w:eastAsia="es-MX"/>
              </w:rPr>
              <w:t>-</w:t>
            </w:r>
            <w:r w:rsidRPr="00A7164D">
              <w:rPr>
                <w:rFonts w:eastAsia="Times New Roman"/>
                <w:color w:val="595959" w:themeColor="text1" w:themeTint="A6"/>
                <w:spacing w:val="0"/>
                <w:sz w:val="22"/>
                <w:szCs w:val="22"/>
                <w:lang w:val="es-MX" w:eastAsia="es-MX"/>
              </w:rPr>
              <w:t>Intervenciones vinculadas a la nueva museografía permanente</w:t>
            </w:r>
          </w:p>
        </w:tc>
      </w:tr>
      <w:tr w:rsidR="001767EA" w:rsidRPr="00EE47D5" w14:paraId="334111B1" w14:textId="77777777" w:rsidTr="00D52943">
        <w:trPr>
          <w:trHeight w:val="274"/>
          <w:jc w:val="center"/>
        </w:trPr>
        <w:tc>
          <w:tcPr>
            <w:tcW w:w="2263" w:type="dxa"/>
            <w:vAlign w:val="center"/>
            <w:hideMark/>
          </w:tcPr>
          <w:p w14:paraId="6E968FB9" w14:textId="77777777" w:rsidR="001767EA" w:rsidRPr="00A7164D" w:rsidRDefault="001767EA" w:rsidP="00A7164D">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Museo Alcázar de Colón</w:t>
            </w:r>
          </w:p>
        </w:tc>
        <w:tc>
          <w:tcPr>
            <w:tcW w:w="1134" w:type="dxa"/>
            <w:vAlign w:val="center"/>
            <w:hideMark/>
          </w:tcPr>
          <w:p w14:paraId="21148D77" w14:textId="13E23200" w:rsidR="001767EA" w:rsidRPr="00A7164D" w:rsidRDefault="001767EA" w:rsidP="00A7164D">
            <w:pPr>
              <w:spacing w:after="0" w:line="240" w:lineRule="auto"/>
              <w:jc w:val="center"/>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6</w:t>
            </w:r>
            <w:r w:rsidR="008317DE">
              <w:rPr>
                <w:rFonts w:eastAsia="Times New Roman"/>
                <w:color w:val="595959" w:themeColor="text1" w:themeTint="A6"/>
                <w:spacing w:val="0"/>
                <w:sz w:val="22"/>
                <w:szCs w:val="22"/>
                <w:lang w:val="es-MX" w:eastAsia="es-MX"/>
              </w:rPr>
              <w:t>7</w:t>
            </w:r>
          </w:p>
        </w:tc>
        <w:tc>
          <w:tcPr>
            <w:tcW w:w="4536" w:type="dxa"/>
            <w:vAlign w:val="center"/>
            <w:hideMark/>
          </w:tcPr>
          <w:p w14:paraId="5A1D5B36" w14:textId="50C3A4B5" w:rsidR="001767EA" w:rsidRPr="00A7164D" w:rsidRDefault="001767EA" w:rsidP="00A7164D">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Conservación preventiva y restauración especializada</w:t>
            </w:r>
            <w:r w:rsidR="00281891">
              <w:rPr>
                <w:rFonts w:eastAsia="Times New Roman"/>
                <w:color w:val="595959" w:themeColor="text1" w:themeTint="A6"/>
                <w:spacing w:val="0"/>
                <w:sz w:val="22"/>
                <w:szCs w:val="22"/>
                <w:lang w:val="es-MX" w:eastAsia="es-MX"/>
              </w:rPr>
              <w:t xml:space="preserve"> de b</w:t>
            </w:r>
            <w:r w:rsidRPr="00A7164D">
              <w:rPr>
                <w:rFonts w:eastAsia="Times New Roman"/>
                <w:color w:val="595959" w:themeColor="text1" w:themeTint="A6"/>
                <w:spacing w:val="0"/>
                <w:sz w:val="22"/>
                <w:szCs w:val="22"/>
                <w:lang w:val="es-MX" w:eastAsia="es-MX"/>
              </w:rPr>
              <w:t xml:space="preserve">ienes en metal, madera y cerámica conservados </w:t>
            </w:r>
            <w:r w:rsidRPr="00A7164D">
              <w:rPr>
                <w:rFonts w:eastAsia="Times New Roman"/>
                <w:i/>
                <w:iCs/>
                <w:color w:val="595959" w:themeColor="text1" w:themeTint="A6"/>
                <w:spacing w:val="0"/>
                <w:sz w:val="22"/>
                <w:szCs w:val="22"/>
                <w:lang w:val="es-MX" w:eastAsia="es-MX"/>
              </w:rPr>
              <w:t>in situ</w:t>
            </w:r>
            <w:r w:rsidRPr="00A7164D">
              <w:rPr>
                <w:rFonts w:eastAsia="Times New Roman"/>
                <w:color w:val="595959" w:themeColor="text1" w:themeTint="A6"/>
                <w:spacing w:val="0"/>
                <w:sz w:val="22"/>
                <w:szCs w:val="22"/>
                <w:lang w:val="es-MX" w:eastAsia="es-MX"/>
              </w:rPr>
              <w:t xml:space="preserve"> y en </w:t>
            </w:r>
            <w:r w:rsidR="00157796" w:rsidRPr="00842DE9">
              <w:rPr>
                <w:rFonts w:eastAsia="Times New Roman"/>
                <w:color w:val="595959" w:themeColor="text1" w:themeTint="A6"/>
                <w:spacing w:val="0"/>
                <w:sz w:val="22"/>
                <w:szCs w:val="22"/>
                <w:lang w:val="es-MX" w:eastAsia="es-MX"/>
              </w:rPr>
              <w:t>las instalaciones del Museo de las C</w:t>
            </w:r>
            <w:r w:rsidRPr="00A7164D">
              <w:rPr>
                <w:rFonts w:eastAsia="Times New Roman"/>
                <w:color w:val="595959" w:themeColor="text1" w:themeTint="A6"/>
                <w:spacing w:val="0"/>
                <w:sz w:val="22"/>
                <w:szCs w:val="22"/>
                <w:lang w:val="es-MX" w:eastAsia="es-MX"/>
              </w:rPr>
              <w:t>asas Reales</w:t>
            </w:r>
          </w:p>
        </w:tc>
      </w:tr>
      <w:tr w:rsidR="00281891" w:rsidRPr="00EE47D5" w14:paraId="1D4569E1" w14:textId="77777777" w:rsidTr="00D52943">
        <w:trPr>
          <w:trHeight w:val="157"/>
          <w:jc w:val="center"/>
        </w:trPr>
        <w:tc>
          <w:tcPr>
            <w:tcW w:w="2263" w:type="dxa"/>
            <w:vAlign w:val="center"/>
            <w:hideMark/>
          </w:tcPr>
          <w:p w14:paraId="62507C6E" w14:textId="68AEFE3B"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Museo de la Familia Dominicana del S</w:t>
            </w:r>
            <w:r w:rsidR="00D52943">
              <w:rPr>
                <w:rFonts w:eastAsia="Times New Roman"/>
                <w:color w:val="595959" w:themeColor="text1" w:themeTint="A6"/>
                <w:spacing w:val="0"/>
                <w:sz w:val="22"/>
                <w:szCs w:val="22"/>
                <w:lang w:val="es-MX" w:eastAsia="es-MX"/>
              </w:rPr>
              <w:t>.</w:t>
            </w:r>
            <w:r w:rsidRPr="00A7164D">
              <w:rPr>
                <w:rFonts w:eastAsia="Times New Roman"/>
                <w:color w:val="595959" w:themeColor="text1" w:themeTint="A6"/>
                <w:spacing w:val="0"/>
                <w:sz w:val="22"/>
                <w:szCs w:val="22"/>
                <w:lang w:val="es-MX" w:eastAsia="es-MX"/>
              </w:rPr>
              <w:t xml:space="preserve">XIX </w:t>
            </w:r>
          </w:p>
        </w:tc>
        <w:tc>
          <w:tcPr>
            <w:tcW w:w="1134" w:type="dxa"/>
            <w:vAlign w:val="center"/>
            <w:hideMark/>
          </w:tcPr>
          <w:p w14:paraId="44C26C97" w14:textId="77777777" w:rsidR="00281891" w:rsidRPr="00A7164D" w:rsidRDefault="00281891" w:rsidP="00281891">
            <w:pPr>
              <w:spacing w:after="0" w:line="240" w:lineRule="auto"/>
              <w:jc w:val="center"/>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137</w:t>
            </w:r>
          </w:p>
        </w:tc>
        <w:tc>
          <w:tcPr>
            <w:tcW w:w="4536" w:type="dxa"/>
            <w:vAlign w:val="center"/>
            <w:hideMark/>
          </w:tcPr>
          <w:p w14:paraId="55364016" w14:textId="741F8A0D"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Restauración especializada y acondicionamiento</w:t>
            </w:r>
            <w:r w:rsidRPr="00842DE9">
              <w:rPr>
                <w:rFonts w:eastAsia="Times New Roman"/>
                <w:color w:val="595959" w:themeColor="text1" w:themeTint="A6"/>
                <w:spacing w:val="0"/>
                <w:sz w:val="22"/>
                <w:szCs w:val="22"/>
                <w:lang w:val="es-MX" w:eastAsia="es-MX"/>
              </w:rPr>
              <w:t xml:space="preserve">. </w:t>
            </w:r>
            <w:r w:rsidRPr="00A7164D">
              <w:rPr>
                <w:rFonts w:eastAsia="Times New Roman"/>
                <w:color w:val="595959" w:themeColor="text1" w:themeTint="A6"/>
                <w:spacing w:val="0"/>
                <w:sz w:val="22"/>
                <w:szCs w:val="22"/>
                <w:lang w:val="es-MX" w:eastAsia="es-MX"/>
              </w:rPr>
              <w:t>Intervención financiada por donación; 90 % de avance</w:t>
            </w:r>
          </w:p>
        </w:tc>
      </w:tr>
      <w:tr w:rsidR="00281891" w:rsidRPr="00EE47D5" w14:paraId="7EC183E2" w14:textId="77777777" w:rsidTr="00D52943">
        <w:trPr>
          <w:trHeight w:val="558"/>
          <w:jc w:val="center"/>
        </w:trPr>
        <w:tc>
          <w:tcPr>
            <w:tcW w:w="2263" w:type="dxa"/>
            <w:vAlign w:val="center"/>
            <w:hideMark/>
          </w:tcPr>
          <w:p w14:paraId="0AFBA712" w14:textId="77777777"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Museo Monumento a los Héroes de la Restauración</w:t>
            </w:r>
          </w:p>
        </w:tc>
        <w:tc>
          <w:tcPr>
            <w:tcW w:w="1134" w:type="dxa"/>
            <w:vAlign w:val="center"/>
            <w:hideMark/>
          </w:tcPr>
          <w:p w14:paraId="73451835" w14:textId="1BB4B234" w:rsidR="00281891" w:rsidRPr="00A7164D" w:rsidRDefault="00281891" w:rsidP="00281891">
            <w:pPr>
              <w:spacing w:after="0" w:line="240" w:lineRule="auto"/>
              <w:jc w:val="center"/>
              <w:rPr>
                <w:rFonts w:eastAsia="Times New Roman"/>
                <w:color w:val="595959" w:themeColor="text1" w:themeTint="A6"/>
                <w:spacing w:val="0"/>
                <w:sz w:val="22"/>
                <w:szCs w:val="22"/>
                <w:lang w:val="es-MX" w:eastAsia="es-MX"/>
              </w:rPr>
            </w:pPr>
            <w:r w:rsidRPr="00842DE9">
              <w:rPr>
                <w:rFonts w:eastAsia="Times New Roman"/>
                <w:color w:val="595959" w:themeColor="text1" w:themeTint="A6"/>
                <w:spacing w:val="0"/>
                <w:sz w:val="22"/>
                <w:szCs w:val="22"/>
                <w:lang w:val="es-MX" w:eastAsia="es-MX"/>
              </w:rPr>
              <w:t>20</w:t>
            </w:r>
          </w:p>
        </w:tc>
        <w:tc>
          <w:tcPr>
            <w:tcW w:w="4536" w:type="dxa"/>
            <w:vAlign w:val="center"/>
            <w:hideMark/>
          </w:tcPr>
          <w:p w14:paraId="750292AA" w14:textId="4ABD28B9" w:rsidR="00281891" w:rsidRPr="00A7164D" w:rsidRDefault="00281891" w:rsidP="00281891">
            <w:pPr>
              <w:tabs>
                <w:tab w:val="left" w:pos="956"/>
              </w:tabs>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Conservación especializada y evaluación técnica</w:t>
            </w:r>
            <w:r w:rsidRPr="00842DE9">
              <w:rPr>
                <w:rFonts w:eastAsia="Times New Roman"/>
                <w:color w:val="595959" w:themeColor="text1" w:themeTint="A6"/>
                <w:spacing w:val="0"/>
                <w:sz w:val="22"/>
                <w:szCs w:val="22"/>
                <w:lang w:val="es-MX" w:eastAsia="es-MX"/>
              </w:rPr>
              <w:t xml:space="preserve"> </w:t>
            </w:r>
            <w:r w:rsidRPr="00A7164D">
              <w:rPr>
                <w:rFonts w:eastAsia="Times New Roman"/>
                <w:color w:val="595959" w:themeColor="text1" w:themeTint="A6"/>
                <w:spacing w:val="0"/>
                <w:sz w:val="22"/>
                <w:szCs w:val="22"/>
                <w:lang w:val="es-MX" w:eastAsia="es-MX"/>
              </w:rPr>
              <w:t>Intervenciones en murales</w:t>
            </w:r>
            <w:r w:rsidRPr="00842DE9">
              <w:rPr>
                <w:rFonts w:eastAsia="Times New Roman"/>
                <w:color w:val="595959" w:themeColor="text1" w:themeTint="A6"/>
                <w:spacing w:val="0"/>
                <w:sz w:val="22"/>
                <w:szCs w:val="22"/>
                <w:lang w:val="es-MX" w:eastAsia="es-MX"/>
              </w:rPr>
              <w:t xml:space="preserve"> Vela Zanetti</w:t>
            </w:r>
            <w:r w:rsidRPr="00A7164D">
              <w:rPr>
                <w:rFonts w:eastAsia="Times New Roman"/>
                <w:color w:val="595959" w:themeColor="text1" w:themeTint="A6"/>
                <w:spacing w:val="0"/>
                <w:sz w:val="22"/>
                <w:szCs w:val="22"/>
                <w:lang w:val="es-MX" w:eastAsia="es-MX"/>
              </w:rPr>
              <w:t>, capas pictóricas y bienes integrados</w:t>
            </w:r>
          </w:p>
        </w:tc>
      </w:tr>
      <w:tr w:rsidR="00281891" w:rsidRPr="00EE47D5" w14:paraId="42C783C8" w14:textId="77777777" w:rsidTr="00D52943">
        <w:trPr>
          <w:trHeight w:val="569"/>
          <w:jc w:val="center"/>
        </w:trPr>
        <w:tc>
          <w:tcPr>
            <w:tcW w:w="2263" w:type="dxa"/>
            <w:vAlign w:val="center"/>
            <w:hideMark/>
          </w:tcPr>
          <w:p w14:paraId="60ED6651" w14:textId="77777777"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Museo del Hombre Dominicano</w:t>
            </w:r>
          </w:p>
        </w:tc>
        <w:tc>
          <w:tcPr>
            <w:tcW w:w="1134" w:type="dxa"/>
            <w:vAlign w:val="center"/>
            <w:hideMark/>
          </w:tcPr>
          <w:p w14:paraId="0E7B1CF4" w14:textId="7C6EBAC7" w:rsidR="00281891" w:rsidRPr="00A7164D" w:rsidRDefault="00281891" w:rsidP="00281891">
            <w:pPr>
              <w:spacing w:after="0" w:line="240" w:lineRule="auto"/>
              <w:jc w:val="center"/>
              <w:rPr>
                <w:rFonts w:eastAsia="Times New Roman"/>
                <w:color w:val="595959" w:themeColor="text1" w:themeTint="A6"/>
                <w:spacing w:val="0"/>
                <w:sz w:val="22"/>
                <w:szCs w:val="22"/>
                <w:lang w:val="es-MX" w:eastAsia="es-MX"/>
              </w:rPr>
            </w:pPr>
            <w:r w:rsidRPr="00842DE9">
              <w:rPr>
                <w:rFonts w:eastAsia="Times New Roman"/>
                <w:color w:val="595959" w:themeColor="text1" w:themeTint="A6"/>
                <w:spacing w:val="0"/>
                <w:sz w:val="22"/>
                <w:szCs w:val="22"/>
                <w:lang w:val="es-MX" w:eastAsia="es-MX"/>
              </w:rPr>
              <w:t>50</w:t>
            </w:r>
          </w:p>
        </w:tc>
        <w:tc>
          <w:tcPr>
            <w:tcW w:w="4536" w:type="dxa"/>
            <w:vAlign w:val="center"/>
            <w:hideMark/>
          </w:tcPr>
          <w:p w14:paraId="70673775" w14:textId="73D134DC"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Restauración puntual y evaluación diagnóstica</w:t>
            </w:r>
            <w:r w:rsidRPr="00842DE9">
              <w:rPr>
                <w:rFonts w:eastAsia="Times New Roman"/>
                <w:color w:val="595959" w:themeColor="text1" w:themeTint="A6"/>
                <w:spacing w:val="0"/>
                <w:sz w:val="22"/>
                <w:szCs w:val="22"/>
                <w:lang w:val="es-MX" w:eastAsia="es-MX"/>
              </w:rPr>
              <w:t xml:space="preserve">- </w:t>
            </w:r>
            <w:r w:rsidRPr="00A7164D">
              <w:rPr>
                <w:rFonts w:eastAsia="Times New Roman"/>
                <w:color w:val="595959" w:themeColor="text1" w:themeTint="A6"/>
                <w:spacing w:val="0"/>
                <w:sz w:val="22"/>
                <w:szCs w:val="22"/>
                <w:lang w:val="es-MX" w:eastAsia="es-MX"/>
              </w:rPr>
              <w:t>Bienes preparados para nuevas salas expositivas</w:t>
            </w:r>
          </w:p>
        </w:tc>
      </w:tr>
      <w:tr w:rsidR="00281891" w:rsidRPr="00EE47D5" w14:paraId="53C2E642" w14:textId="77777777" w:rsidTr="00D52943">
        <w:trPr>
          <w:trHeight w:val="456"/>
          <w:jc w:val="center"/>
        </w:trPr>
        <w:tc>
          <w:tcPr>
            <w:tcW w:w="2263" w:type="dxa"/>
            <w:vAlign w:val="center"/>
            <w:hideMark/>
          </w:tcPr>
          <w:p w14:paraId="7B17684B" w14:textId="77777777"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lastRenderedPageBreak/>
              <w:t>Museo de las Casas Reales</w:t>
            </w:r>
          </w:p>
        </w:tc>
        <w:tc>
          <w:tcPr>
            <w:tcW w:w="1134" w:type="dxa"/>
            <w:vAlign w:val="center"/>
            <w:hideMark/>
          </w:tcPr>
          <w:p w14:paraId="4C0900E1" w14:textId="34F4DDB4" w:rsidR="00281891" w:rsidRPr="00A7164D" w:rsidRDefault="00281891" w:rsidP="00281891">
            <w:pPr>
              <w:spacing w:after="0" w:line="240" w:lineRule="auto"/>
              <w:jc w:val="center"/>
              <w:rPr>
                <w:rFonts w:eastAsia="Times New Roman"/>
                <w:color w:val="595959" w:themeColor="text1" w:themeTint="A6"/>
                <w:spacing w:val="0"/>
                <w:sz w:val="22"/>
                <w:szCs w:val="22"/>
                <w:lang w:val="es-MX" w:eastAsia="es-MX"/>
              </w:rPr>
            </w:pPr>
            <w:r w:rsidRPr="00842DE9">
              <w:rPr>
                <w:rFonts w:eastAsia="Times New Roman"/>
                <w:color w:val="595959" w:themeColor="text1" w:themeTint="A6"/>
                <w:spacing w:val="0"/>
                <w:sz w:val="22"/>
                <w:szCs w:val="22"/>
                <w:lang w:val="es-MX" w:eastAsia="es-MX"/>
              </w:rPr>
              <w:t>250</w:t>
            </w:r>
          </w:p>
        </w:tc>
        <w:tc>
          <w:tcPr>
            <w:tcW w:w="4536" w:type="dxa"/>
            <w:vAlign w:val="center"/>
            <w:hideMark/>
          </w:tcPr>
          <w:p w14:paraId="3AFB3F94" w14:textId="41CBE5DD"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Evaluación técnica especializada</w:t>
            </w:r>
            <w:r w:rsidRPr="00842DE9">
              <w:rPr>
                <w:rFonts w:eastAsia="Times New Roman"/>
                <w:color w:val="595959" w:themeColor="text1" w:themeTint="A6"/>
                <w:spacing w:val="0"/>
                <w:sz w:val="22"/>
                <w:szCs w:val="22"/>
                <w:lang w:val="es-MX" w:eastAsia="es-MX"/>
              </w:rPr>
              <w:t xml:space="preserve">. </w:t>
            </w:r>
            <w:r w:rsidRPr="00A7164D">
              <w:rPr>
                <w:rFonts w:eastAsia="Times New Roman"/>
                <w:color w:val="595959" w:themeColor="text1" w:themeTint="A6"/>
                <w:spacing w:val="0"/>
                <w:sz w:val="22"/>
                <w:szCs w:val="22"/>
                <w:lang w:val="es-MX" w:eastAsia="es-MX"/>
              </w:rPr>
              <w:t>Acompañamiento internacional y diagnósticos de conservación</w:t>
            </w:r>
          </w:p>
        </w:tc>
      </w:tr>
      <w:tr w:rsidR="00281891" w:rsidRPr="00EE47D5" w14:paraId="648E3BD1" w14:textId="77777777" w:rsidTr="00D52943">
        <w:trPr>
          <w:trHeight w:val="58"/>
          <w:jc w:val="center"/>
        </w:trPr>
        <w:tc>
          <w:tcPr>
            <w:tcW w:w="2263" w:type="dxa"/>
            <w:vAlign w:val="center"/>
            <w:hideMark/>
          </w:tcPr>
          <w:p w14:paraId="7708557A" w14:textId="77777777" w:rsidR="00281891" w:rsidRPr="00A7164D" w:rsidRDefault="00281891" w:rsidP="00281891">
            <w:pPr>
              <w:spacing w:after="0" w:line="240" w:lineRule="auto"/>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Museo Faro a Colón</w:t>
            </w:r>
          </w:p>
        </w:tc>
        <w:tc>
          <w:tcPr>
            <w:tcW w:w="1134" w:type="dxa"/>
            <w:vAlign w:val="center"/>
            <w:hideMark/>
          </w:tcPr>
          <w:p w14:paraId="15C431EB" w14:textId="77777777" w:rsidR="00281891" w:rsidRPr="00A7164D" w:rsidRDefault="00281891" w:rsidP="00281891">
            <w:pPr>
              <w:spacing w:after="0" w:line="240" w:lineRule="auto"/>
              <w:jc w:val="center"/>
              <w:rPr>
                <w:rFonts w:eastAsia="Times New Roman"/>
                <w:color w:val="595959" w:themeColor="text1" w:themeTint="A6"/>
                <w:spacing w:val="0"/>
                <w:sz w:val="22"/>
                <w:szCs w:val="22"/>
                <w:lang w:val="es-MX" w:eastAsia="es-MX"/>
              </w:rPr>
            </w:pPr>
            <w:r w:rsidRPr="00A7164D">
              <w:rPr>
                <w:rFonts w:eastAsia="Times New Roman"/>
                <w:color w:val="595959" w:themeColor="text1" w:themeTint="A6"/>
                <w:spacing w:val="0"/>
                <w:sz w:val="22"/>
                <w:szCs w:val="22"/>
                <w:lang w:val="es-MX" w:eastAsia="es-MX"/>
              </w:rPr>
              <w:t>N/D</w:t>
            </w:r>
          </w:p>
        </w:tc>
        <w:tc>
          <w:tcPr>
            <w:tcW w:w="4536" w:type="dxa"/>
            <w:vAlign w:val="center"/>
            <w:hideMark/>
          </w:tcPr>
          <w:p w14:paraId="174C48B6" w14:textId="470313B4" w:rsidR="00281891" w:rsidRPr="00BC217A" w:rsidRDefault="00281891" w:rsidP="00281891">
            <w:pPr>
              <w:spacing w:after="0" w:line="240" w:lineRule="auto"/>
              <w:rPr>
                <w:rFonts w:eastAsia="Times New Roman"/>
                <w:color w:val="595959" w:themeColor="text1" w:themeTint="A6"/>
                <w:spacing w:val="0"/>
                <w:sz w:val="22"/>
                <w:szCs w:val="22"/>
                <w:lang w:val="es-MX" w:eastAsia="es-MX"/>
              </w:rPr>
            </w:pPr>
            <w:r w:rsidRPr="00BC217A">
              <w:rPr>
                <w:rFonts w:eastAsia="Times New Roman"/>
                <w:color w:val="595959" w:themeColor="text1" w:themeTint="A6"/>
                <w:spacing w:val="0"/>
                <w:sz w:val="22"/>
                <w:szCs w:val="22"/>
                <w:lang w:val="es-MX" w:eastAsia="es-MX"/>
              </w:rPr>
              <w:t>Conservación preventiva y gestión de colecciones.  Acciones centradas en control y registro patrimonial</w:t>
            </w:r>
          </w:p>
        </w:tc>
      </w:tr>
    </w:tbl>
    <w:p w14:paraId="126AF7DF" w14:textId="3F755F73" w:rsidR="001318A1" w:rsidRPr="00D76715" w:rsidRDefault="00D76715" w:rsidP="00D76715">
      <w:pPr>
        <w:spacing w:after="0" w:line="240" w:lineRule="auto"/>
        <w:jc w:val="both"/>
        <w:rPr>
          <w:rFonts w:eastAsia="Calibri"/>
          <w:i/>
          <w:iCs/>
          <w:sz w:val="22"/>
          <w:szCs w:val="32"/>
          <w:lang w:val="es-MX"/>
        </w:rPr>
      </w:pPr>
      <w:r w:rsidRPr="00D76715">
        <w:rPr>
          <w:rFonts w:eastAsia="Calibri"/>
          <w:i/>
          <w:iCs/>
          <w:sz w:val="22"/>
          <w:szCs w:val="32"/>
          <w:lang w:val="es-MX"/>
        </w:rPr>
        <w:t xml:space="preserve">Cuadro </w:t>
      </w:r>
      <w:r w:rsidR="000144E6">
        <w:rPr>
          <w:rFonts w:eastAsia="Calibri"/>
          <w:i/>
          <w:iCs/>
          <w:sz w:val="22"/>
          <w:szCs w:val="32"/>
          <w:lang w:val="es-MX"/>
        </w:rPr>
        <w:t>5</w:t>
      </w:r>
      <w:r w:rsidRPr="00D76715">
        <w:rPr>
          <w:rFonts w:eastAsia="Calibri"/>
          <w:i/>
          <w:iCs/>
          <w:sz w:val="22"/>
          <w:szCs w:val="32"/>
          <w:lang w:val="es-MX"/>
        </w:rPr>
        <w:t xml:space="preserve">. </w:t>
      </w:r>
      <w:r w:rsidR="000144E6">
        <w:rPr>
          <w:rFonts w:eastAsia="Calibri"/>
          <w:i/>
          <w:iCs/>
          <w:sz w:val="22"/>
          <w:szCs w:val="32"/>
          <w:lang w:val="es-MX"/>
        </w:rPr>
        <w:t>Cantidad total de b</w:t>
      </w:r>
      <w:r w:rsidRPr="00D76715">
        <w:rPr>
          <w:rFonts w:eastAsia="Calibri"/>
          <w:i/>
          <w:iCs/>
          <w:sz w:val="22"/>
          <w:szCs w:val="32"/>
          <w:lang w:val="es-MX"/>
        </w:rPr>
        <w:t xml:space="preserve">ienes restaurados </w:t>
      </w:r>
      <w:r w:rsidR="000144E6">
        <w:rPr>
          <w:rFonts w:eastAsia="Calibri"/>
          <w:i/>
          <w:iCs/>
          <w:sz w:val="22"/>
          <w:szCs w:val="32"/>
          <w:lang w:val="es-MX"/>
        </w:rPr>
        <w:t>en museos DGM</w:t>
      </w:r>
      <w:r w:rsidRPr="00D76715">
        <w:rPr>
          <w:rFonts w:eastAsia="Calibri"/>
          <w:i/>
          <w:iCs/>
          <w:sz w:val="22"/>
          <w:szCs w:val="32"/>
          <w:lang w:val="es-MX"/>
        </w:rPr>
        <w:t>, año 2025</w:t>
      </w:r>
    </w:p>
    <w:p w14:paraId="706DF81E" w14:textId="77777777" w:rsidR="00D76715" w:rsidRDefault="00D76715" w:rsidP="005A40CF">
      <w:pPr>
        <w:spacing w:line="360" w:lineRule="auto"/>
        <w:jc w:val="both"/>
        <w:rPr>
          <w:rFonts w:eastAsia="Calibri"/>
          <w:szCs w:val="36"/>
          <w:lang w:val="es-MX"/>
        </w:rPr>
      </w:pPr>
    </w:p>
    <w:p w14:paraId="6966AE8D" w14:textId="77777777" w:rsidR="00337F2A" w:rsidRDefault="00325C3D" w:rsidP="00DB2C88">
      <w:pPr>
        <w:spacing w:line="360" w:lineRule="auto"/>
        <w:jc w:val="both"/>
        <w:rPr>
          <w:rFonts w:eastAsia="Calibri"/>
          <w:szCs w:val="36"/>
          <w:lang w:val="es-MX"/>
        </w:rPr>
      </w:pPr>
      <w:r w:rsidRPr="00325C3D">
        <w:rPr>
          <w:rFonts w:eastAsia="Calibri"/>
          <w:szCs w:val="36"/>
          <w:lang w:val="es-MX"/>
        </w:rPr>
        <w:t xml:space="preserve">Las acciones de restauración y conservación de las colecciones desarrolladas durante </w:t>
      </w:r>
      <w:r w:rsidR="00842DE9">
        <w:rPr>
          <w:rFonts w:eastAsia="Calibri"/>
          <w:szCs w:val="36"/>
          <w:lang w:val="es-MX"/>
        </w:rPr>
        <w:t>el año 2025</w:t>
      </w:r>
      <w:r w:rsidR="0079363B">
        <w:rPr>
          <w:rFonts w:eastAsia="Calibri"/>
          <w:szCs w:val="36"/>
          <w:lang w:val="es-MX"/>
        </w:rPr>
        <w:t xml:space="preserve">, fueron realizadas por personal </w:t>
      </w:r>
      <w:r w:rsidR="00BD3848">
        <w:rPr>
          <w:rFonts w:eastAsia="Calibri"/>
          <w:szCs w:val="36"/>
          <w:lang w:val="es-MX"/>
        </w:rPr>
        <w:t>interno de la DGM y expertos contratados con recursos</w:t>
      </w:r>
      <w:r w:rsidR="00280888">
        <w:rPr>
          <w:rFonts w:eastAsia="Calibri"/>
          <w:szCs w:val="36"/>
          <w:lang w:val="es-MX"/>
        </w:rPr>
        <w:t xml:space="preserve"> de otras entidades</w:t>
      </w:r>
      <w:r w:rsidR="00C327A5">
        <w:rPr>
          <w:rFonts w:eastAsia="Calibri"/>
          <w:szCs w:val="36"/>
          <w:lang w:val="es-MX"/>
        </w:rPr>
        <w:t xml:space="preserve"> públicas</w:t>
      </w:r>
      <w:r w:rsidR="007A12F1">
        <w:rPr>
          <w:rFonts w:eastAsia="Calibri"/>
          <w:szCs w:val="36"/>
          <w:lang w:val="es-MX"/>
        </w:rPr>
        <w:t>, como en el caso de los murales de Vela Zanetti</w:t>
      </w:r>
      <w:r w:rsidR="005748B9">
        <w:rPr>
          <w:rFonts w:eastAsia="Calibri"/>
          <w:szCs w:val="36"/>
          <w:lang w:val="es-MX"/>
        </w:rPr>
        <w:t xml:space="preserve">, restaurados por personal del </w:t>
      </w:r>
      <w:r w:rsidR="000D7579" w:rsidRPr="000D7579">
        <w:rPr>
          <w:rFonts w:eastAsia="Calibri"/>
          <w:szCs w:val="36"/>
          <w:lang w:val="es-MX"/>
        </w:rPr>
        <w:t>Centro Nacional de Conservación de Obras de Arte y Documentos (CENACOD)</w:t>
      </w:r>
      <w:r w:rsidR="00337F2A">
        <w:rPr>
          <w:rFonts w:eastAsia="Calibri"/>
          <w:szCs w:val="36"/>
          <w:lang w:val="es-MX"/>
        </w:rPr>
        <w:t>.</w:t>
      </w:r>
    </w:p>
    <w:p w14:paraId="67A1854A" w14:textId="4ECF6C7E" w:rsidR="00C327A5" w:rsidRDefault="00337F2A" w:rsidP="00DB2C88">
      <w:pPr>
        <w:spacing w:line="360" w:lineRule="auto"/>
        <w:jc w:val="both"/>
        <w:rPr>
          <w:rFonts w:eastAsia="Calibri"/>
          <w:szCs w:val="36"/>
          <w:lang w:val="es-MX"/>
        </w:rPr>
      </w:pPr>
      <w:r>
        <w:rPr>
          <w:rFonts w:eastAsia="Calibri"/>
          <w:szCs w:val="36"/>
          <w:lang w:val="es-MX"/>
        </w:rPr>
        <w:t xml:space="preserve">De igual modo, </w:t>
      </w:r>
      <w:r w:rsidR="000A08DB">
        <w:rPr>
          <w:rFonts w:eastAsia="Calibri"/>
          <w:szCs w:val="36"/>
          <w:lang w:val="es-MX"/>
        </w:rPr>
        <w:t>en el</w:t>
      </w:r>
      <w:r w:rsidR="007A12F1">
        <w:rPr>
          <w:rFonts w:eastAsia="Calibri"/>
          <w:szCs w:val="36"/>
          <w:lang w:val="es-MX"/>
        </w:rPr>
        <w:t xml:space="preserve"> caso de</w:t>
      </w:r>
      <w:r w:rsidR="005748B9">
        <w:rPr>
          <w:rFonts w:eastAsia="Calibri"/>
          <w:szCs w:val="36"/>
          <w:lang w:val="es-MX"/>
        </w:rPr>
        <w:t xml:space="preserve"> los mobiliarios </w:t>
      </w:r>
      <w:r w:rsidR="008317DE">
        <w:rPr>
          <w:rFonts w:eastAsia="Calibri"/>
          <w:szCs w:val="36"/>
          <w:lang w:val="es-MX"/>
        </w:rPr>
        <w:t xml:space="preserve">de madera </w:t>
      </w:r>
      <w:r w:rsidR="005748B9">
        <w:rPr>
          <w:rFonts w:eastAsia="Calibri"/>
          <w:szCs w:val="36"/>
          <w:lang w:val="es-MX"/>
        </w:rPr>
        <w:t xml:space="preserve">del Museo Alcázar de Colón, </w:t>
      </w:r>
      <w:r w:rsidR="00732263">
        <w:rPr>
          <w:rFonts w:eastAsia="Calibri"/>
          <w:szCs w:val="36"/>
          <w:lang w:val="es-MX"/>
        </w:rPr>
        <w:t>la</w:t>
      </w:r>
      <w:r w:rsidR="000D631F">
        <w:rPr>
          <w:rFonts w:eastAsia="Calibri"/>
          <w:szCs w:val="36"/>
          <w:lang w:val="es-MX"/>
        </w:rPr>
        <w:t xml:space="preserve"> inversión por valor </w:t>
      </w:r>
      <w:r w:rsidR="00F70CCA">
        <w:rPr>
          <w:rFonts w:eastAsia="Calibri"/>
          <w:szCs w:val="36"/>
          <w:lang w:val="es-MX"/>
        </w:rPr>
        <w:t xml:space="preserve">de </w:t>
      </w:r>
      <w:r w:rsidR="00B35ACF">
        <w:rPr>
          <w:rFonts w:eastAsia="Calibri"/>
          <w:szCs w:val="36"/>
          <w:lang w:val="es-MX"/>
        </w:rPr>
        <w:t xml:space="preserve">dos millones novecientos </w:t>
      </w:r>
      <w:r w:rsidR="00A679FE">
        <w:rPr>
          <w:rFonts w:eastAsia="Calibri"/>
          <w:szCs w:val="36"/>
          <w:lang w:val="es-MX"/>
        </w:rPr>
        <w:t>ochenta y dos mil ciento noventa y cuadro pesos co</w:t>
      </w:r>
      <w:r w:rsidR="007736E9">
        <w:rPr>
          <w:rFonts w:eastAsia="Calibri"/>
          <w:szCs w:val="36"/>
          <w:lang w:val="es-MX"/>
        </w:rPr>
        <w:t>n 4</w:t>
      </w:r>
      <w:r w:rsidR="00A679FE">
        <w:rPr>
          <w:rFonts w:eastAsia="Calibri"/>
          <w:szCs w:val="36"/>
          <w:lang w:val="es-MX"/>
        </w:rPr>
        <w:t>7</w:t>
      </w:r>
      <w:r w:rsidR="007736E9">
        <w:rPr>
          <w:rFonts w:eastAsia="Calibri"/>
          <w:szCs w:val="36"/>
          <w:lang w:val="es-MX"/>
        </w:rPr>
        <w:t>/100 (RD</w:t>
      </w:r>
      <w:r w:rsidR="007736E9" w:rsidRPr="007736E9">
        <w:rPr>
          <w:rFonts w:eastAsia="Calibri"/>
          <w:szCs w:val="36"/>
          <w:lang w:val="es-MX"/>
        </w:rPr>
        <w:t>$</w:t>
      </w:r>
      <w:r w:rsidR="00A679FE" w:rsidRPr="00A679FE">
        <w:rPr>
          <w:rFonts w:eastAsia="Calibri"/>
          <w:szCs w:val="36"/>
          <w:lang w:val="es-MX"/>
        </w:rPr>
        <w:t xml:space="preserve"> 2,982,194.47</w:t>
      </w:r>
      <w:r w:rsidR="007736E9">
        <w:rPr>
          <w:rFonts w:eastAsia="Calibri"/>
          <w:szCs w:val="36"/>
          <w:lang w:val="es-MX"/>
        </w:rPr>
        <w:t>) fue pagad</w:t>
      </w:r>
      <w:r w:rsidR="00732263">
        <w:rPr>
          <w:rFonts w:eastAsia="Calibri"/>
          <w:szCs w:val="36"/>
          <w:lang w:val="es-MX"/>
        </w:rPr>
        <w:t>a</w:t>
      </w:r>
      <w:r w:rsidR="007736E9">
        <w:rPr>
          <w:rFonts w:eastAsia="Calibri"/>
          <w:szCs w:val="36"/>
          <w:lang w:val="es-MX"/>
        </w:rPr>
        <w:t xml:space="preserve"> por el Comité Ejecutor de </w:t>
      </w:r>
      <w:r w:rsidR="00F54080">
        <w:rPr>
          <w:rFonts w:eastAsia="Calibri"/>
          <w:szCs w:val="36"/>
          <w:lang w:val="es-MX"/>
        </w:rPr>
        <w:t xml:space="preserve">Infraestructuras en Zonas Turísticas (CEIZTUR), como parte de los recursos destinados </w:t>
      </w:r>
      <w:r>
        <w:rPr>
          <w:rFonts w:eastAsia="Calibri"/>
          <w:szCs w:val="36"/>
          <w:lang w:val="es-MX"/>
        </w:rPr>
        <w:t>al plan de mejora de la Ciudad Colonial.</w:t>
      </w:r>
    </w:p>
    <w:p w14:paraId="0386D420" w14:textId="0B945E1E" w:rsidR="00325C3D" w:rsidRDefault="00F1450D" w:rsidP="00DB2C88">
      <w:pPr>
        <w:spacing w:line="360" w:lineRule="auto"/>
        <w:jc w:val="both"/>
        <w:rPr>
          <w:rFonts w:eastAsia="Calibri"/>
          <w:szCs w:val="36"/>
          <w:lang w:val="es-MX"/>
        </w:rPr>
      </w:pPr>
      <w:r>
        <w:rPr>
          <w:rFonts w:eastAsia="Calibri"/>
          <w:szCs w:val="36"/>
          <w:lang w:val="es-MX"/>
        </w:rPr>
        <w:t xml:space="preserve">Estas acciones </w:t>
      </w:r>
      <w:r w:rsidR="00325C3D" w:rsidRPr="00325C3D">
        <w:rPr>
          <w:rFonts w:eastAsia="Calibri"/>
          <w:szCs w:val="36"/>
          <w:lang w:val="es-MX"/>
        </w:rPr>
        <w:t xml:space="preserve">reflejan el </w:t>
      </w:r>
      <w:r w:rsidR="00325C3D" w:rsidRPr="00325C3D">
        <w:rPr>
          <w:rFonts w:eastAsia="Calibri"/>
          <w:b/>
          <w:bCs/>
          <w:szCs w:val="36"/>
          <w:lang w:val="es-MX"/>
        </w:rPr>
        <w:t>compromiso sostenido de la Dirección General de Museos con la protección, el cuidado responsable y la gestión transparente del patrimonio cultural mueble de la nación</w:t>
      </w:r>
      <w:r w:rsidR="00325C3D" w:rsidRPr="00325C3D">
        <w:rPr>
          <w:rFonts w:eastAsia="Calibri"/>
          <w:szCs w:val="36"/>
          <w:lang w:val="es-MX"/>
        </w:rPr>
        <w:t xml:space="preserve">. </w:t>
      </w:r>
    </w:p>
    <w:p w14:paraId="071EB1AB" w14:textId="77777777" w:rsidR="00325C3D" w:rsidRDefault="00325C3D" w:rsidP="00DB2C88">
      <w:pPr>
        <w:spacing w:line="360" w:lineRule="auto"/>
        <w:jc w:val="both"/>
        <w:rPr>
          <w:rFonts w:eastAsia="Calibri"/>
          <w:szCs w:val="36"/>
          <w:lang w:val="es-MX"/>
        </w:rPr>
      </w:pPr>
      <w:r w:rsidRPr="00325C3D">
        <w:rPr>
          <w:rFonts w:eastAsia="Calibri"/>
          <w:szCs w:val="36"/>
          <w:lang w:val="es-MX"/>
        </w:rPr>
        <w:t xml:space="preserve">La aplicación de criterios técnicos especializados, el seguimiento sistemático de los procesos, la articulación con expertos nacionales e internacionales y la rendición clara de los resultados alcanzados evidencian una gestión orientada a las </w:t>
      </w:r>
      <w:r w:rsidRPr="00325C3D">
        <w:rPr>
          <w:rFonts w:eastAsia="Calibri"/>
          <w:b/>
          <w:bCs/>
          <w:szCs w:val="36"/>
          <w:lang w:val="es-MX"/>
        </w:rPr>
        <w:t>buenas prácticas museológicas y a la ética profesional</w:t>
      </w:r>
      <w:r w:rsidRPr="00325C3D">
        <w:rPr>
          <w:rFonts w:eastAsia="Calibri"/>
          <w:szCs w:val="36"/>
          <w:lang w:val="es-MX"/>
        </w:rPr>
        <w:t xml:space="preserve">. </w:t>
      </w:r>
    </w:p>
    <w:p w14:paraId="0AA2C279" w14:textId="66849395" w:rsidR="001318A1" w:rsidRDefault="00325C3D" w:rsidP="00DB2C88">
      <w:pPr>
        <w:spacing w:line="360" w:lineRule="auto"/>
        <w:jc w:val="both"/>
        <w:rPr>
          <w:rFonts w:eastAsia="Calibri"/>
          <w:szCs w:val="36"/>
          <w:lang w:val="es-MX"/>
        </w:rPr>
      </w:pPr>
      <w:r w:rsidRPr="00325C3D">
        <w:rPr>
          <w:rFonts w:eastAsia="Calibri"/>
          <w:szCs w:val="36"/>
          <w:lang w:val="es-MX"/>
        </w:rPr>
        <w:t xml:space="preserve">Estos esfuerzos no solo garantizan la preservación material de los bienes culturales, sino que también fortalecen la confianza </w:t>
      </w:r>
      <w:r w:rsidRPr="00325C3D">
        <w:rPr>
          <w:rFonts w:eastAsia="Calibri"/>
          <w:szCs w:val="36"/>
          <w:lang w:val="es-MX"/>
        </w:rPr>
        <w:lastRenderedPageBreak/>
        <w:t>ciudadana, promueven el acceso informado al patrimonio y aseguran que las colecciones bajo custodia pública continúen siendo transmitidas, interpretadas y valoradas por las generaciones presentes y futuras.</w:t>
      </w:r>
    </w:p>
    <w:p w14:paraId="70EECAF0" w14:textId="7064F246" w:rsidR="00367CA1" w:rsidRPr="00367CA1" w:rsidRDefault="00F064DF" w:rsidP="00DB2C88">
      <w:pPr>
        <w:spacing w:line="360" w:lineRule="auto"/>
        <w:jc w:val="center"/>
        <w:rPr>
          <w:rFonts w:eastAsia="Calibri"/>
          <w:b/>
          <w:bCs/>
          <w:szCs w:val="36"/>
          <w:lang w:val="es-DO"/>
        </w:rPr>
      </w:pPr>
      <w:r>
        <w:rPr>
          <w:rFonts w:eastAsia="Calibri"/>
          <w:b/>
          <w:bCs/>
          <w:szCs w:val="36"/>
          <w:lang w:val="es-DO"/>
        </w:rPr>
        <w:t>Manejo de colecciones: e</w:t>
      </w:r>
      <w:r w:rsidR="00367CA1" w:rsidRPr="00367CA1">
        <w:rPr>
          <w:rFonts w:eastAsia="Calibri"/>
          <w:b/>
          <w:bCs/>
          <w:szCs w:val="36"/>
          <w:lang w:val="es-DO"/>
        </w:rPr>
        <w:t>mbalaje y almacenamiento de piezas de la</w:t>
      </w:r>
      <w:r w:rsidR="00367CA1">
        <w:rPr>
          <w:rFonts w:eastAsia="Calibri"/>
          <w:b/>
          <w:bCs/>
          <w:szCs w:val="36"/>
          <w:lang w:val="es-DO"/>
        </w:rPr>
        <w:t>s</w:t>
      </w:r>
      <w:r w:rsidR="00367CA1" w:rsidRPr="00367CA1">
        <w:rPr>
          <w:rFonts w:eastAsia="Calibri"/>
          <w:b/>
          <w:bCs/>
          <w:szCs w:val="36"/>
          <w:lang w:val="es-DO"/>
        </w:rPr>
        <w:t xml:space="preserve"> colecci</w:t>
      </w:r>
      <w:r w:rsidR="00367CA1">
        <w:rPr>
          <w:rFonts w:eastAsia="Calibri"/>
          <w:b/>
          <w:bCs/>
          <w:szCs w:val="36"/>
          <w:lang w:val="es-DO"/>
        </w:rPr>
        <w:t>ones</w:t>
      </w:r>
    </w:p>
    <w:p w14:paraId="1EE910D3" w14:textId="77777777" w:rsidR="006215A0" w:rsidRDefault="00367CA1" w:rsidP="00DB2C88">
      <w:pPr>
        <w:spacing w:line="360" w:lineRule="auto"/>
        <w:jc w:val="both"/>
        <w:rPr>
          <w:rFonts w:eastAsia="Calibri"/>
          <w:szCs w:val="36"/>
          <w:lang w:val="es-DO"/>
        </w:rPr>
      </w:pPr>
      <w:r w:rsidRPr="00367CA1">
        <w:rPr>
          <w:rFonts w:eastAsia="Calibri"/>
          <w:szCs w:val="36"/>
          <w:lang w:val="es-DO"/>
        </w:rPr>
        <w:t>Durante el período evaluado, la Dirección General de Museos ejecutó procesos especializados de embalaje y almacenamiento de bienes culturales en museos que se encuentran en intervención</w:t>
      </w:r>
      <w:r w:rsidR="00FB2946">
        <w:rPr>
          <w:rFonts w:eastAsia="Calibri"/>
          <w:szCs w:val="36"/>
          <w:lang w:val="es-DO"/>
        </w:rPr>
        <w:t>.</w:t>
      </w:r>
    </w:p>
    <w:p w14:paraId="145E6ABA" w14:textId="46921A74" w:rsidR="00CD31A0" w:rsidRPr="00CD31A0" w:rsidRDefault="006215A0" w:rsidP="00DB2C88">
      <w:pPr>
        <w:spacing w:line="360" w:lineRule="auto"/>
        <w:jc w:val="both"/>
        <w:rPr>
          <w:rFonts w:eastAsia="Calibri"/>
          <w:szCs w:val="36"/>
          <w:lang w:val="es-DO"/>
        </w:rPr>
      </w:pPr>
      <w:r>
        <w:rPr>
          <w:rFonts w:eastAsia="Calibri"/>
          <w:szCs w:val="36"/>
          <w:lang w:val="es-DO"/>
        </w:rPr>
        <w:t>En caso del</w:t>
      </w:r>
      <w:r w:rsidR="00CD31A0" w:rsidRPr="00CD31A0">
        <w:rPr>
          <w:rFonts w:eastAsia="Calibri"/>
          <w:szCs w:val="36"/>
          <w:lang w:val="es-DO"/>
        </w:rPr>
        <w:t xml:space="preserve"> Museo Alcázar de Colón</w:t>
      </w:r>
      <w:r>
        <w:rPr>
          <w:rFonts w:eastAsia="Calibri"/>
          <w:szCs w:val="36"/>
          <w:lang w:val="es-DO"/>
        </w:rPr>
        <w:t>, se</w:t>
      </w:r>
      <w:r w:rsidR="00CD31A0" w:rsidRPr="00CD31A0">
        <w:rPr>
          <w:rFonts w:eastAsia="Calibri"/>
          <w:szCs w:val="36"/>
          <w:lang w:val="es-DO"/>
        </w:rPr>
        <w:t xml:space="preserve"> desarrolló un proceso sistemático y especializado de embalaje y almacenamiento de las piezas de su colección, en el marco de las intervenciones de restauración arquitectónica y adecuación museográfica del inmueble. Estas acciones se ejecutaron bajo estrictos protocolos de conservación preventiva, que incluyeron la documentación individual de cada objeto, la evaluación de su tipología, vulnerabilidad y condiciones de manejo, así como el uso de materiales especializados de protección, garantizando su seguridad durante la manipulación y el traslado.</w:t>
      </w:r>
    </w:p>
    <w:p w14:paraId="4751BB69" w14:textId="77777777" w:rsidR="00CD31A0" w:rsidRPr="00CD31A0" w:rsidRDefault="00CD31A0" w:rsidP="00DB2C88">
      <w:pPr>
        <w:spacing w:line="360" w:lineRule="auto"/>
        <w:jc w:val="both"/>
        <w:rPr>
          <w:rFonts w:eastAsia="Calibri"/>
          <w:szCs w:val="36"/>
          <w:lang w:val="es-DO"/>
        </w:rPr>
      </w:pPr>
      <w:r w:rsidRPr="00CD31A0">
        <w:rPr>
          <w:rFonts w:eastAsia="Calibri"/>
          <w:szCs w:val="36"/>
          <w:lang w:val="es-DO"/>
        </w:rPr>
        <w:t>El proceso abarcó piezas ubicadas tanto en el primer como en el segundo nivel del museo, permitiendo despejar progresivamente los espacios requeridos para la continuidad de las obras. Entre las intervenciones más relevantes se destaca el embalaje de bienes de gran formato y alto valor histórico, como la cama de la Sala de la Habitación de María de Toledo, cuya manipulación requirió personal especializado y técnicas específicas de protección.</w:t>
      </w:r>
    </w:p>
    <w:p w14:paraId="159EF7EB" w14:textId="0DD0CA84" w:rsidR="00367CA1" w:rsidRDefault="00CD31A0" w:rsidP="00DB2C88">
      <w:pPr>
        <w:spacing w:line="360" w:lineRule="auto"/>
        <w:jc w:val="both"/>
        <w:rPr>
          <w:rFonts w:eastAsia="Calibri"/>
          <w:szCs w:val="36"/>
          <w:lang w:val="es-DO"/>
        </w:rPr>
      </w:pPr>
      <w:r w:rsidRPr="00CD31A0">
        <w:rPr>
          <w:rFonts w:eastAsia="Calibri"/>
          <w:szCs w:val="36"/>
          <w:lang w:val="es-DO"/>
        </w:rPr>
        <w:t xml:space="preserve">Como parte de esta estrategia, se incorporó un furgón especializado que funcionó como unidad de almacenamiento provisional, diseñado para ofrecer un ambiente estable y protegido para las piezas </w:t>
      </w:r>
      <w:r w:rsidRPr="00CD31A0">
        <w:rPr>
          <w:rFonts w:eastAsia="Calibri"/>
          <w:szCs w:val="36"/>
          <w:lang w:val="es-DO"/>
        </w:rPr>
        <w:lastRenderedPageBreak/>
        <w:t>embaladas. Esta solución amplió significativamente la capacidad de resguardo temporal de la colección, redujo riesgos durante la ejecución de las obras y facilitó una planificación más segura y ordenada de las fases de restauración arquitectónica.</w:t>
      </w:r>
    </w:p>
    <w:p w14:paraId="176B0153" w14:textId="77777777" w:rsidR="00456A14" w:rsidRDefault="00885F97" w:rsidP="00DB2C88">
      <w:pPr>
        <w:spacing w:line="360" w:lineRule="auto"/>
        <w:jc w:val="both"/>
        <w:rPr>
          <w:lang w:val="es-MX"/>
        </w:rPr>
      </w:pPr>
      <w:r w:rsidRPr="00885F97">
        <w:rPr>
          <w:lang w:val="es-MX"/>
        </w:rPr>
        <w:t xml:space="preserve">En el </w:t>
      </w:r>
      <w:r w:rsidRPr="00885F97">
        <w:rPr>
          <w:rStyle w:val="Textoennegrita"/>
          <w:b w:val="0"/>
          <w:bCs w:val="0"/>
          <w:lang w:val="es-MX"/>
        </w:rPr>
        <w:t>Museo de las Casas Reales</w:t>
      </w:r>
      <w:r w:rsidRPr="00885F97">
        <w:rPr>
          <w:lang w:val="es-MX"/>
        </w:rPr>
        <w:t xml:space="preserve">, se realizaron los </w:t>
      </w:r>
      <w:r w:rsidRPr="00885F97">
        <w:rPr>
          <w:rStyle w:val="Textoennegrita"/>
          <w:b w:val="0"/>
          <w:bCs w:val="0"/>
          <w:lang w:val="es-MX"/>
        </w:rPr>
        <w:t>preparativos técnicos y logísticos necesarios para el inicio del proceso de embalaje de los bienes de la colección</w:t>
      </w:r>
      <w:r w:rsidRPr="00885F97">
        <w:rPr>
          <w:lang w:val="es-MX"/>
        </w:rPr>
        <w:t xml:space="preserve">, de cara a las futuras intervenciones de infraestructura y a la renovación museográfica. </w:t>
      </w:r>
    </w:p>
    <w:p w14:paraId="52363B45" w14:textId="77777777" w:rsidR="00456A14" w:rsidRDefault="00885F97" w:rsidP="00DB2C88">
      <w:pPr>
        <w:spacing w:line="360" w:lineRule="auto"/>
        <w:jc w:val="both"/>
        <w:rPr>
          <w:lang w:val="es-MX"/>
        </w:rPr>
      </w:pPr>
      <w:r w:rsidRPr="00885F97">
        <w:rPr>
          <w:lang w:val="es-MX"/>
        </w:rPr>
        <w:t xml:space="preserve">Estas acciones incluyeron la </w:t>
      </w:r>
      <w:r w:rsidRPr="00885F97">
        <w:rPr>
          <w:rStyle w:val="Textoennegrita"/>
          <w:b w:val="0"/>
          <w:bCs w:val="0"/>
          <w:lang w:val="es-MX"/>
        </w:rPr>
        <w:t>identificación y evaluación de distintos espacios destinados al resguardo temporal de las piezas</w:t>
      </w:r>
      <w:r w:rsidRPr="00885F97">
        <w:rPr>
          <w:lang w:val="es-MX"/>
        </w:rPr>
        <w:t xml:space="preserve">, con el propósito de garantizar condiciones adecuadas de seguridad, estabilidad ambiental y control durante las etapas de intervención. </w:t>
      </w:r>
    </w:p>
    <w:p w14:paraId="3B369C91" w14:textId="7F1E8DE3" w:rsidR="00367CA1" w:rsidRDefault="00885F97" w:rsidP="00DB2C88">
      <w:pPr>
        <w:spacing w:line="360" w:lineRule="auto"/>
        <w:jc w:val="both"/>
        <w:rPr>
          <w:lang w:val="es-MX"/>
        </w:rPr>
      </w:pPr>
      <w:r w:rsidRPr="00885F97">
        <w:rPr>
          <w:lang w:val="es-MX"/>
        </w:rPr>
        <w:t>Este trabajo preparatorio constituye un paso fundamental para asegurar la integridad física de los bienes culturales, minimizar riesgos asociados a la manipulación y facilitar la ejecución ordenada de los procesos de conservación, restauración y adecuación museográfica, en coherencia con los estándares técnicos y las buenas prácticas de gestión del patrimonio cultural mueble.</w:t>
      </w:r>
    </w:p>
    <w:p w14:paraId="686F0A89" w14:textId="16F5548B" w:rsidR="00EF4228" w:rsidRDefault="00EF4228" w:rsidP="00DB2C88">
      <w:pPr>
        <w:spacing w:line="360" w:lineRule="auto"/>
        <w:jc w:val="center"/>
        <w:rPr>
          <w:rFonts w:eastAsia="Calibri"/>
          <w:b/>
          <w:bCs/>
          <w:szCs w:val="36"/>
          <w:lang w:val="es-DO"/>
        </w:rPr>
      </w:pPr>
      <w:r w:rsidRPr="001318A1">
        <w:rPr>
          <w:rFonts w:eastAsia="Calibri"/>
          <w:b/>
          <w:bCs/>
          <w:szCs w:val="36"/>
          <w:lang w:val="es-DO"/>
        </w:rPr>
        <w:t>Mejora en las condiciones ambientales y de seguridad de las áreas de resguardo y exhibición</w:t>
      </w:r>
    </w:p>
    <w:p w14:paraId="06F42435" w14:textId="6A78B195" w:rsidR="00EF4228" w:rsidRDefault="00EF4228" w:rsidP="00DB2C88">
      <w:pPr>
        <w:spacing w:line="360" w:lineRule="auto"/>
        <w:jc w:val="both"/>
        <w:rPr>
          <w:rFonts w:eastAsia="Calibri"/>
          <w:szCs w:val="36"/>
          <w:lang w:val="es-DO"/>
        </w:rPr>
      </w:pPr>
      <w:r w:rsidRPr="00CE308F">
        <w:rPr>
          <w:rFonts w:eastAsia="Calibri"/>
          <w:szCs w:val="36"/>
          <w:lang w:val="es-DO"/>
        </w:rPr>
        <w:t xml:space="preserve">Durante el </w:t>
      </w:r>
      <w:r w:rsidR="005A40CF">
        <w:rPr>
          <w:rFonts w:eastAsia="Calibri"/>
          <w:szCs w:val="36"/>
          <w:lang w:val="es-DO"/>
        </w:rPr>
        <w:t>año 2025</w:t>
      </w:r>
      <w:r w:rsidRPr="00CE308F">
        <w:rPr>
          <w:rFonts w:eastAsia="Calibri"/>
          <w:szCs w:val="36"/>
          <w:lang w:val="es-DO"/>
        </w:rPr>
        <w:t xml:space="preserve">, la Dirección General de Museos consolidó un enfoque preventivo en la mejora de las condiciones ambientales y de seguridad de las áreas de resguardo y exhibición, entendiendo estos espacios como componentes críticos para la conservación a largo plazo del patrimonio cultural mueble. </w:t>
      </w:r>
    </w:p>
    <w:p w14:paraId="5F1DB116" w14:textId="77777777" w:rsidR="00EF4228" w:rsidRPr="00CE308F" w:rsidRDefault="00EF4228" w:rsidP="00DB2C88">
      <w:pPr>
        <w:spacing w:line="360" w:lineRule="auto"/>
        <w:jc w:val="both"/>
        <w:rPr>
          <w:rFonts w:eastAsia="Calibri"/>
          <w:szCs w:val="36"/>
          <w:lang w:val="es-DO"/>
        </w:rPr>
      </w:pPr>
      <w:r w:rsidRPr="00CE308F">
        <w:rPr>
          <w:rFonts w:eastAsia="Calibri"/>
          <w:szCs w:val="36"/>
          <w:lang w:val="es-DO"/>
        </w:rPr>
        <w:t xml:space="preserve">Las acciones desarrolladas se orientaron a reducir factores de riesgo, controlar agentes de deterioro y fortalecer la gestión técnica de los </w:t>
      </w:r>
      <w:r w:rsidRPr="00CE308F">
        <w:rPr>
          <w:rFonts w:eastAsia="Calibri"/>
          <w:szCs w:val="36"/>
          <w:lang w:val="es-DO"/>
        </w:rPr>
        <w:lastRenderedPageBreak/>
        <w:t>depósitos y salas de exhibición, en coherencia con los estándares museológicos y las buenas prácticas internacionales.</w:t>
      </w:r>
    </w:p>
    <w:p w14:paraId="000375DB" w14:textId="2807F9C5" w:rsidR="00EF4228" w:rsidRDefault="00EF4228" w:rsidP="00DB2C88">
      <w:pPr>
        <w:spacing w:line="360" w:lineRule="auto"/>
        <w:jc w:val="both"/>
        <w:rPr>
          <w:rFonts w:eastAsia="Calibri"/>
          <w:szCs w:val="36"/>
          <w:lang w:val="es-DO"/>
        </w:rPr>
      </w:pPr>
      <w:r w:rsidRPr="00CE308F">
        <w:rPr>
          <w:rFonts w:eastAsia="Calibri"/>
          <w:szCs w:val="36"/>
          <w:lang w:val="es-DO"/>
        </w:rPr>
        <w:t xml:space="preserve">En este marco, se implementó un programa de fumigación continua con periodicidad mensual en los museos administrados por la DGM, </w:t>
      </w:r>
      <w:r w:rsidR="00963618">
        <w:rPr>
          <w:rFonts w:eastAsia="Calibri"/>
          <w:szCs w:val="36"/>
          <w:lang w:val="es-DO"/>
        </w:rPr>
        <w:t xml:space="preserve">por un monto total de </w:t>
      </w:r>
      <w:r w:rsidR="00993674">
        <w:rPr>
          <w:rFonts w:eastAsia="Calibri"/>
          <w:szCs w:val="36"/>
          <w:lang w:val="es-DO"/>
        </w:rPr>
        <w:t xml:space="preserve">un millón trescientos siete mil </w:t>
      </w:r>
      <w:r w:rsidR="0019602C">
        <w:rPr>
          <w:rFonts w:eastAsia="Calibri"/>
          <w:szCs w:val="36"/>
          <w:lang w:val="es-DO"/>
        </w:rPr>
        <w:t>seiscientos setenta y seis pesos (RD$</w:t>
      </w:r>
      <w:r w:rsidR="00993674" w:rsidRPr="00993674">
        <w:rPr>
          <w:rFonts w:eastAsia="Calibri"/>
          <w:szCs w:val="36"/>
          <w:lang w:val="es-DO"/>
        </w:rPr>
        <w:t>1,307,676.00</w:t>
      </w:r>
      <w:r w:rsidR="0019602C">
        <w:rPr>
          <w:rFonts w:eastAsia="Calibri"/>
          <w:szCs w:val="36"/>
          <w:lang w:val="es-DO"/>
        </w:rPr>
        <w:t>),</w:t>
      </w:r>
      <w:r w:rsidR="00993674" w:rsidRPr="00993674">
        <w:rPr>
          <w:rFonts w:eastAsia="Calibri"/>
          <w:szCs w:val="36"/>
          <w:lang w:val="es-DO"/>
        </w:rPr>
        <w:t xml:space="preserve"> </w:t>
      </w:r>
      <w:r w:rsidRPr="00CE308F">
        <w:rPr>
          <w:rFonts w:eastAsia="Calibri"/>
          <w:szCs w:val="36"/>
          <w:lang w:val="es-DO"/>
        </w:rPr>
        <w:t xml:space="preserve">como medida preventiva para el control de insectos y otros agentes biológicos que afectan las colecciones. </w:t>
      </w:r>
    </w:p>
    <w:p w14:paraId="0DBA8A45" w14:textId="77777777" w:rsidR="005A40CF" w:rsidRDefault="00EF4228" w:rsidP="00DB2C88">
      <w:pPr>
        <w:spacing w:line="360" w:lineRule="auto"/>
        <w:jc w:val="both"/>
        <w:rPr>
          <w:rFonts w:eastAsia="Calibri"/>
          <w:szCs w:val="36"/>
          <w:lang w:val="es-DO"/>
        </w:rPr>
      </w:pPr>
      <w:r w:rsidRPr="00CE308F">
        <w:rPr>
          <w:rFonts w:eastAsia="Calibri"/>
          <w:szCs w:val="36"/>
          <w:lang w:val="es-DO"/>
        </w:rPr>
        <w:t xml:space="preserve">De manera complementaria, se realizaron evaluaciones para la detección de fuentes de humedad en los depósitos, permitiendo identificar condiciones ambientales adversas y definir acciones correctivas orientadas a la estabilización de los espacios. </w:t>
      </w:r>
    </w:p>
    <w:p w14:paraId="1FCCFA93" w14:textId="35E42DB7" w:rsidR="00EF4228" w:rsidRPr="00CE308F" w:rsidRDefault="00EF4228" w:rsidP="00DB2C88">
      <w:pPr>
        <w:spacing w:line="360" w:lineRule="auto"/>
        <w:jc w:val="both"/>
        <w:rPr>
          <w:rFonts w:eastAsia="Calibri"/>
          <w:szCs w:val="36"/>
          <w:lang w:val="es-DO"/>
        </w:rPr>
      </w:pPr>
      <w:r w:rsidRPr="00CE308F">
        <w:rPr>
          <w:rFonts w:eastAsia="Calibri"/>
          <w:szCs w:val="36"/>
          <w:lang w:val="es-DO"/>
        </w:rPr>
        <w:t>Asimismo, se procedió al traslado de documentos</w:t>
      </w:r>
      <w:r>
        <w:rPr>
          <w:rFonts w:eastAsia="Calibri"/>
          <w:szCs w:val="36"/>
          <w:lang w:val="es-DO"/>
        </w:rPr>
        <w:t>, obras de arte</w:t>
      </w:r>
      <w:r w:rsidRPr="00CE308F">
        <w:rPr>
          <w:rFonts w:eastAsia="Calibri"/>
          <w:szCs w:val="36"/>
          <w:lang w:val="es-DO"/>
        </w:rPr>
        <w:t xml:space="preserve"> y bibliografías a áreas más seguras, garantizando condiciones adecuadas de resguardo para fondos documentales y materiales sensibles.</w:t>
      </w:r>
      <w:r>
        <w:rPr>
          <w:rFonts w:eastAsia="Calibri"/>
          <w:szCs w:val="36"/>
          <w:lang w:val="es-DO"/>
        </w:rPr>
        <w:t xml:space="preserve"> Este proceso se realiza en total consonancia de los estándares internacionales.</w:t>
      </w:r>
    </w:p>
    <w:p w14:paraId="15B58CBC" w14:textId="77777777" w:rsidR="00EF4228" w:rsidRPr="00CE308F" w:rsidRDefault="00EF4228" w:rsidP="00DB2C88">
      <w:pPr>
        <w:spacing w:line="360" w:lineRule="auto"/>
        <w:jc w:val="both"/>
        <w:rPr>
          <w:rFonts w:eastAsia="Calibri"/>
          <w:szCs w:val="36"/>
          <w:lang w:val="es-DO"/>
        </w:rPr>
      </w:pPr>
      <w:r w:rsidRPr="00CE308F">
        <w:rPr>
          <w:rFonts w:eastAsia="Calibri"/>
          <w:szCs w:val="36"/>
          <w:lang w:val="es-DO"/>
        </w:rPr>
        <w:t>En relación con acciones de mayor alcance, el Museo Faro a Colón fue objeto de una evaluación técnica especializada para la detección de organismos contaminantes en áreas críticas como la biblioteca y los depósitos, lo que derivó en la contratación de una firma especializada para la ejecución de tratamientos técnicos específicos, reafirmando el compromiso institucional con la conservación preventiva basada en evidencia.</w:t>
      </w:r>
    </w:p>
    <w:p w14:paraId="4A7DCBE0" w14:textId="3582D31B" w:rsidR="00FF684B" w:rsidRDefault="00253F80" w:rsidP="00DB2C88">
      <w:pPr>
        <w:spacing w:line="360" w:lineRule="auto"/>
        <w:jc w:val="both"/>
        <w:rPr>
          <w:rFonts w:eastAsia="Calibri"/>
          <w:szCs w:val="36"/>
          <w:lang w:val="es-DO"/>
        </w:rPr>
      </w:pPr>
      <w:r>
        <w:rPr>
          <w:rFonts w:eastAsia="Calibri"/>
          <w:szCs w:val="36"/>
          <w:lang w:val="es-DO"/>
        </w:rPr>
        <w:t>De igual modo, en el Museo Alcázar de Colón se realizó un</w:t>
      </w:r>
      <w:r w:rsidR="00627A7C">
        <w:rPr>
          <w:rFonts w:eastAsia="Calibri"/>
          <w:szCs w:val="36"/>
          <w:lang w:val="es-DO"/>
        </w:rPr>
        <w:t xml:space="preserve"> tratamiento </w:t>
      </w:r>
      <w:r>
        <w:rPr>
          <w:rFonts w:eastAsia="Calibri"/>
          <w:szCs w:val="36"/>
          <w:lang w:val="es-DO"/>
        </w:rPr>
        <w:t xml:space="preserve">contra termitas </w:t>
      </w:r>
      <w:r w:rsidR="00627A7C">
        <w:rPr>
          <w:rFonts w:eastAsia="Calibri"/>
          <w:szCs w:val="36"/>
          <w:lang w:val="es-DO"/>
        </w:rPr>
        <w:t xml:space="preserve">(comején) </w:t>
      </w:r>
      <w:r w:rsidR="001373F1">
        <w:rPr>
          <w:rFonts w:eastAsia="Calibri"/>
          <w:szCs w:val="36"/>
          <w:lang w:val="es-DO"/>
        </w:rPr>
        <w:t>con barrera química y aplicación dirigida, por un monto de RD$243,021.00, aportados por el CEIZTUR</w:t>
      </w:r>
      <w:r w:rsidR="006B16BF">
        <w:rPr>
          <w:rFonts w:eastAsia="Calibri"/>
          <w:szCs w:val="36"/>
          <w:lang w:val="es-DO"/>
        </w:rPr>
        <w:t>.</w:t>
      </w:r>
    </w:p>
    <w:p w14:paraId="70E4B37E" w14:textId="5346497B" w:rsidR="00EF4228" w:rsidRDefault="00EF4228" w:rsidP="00DB2C88">
      <w:pPr>
        <w:spacing w:line="360" w:lineRule="auto"/>
        <w:jc w:val="both"/>
        <w:rPr>
          <w:rFonts w:eastAsia="Calibri"/>
          <w:szCs w:val="36"/>
          <w:lang w:val="es-DO"/>
        </w:rPr>
      </w:pPr>
      <w:r w:rsidRPr="00CE308F">
        <w:rPr>
          <w:rFonts w:eastAsia="Calibri"/>
          <w:szCs w:val="36"/>
          <w:lang w:val="es-DO"/>
        </w:rPr>
        <w:lastRenderedPageBreak/>
        <w:t xml:space="preserve">Finalmente, durante el año 2025 se dio inicio a la conceptualización del proyecto de habilitación y mejora de los depósitos de cada museo, así como a la formulación del proyecto para la construcción de un depósito general y un laboratorio de restauración, concebidos como infraestructuras estratégicas para fortalecer las capacidades técnicas del sistema museístico nacional. </w:t>
      </w:r>
    </w:p>
    <w:p w14:paraId="10C6CAE5" w14:textId="77777777" w:rsidR="00EF4228" w:rsidRDefault="00EF4228" w:rsidP="00DB2C88">
      <w:pPr>
        <w:spacing w:line="360" w:lineRule="auto"/>
        <w:jc w:val="both"/>
        <w:rPr>
          <w:rFonts w:eastAsia="Calibri"/>
          <w:szCs w:val="36"/>
          <w:lang w:val="es-DO"/>
        </w:rPr>
      </w:pPr>
      <w:r w:rsidRPr="00CE308F">
        <w:rPr>
          <w:rFonts w:eastAsia="Calibri"/>
          <w:szCs w:val="36"/>
          <w:lang w:val="es-DO"/>
        </w:rPr>
        <w:t>Estas iniciativas sientan las bases para una gestión integral, segura y sostenible de las colecciones, alineada con los principios de preservación, eficiencia y transparencia en el manejo del patrimonio cultural.</w:t>
      </w:r>
    </w:p>
    <w:p w14:paraId="6BEE9096" w14:textId="44123632" w:rsidR="000A2322" w:rsidRPr="000A2322" w:rsidRDefault="000A2322" w:rsidP="00DB2C88">
      <w:pPr>
        <w:spacing w:line="360" w:lineRule="auto"/>
        <w:jc w:val="center"/>
        <w:rPr>
          <w:rFonts w:eastAsia="Calibri"/>
          <w:b/>
          <w:bCs/>
          <w:szCs w:val="36"/>
          <w:lang w:val="es-MX"/>
        </w:rPr>
      </w:pPr>
      <w:r w:rsidRPr="000A2322">
        <w:rPr>
          <w:rFonts w:eastAsia="Calibri"/>
          <w:b/>
          <w:bCs/>
          <w:szCs w:val="36"/>
          <w:lang w:val="es-MX"/>
        </w:rPr>
        <w:t>Conservación, consolidación y restauración de la infraestructura de los museos</w:t>
      </w:r>
    </w:p>
    <w:p w14:paraId="5AC18BF0" w14:textId="77777777" w:rsidR="006F6F0C" w:rsidRDefault="00BB0207" w:rsidP="00DB2C88">
      <w:pPr>
        <w:spacing w:line="360" w:lineRule="auto"/>
        <w:jc w:val="both"/>
        <w:rPr>
          <w:rFonts w:eastAsia="Calibri"/>
          <w:szCs w:val="36"/>
          <w:lang w:val="es-DO"/>
        </w:rPr>
      </w:pPr>
      <w:r>
        <w:rPr>
          <w:rFonts w:eastAsia="Calibri"/>
          <w:szCs w:val="36"/>
          <w:lang w:val="es-DO"/>
        </w:rPr>
        <w:t>D</w:t>
      </w:r>
      <w:r w:rsidRPr="00D101A8">
        <w:rPr>
          <w:rFonts w:eastAsia="Calibri"/>
          <w:szCs w:val="36"/>
          <w:lang w:val="es-DO"/>
        </w:rPr>
        <w:t>urante el año 2025</w:t>
      </w:r>
      <w:r>
        <w:rPr>
          <w:rFonts w:eastAsia="Calibri"/>
          <w:szCs w:val="36"/>
          <w:lang w:val="es-DO"/>
        </w:rPr>
        <w:t>, l</w:t>
      </w:r>
      <w:r w:rsidR="00D101A8" w:rsidRPr="00D101A8">
        <w:rPr>
          <w:rFonts w:eastAsia="Calibri"/>
          <w:szCs w:val="36"/>
          <w:lang w:val="es-DO"/>
        </w:rPr>
        <w:t>a conservación, consolidación y restauración de la infraestructura museística constituyó un eje estratégico para garantizar la sostenibilidad operativa de los museos</w:t>
      </w:r>
      <w:r w:rsidR="001F09DB" w:rsidRPr="001F09DB">
        <w:rPr>
          <w:rFonts w:eastAsia="Calibri"/>
          <w:szCs w:val="36"/>
          <w:lang w:val="es-DO"/>
        </w:rPr>
        <w:t xml:space="preserve"> </w:t>
      </w:r>
      <w:r w:rsidR="001F09DB" w:rsidRPr="00297985">
        <w:rPr>
          <w:rFonts w:eastAsia="Calibri"/>
          <w:szCs w:val="36"/>
          <w:lang w:val="es-DO"/>
        </w:rPr>
        <w:t>adscritos a la Dirección General de Museos</w:t>
      </w:r>
      <w:r w:rsidR="00D101A8" w:rsidRPr="00D101A8">
        <w:rPr>
          <w:rFonts w:eastAsia="Calibri"/>
          <w:szCs w:val="36"/>
          <w:lang w:val="es-DO"/>
        </w:rPr>
        <w:t>, la protección del patrimonio cultural y la calidad de la experiencia ofrecida a los públicos.</w:t>
      </w:r>
    </w:p>
    <w:p w14:paraId="6D74CE92" w14:textId="01EE1647" w:rsidR="00D22B04" w:rsidRDefault="00297985" w:rsidP="00DB2C88">
      <w:pPr>
        <w:spacing w:line="360" w:lineRule="auto"/>
        <w:jc w:val="both"/>
        <w:rPr>
          <w:rFonts w:eastAsia="Calibri"/>
          <w:szCs w:val="36"/>
          <w:lang w:val="es-DO"/>
        </w:rPr>
      </w:pPr>
      <w:r w:rsidRPr="00297985">
        <w:rPr>
          <w:rFonts w:eastAsia="Calibri"/>
          <w:szCs w:val="36"/>
          <w:lang w:val="es-DO"/>
        </w:rPr>
        <w:t xml:space="preserve">Este enfoque reconoce que una infraestructura adecuada, segura y funcional es un componente esencial para el cumplimiento de la misión museística, particularmente en un sistema compuesto mayoritariamente por inmuebles de alto valor </w:t>
      </w:r>
      <w:r w:rsidR="007635E8">
        <w:rPr>
          <w:rFonts w:eastAsia="Calibri"/>
          <w:szCs w:val="36"/>
          <w:lang w:val="es-DO"/>
        </w:rPr>
        <w:t xml:space="preserve">patrimonial, </w:t>
      </w:r>
      <w:r w:rsidRPr="00297985">
        <w:rPr>
          <w:rFonts w:eastAsia="Calibri"/>
          <w:szCs w:val="36"/>
          <w:lang w:val="es-DO"/>
        </w:rPr>
        <w:t>histórico y arquitectónico</w:t>
      </w:r>
      <w:r w:rsidR="00D22B04">
        <w:rPr>
          <w:rFonts w:eastAsia="Calibri"/>
          <w:szCs w:val="36"/>
          <w:lang w:val="es-DO"/>
        </w:rPr>
        <w:t xml:space="preserve">; </w:t>
      </w:r>
      <w:r w:rsidR="00D22B04" w:rsidRPr="00D101A8">
        <w:rPr>
          <w:rFonts w:eastAsia="Calibri"/>
          <w:szCs w:val="36"/>
          <w:lang w:val="es-DO"/>
        </w:rPr>
        <w:t>cuya preservación requiere intervenciones técnicas especializadas, mantenimiento continuo y una articulación interinstitucional sostenida.</w:t>
      </w:r>
    </w:p>
    <w:p w14:paraId="7578C752" w14:textId="408021D9" w:rsidR="001318A1" w:rsidRPr="001318A1" w:rsidRDefault="00297985" w:rsidP="00DB2C88">
      <w:pPr>
        <w:spacing w:line="360" w:lineRule="auto"/>
        <w:jc w:val="both"/>
        <w:rPr>
          <w:rFonts w:eastAsia="Calibri"/>
          <w:b/>
          <w:bCs/>
          <w:szCs w:val="36"/>
          <w:lang w:val="es-DO"/>
        </w:rPr>
      </w:pPr>
      <w:r w:rsidRPr="00297985">
        <w:rPr>
          <w:rFonts w:eastAsia="Calibri"/>
          <w:szCs w:val="36"/>
          <w:lang w:val="es-DO"/>
        </w:rPr>
        <w:t xml:space="preserve">En este contexto, la DGM impulsó un conjunto de acciones orientadas al mantenimiento continuo, la adecuación funcional y la rehabilitación progresiva de los inmuebles museísticos, atendiendo tanto necesidades inmediatas como procesos de intervención de </w:t>
      </w:r>
      <w:r w:rsidRPr="00297985">
        <w:rPr>
          <w:rFonts w:eastAsia="Calibri"/>
          <w:szCs w:val="36"/>
          <w:lang w:val="es-DO"/>
        </w:rPr>
        <w:lastRenderedPageBreak/>
        <w:t>mayor alcance, en coordinación con otras entidades públicas, organismos de cooperación y el sector privado.</w:t>
      </w:r>
    </w:p>
    <w:p w14:paraId="64D51A33" w14:textId="17EA777C" w:rsidR="009B4D01" w:rsidRPr="009B4D01" w:rsidRDefault="009B4D01" w:rsidP="00DB2C88">
      <w:pPr>
        <w:spacing w:line="360" w:lineRule="auto"/>
        <w:jc w:val="center"/>
        <w:rPr>
          <w:rFonts w:eastAsia="Calibri"/>
          <w:b/>
          <w:bCs/>
          <w:szCs w:val="36"/>
          <w:lang w:val="es-DO"/>
        </w:rPr>
      </w:pPr>
      <w:r w:rsidRPr="009B4D01">
        <w:rPr>
          <w:rFonts w:eastAsia="Calibri"/>
          <w:b/>
          <w:bCs/>
          <w:szCs w:val="36"/>
          <w:lang w:val="es-DO"/>
        </w:rPr>
        <w:t>Plan de mantenimiento preventivo y correctivo</w:t>
      </w:r>
    </w:p>
    <w:p w14:paraId="46B2FB2F" w14:textId="18795637" w:rsidR="00F731BA" w:rsidRDefault="00441B9C" w:rsidP="00DB2C88">
      <w:pPr>
        <w:spacing w:line="360" w:lineRule="auto"/>
        <w:jc w:val="both"/>
        <w:rPr>
          <w:rFonts w:eastAsia="Calibri"/>
          <w:szCs w:val="36"/>
          <w:lang w:val="es-DO"/>
        </w:rPr>
      </w:pPr>
      <w:r>
        <w:rPr>
          <w:rFonts w:eastAsia="Calibri"/>
          <w:szCs w:val="36"/>
          <w:lang w:val="es-DO"/>
        </w:rPr>
        <w:t>En el año 2025</w:t>
      </w:r>
      <w:r w:rsidR="009B4D01" w:rsidRPr="009B4D01">
        <w:rPr>
          <w:rFonts w:eastAsia="Calibri"/>
          <w:szCs w:val="36"/>
          <w:lang w:val="es-DO"/>
        </w:rPr>
        <w:t xml:space="preserve">, la Dirección General de Museos ejecutó un plan sistemático de mantenimiento preventivo y correctivo </w:t>
      </w:r>
      <w:r w:rsidR="00ED0398">
        <w:rPr>
          <w:rFonts w:eastAsia="Calibri"/>
          <w:szCs w:val="36"/>
          <w:lang w:val="es-DO"/>
        </w:rPr>
        <w:t>que abarcó a los</w:t>
      </w:r>
      <w:r w:rsidR="009B4D01" w:rsidRPr="009B4D01">
        <w:rPr>
          <w:rFonts w:eastAsia="Calibri"/>
          <w:szCs w:val="36"/>
          <w:lang w:val="es-DO"/>
        </w:rPr>
        <w:t xml:space="preserve"> </w:t>
      </w:r>
      <w:r w:rsidR="0047576C">
        <w:rPr>
          <w:rFonts w:eastAsia="Calibri"/>
          <w:szCs w:val="36"/>
          <w:lang w:val="es-DO"/>
        </w:rPr>
        <w:t xml:space="preserve">15 </w:t>
      </w:r>
      <w:r w:rsidR="009B4D01" w:rsidRPr="009B4D01">
        <w:rPr>
          <w:rFonts w:eastAsia="Calibri"/>
          <w:szCs w:val="36"/>
          <w:lang w:val="es-DO"/>
        </w:rPr>
        <w:t>museos adscritos</w:t>
      </w:r>
      <w:r>
        <w:rPr>
          <w:rFonts w:eastAsia="Calibri"/>
          <w:szCs w:val="36"/>
          <w:lang w:val="es-DO"/>
        </w:rPr>
        <w:t>.</w:t>
      </w:r>
      <w:r w:rsidR="0047576C">
        <w:rPr>
          <w:rFonts w:eastAsia="Calibri"/>
          <w:szCs w:val="36"/>
          <w:lang w:val="es-DO"/>
        </w:rPr>
        <w:t xml:space="preserve"> </w:t>
      </w:r>
      <w:r w:rsidR="002979D1">
        <w:rPr>
          <w:rFonts w:eastAsia="Calibri"/>
          <w:szCs w:val="36"/>
          <w:lang w:val="es-DO"/>
        </w:rPr>
        <w:t xml:space="preserve">Con una inversión total </w:t>
      </w:r>
      <w:r w:rsidR="00A15877">
        <w:rPr>
          <w:rFonts w:eastAsia="Calibri"/>
          <w:szCs w:val="36"/>
          <w:lang w:val="es-DO"/>
        </w:rPr>
        <w:t xml:space="preserve">trece millones quinientos noventa y nueve mil pesos </w:t>
      </w:r>
      <w:r w:rsidR="00EB708B">
        <w:rPr>
          <w:rFonts w:eastAsia="Calibri"/>
          <w:szCs w:val="36"/>
          <w:lang w:val="es-DO"/>
        </w:rPr>
        <w:t>(</w:t>
      </w:r>
      <w:r w:rsidR="00A15877">
        <w:rPr>
          <w:rFonts w:eastAsia="Calibri"/>
          <w:szCs w:val="36"/>
          <w:lang w:val="es-DO"/>
        </w:rPr>
        <w:t xml:space="preserve">RD$ </w:t>
      </w:r>
      <w:r w:rsidR="00A15877" w:rsidRPr="00A15877">
        <w:rPr>
          <w:rFonts w:eastAsia="Calibri"/>
          <w:szCs w:val="36"/>
          <w:lang w:val="es-DO"/>
        </w:rPr>
        <w:t>13,599,546.00</w:t>
      </w:r>
      <w:r w:rsidR="00EB708B">
        <w:rPr>
          <w:rFonts w:eastAsia="Calibri"/>
          <w:szCs w:val="36"/>
          <w:lang w:val="es-DO"/>
        </w:rPr>
        <w:t>), e</w:t>
      </w:r>
      <w:r w:rsidR="0047576C">
        <w:rPr>
          <w:rFonts w:eastAsia="Calibri"/>
          <w:szCs w:val="36"/>
          <w:lang w:val="es-DO"/>
        </w:rPr>
        <w:t xml:space="preserve">ste plan estuvo </w:t>
      </w:r>
      <w:r w:rsidR="009B4D01" w:rsidRPr="009B4D01">
        <w:rPr>
          <w:rFonts w:eastAsia="Calibri"/>
          <w:szCs w:val="36"/>
          <w:lang w:val="es-DO"/>
        </w:rPr>
        <w:t>orientado a preservar la integridad de los inmuebles, garantizar condiciones adecuadas de operación y reducir riesgos asociados al deterioro progresivo de edificaciones</w:t>
      </w:r>
      <w:r w:rsidR="00C11923">
        <w:rPr>
          <w:rFonts w:eastAsia="Calibri"/>
          <w:szCs w:val="36"/>
          <w:lang w:val="es-DO"/>
        </w:rPr>
        <w:t xml:space="preserve"> y los diferentes </w:t>
      </w:r>
      <w:r w:rsidR="00FC0D15">
        <w:rPr>
          <w:rFonts w:eastAsia="Calibri"/>
          <w:szCs w:val="36"/>
          <w:lang w:val="es-DO"/>
        </w:rPr>
        <w:t>sistemas</w:t>
      </w:r>
      <w:r w:rsidR="009B4D01" w:rsidRPr="009B4D01">
        <w:rPr>
          <w:rFonts w:eastAsia="Calibri"/>
          <w:szCs w:val="36"/>
          <w:lang w:val="es-DO"/>
        </w:rPr>
        <w:t xml:space="preserve">. </w:t>
      </w:r>
    </w:p>
    <w:p w14:paraId="4BDFDD3D" w14:textId="03722781" w:rsidR="001204E0" w:rsidRDefault="00EB708B" w:rsidP="00DB2C88">
      <w:pPr>
        <w:spacing w:line="360" w:lineRule="auto"/>
        <w:jc w:val="both"/>
        <w:rPr>
          <w:rFonts w:eastAsia="Calibri"/>
          <w:szCs w:val="36"/>
          <w:lang w:val="es-DO"/>
        </w:rPr>
      </w:pPr>
      <w:r>
        <w:rPr>
          <w:rFonts w:eastAsia="Calibri"/>
          <w:szCs w:val="36"/>
          <w:lang w:val="es-DO"/>
        </w:rPr>
        <w:t>En el cuadro siguiente se muestran los montos correspondientes a cada componente del plan de mantenimiento</w:t>
      </w:r>
      <w:r w:rsidR="00181B5C">
        <w:rPr>
          <w:rFonts w:eastAsia="Calibri"/>
          <w:szCs w:val="36"/>
          <w:lang w:val="es-DO"/>
        </w:rPr>
        <w:t xml:space="preserve">.  </w:t>
      </w:r>
    </w:p>
    <w:tbl>
      <w:tblPr>
        <w:tblW w:w="7823" w:type="dxa"/>
        <w:jc w:val="center"/>
        <w:tblCellMar>
          <w:left w:w="70" w:type="dxa"/>
          <w:right w:w="70" w:type="dxa"/>
        </w:tblCellMar>
        <w:tblLook w:val="04A0" w:firstRow="1" w:lastRow="0" w:firstColumn="1" w:lastColumn="0" w:noHBand="0" w:noVBand="1"/>
      </w:tblPr>
      <w:tblGrid>
        <w:gridCol w:w="4531"/>
        <w:gridCol w:w="993"/>
        <w:gridCol w:w="1559"/>
        <w:gridCol w:w="740"/>
      </w:tblGrid>
      <w:tr w:rsidR="00264FA1" w:rsidRPr="00C73829" w14:paraId="207C109A" w14:textId="77777777" w:rsidTr="000465F6">
        <w:trPr>
          <w:trHeight w:val="312"/>
          <w:jc w:val="center"/>
        </w:trPr>
        <w:tc>
          <w:tcPr>
            <w:tcW w:w="4531"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0B4F6BBD" w14:textId="77777777" w:rsidR="00264FA1" w:rsidRPr="00C73829" w:rsidRDefault="00264FA1" w:rsidP="00380477">
            <w:pPr>
              <w:spacing w:after="0" w:line="240" w:lineRule="auto"/>
              <w:jc w:val="center"/>
              <w:rPr>
                <w:rFonts w:eastAsia="Times New Roman"/>
                <w:b/>
                <w:bCs/>
                <w:color w:val="FFFFFF"/>
                <w:spacing w:val="0"/>
                <w:lang w:val="es-MX" w:eastAsia="es-MX"/>
              </w:rPr>
            </w:pPr>
            <w:r w:rsidRPr="00C73829">
              <w:rPr>
                <w:rFonts w:eastAsia="Times New Roman"/>
                <w:b/>
                <w:bCs/>
                <w:color w:val="FFFFFF"/>
                <w:spacing w:val="0"/>
                <w:lang w:val="es-MX" w:eastAsia="es-MX"/>
              </w:rPr>
              <w:t>Descripción del Gasto</w:t>
            </w:r>
          </w:p>
        </w:tc>
        <w:tc>
          <w:tcPr>
            <w:tcW w:w="993" w:type="dxa"/>
            <w:tcBorders>
              <w:top w:val="single" w:sz="4" w:space="0" w:color="auto"/>
              <w:left w:val="nil"/>
              <w:bottom w:val="single" w:sz="4" w:space="0" w:color="auto"/>
              <w:right w:val="single" w:sz="4" w:space="0" w:color="auto"/>
            </w:tcBorders>
            <w:shd w:val="clear" w:color="000000" w:fill="002060"/>
            <w:noWrap/>
            <w:vAlign w:val="center"/>
            <w:hideMark/>
          </w:tcPr>
          <w:p w14:paraId="00E4D64E" w14:textId="77777777" w:rsidR="00264FA1" w:rsidRPr="00C73829" w:rsidRDefault="00264FA1" w:rsidP="00380477">
            <w:pPr>
              <w:spacing w:after="0" w:line="240" w:lineRule="auto"/>
              <w:jc w:val="center"/>
              <w:rPr>
                <w:rFonts w:eastAsia="Times New Roman"/>
                <w:b/>
                <w:bCs/>
                <w:color w:val="FFFFFF"/>
                <w:spacing w:val="0"/>
                <w:lang w:val="es-MX" w:eastAsia="es-MX"/>
              </w:rPr>
            </w:pPr>
            <w:r w:rsidRPr="00C73829">
              <w:rPr>
                <w:rFonts w:eastAsia="Times New Roman"/>
                <w:b/>
                <w:bCs/>
                <w:color w:val="FFFFFF"/>
                <w:spacing w:val="0"/>
                <w:lang w:val="es-MX" w:eastAsia="es-MX"/>
              </w:rPr>
              <w:t>Museos</w:t>
            </w:r>
          </w:p>
        </w:tc>
        <w:tc>
          <w:tcPr>
            <w:tcW w:w="1559" w:type="dxa"/>
            <w:tcBorders>
              <w:top w:val="single" w:sz="4" w:space="0" w:color="auto"/>
              <w:left w:val="nil"/>
              <w:bottom w:val="single" w:sz="4" w:space="0" w:color="auto"/>
              <w:right w:val="single" w:sz="4" w:space="0" w:color="auto"/>
            </w:tcBorders>
            <w:shd w:val="clear" w:color="000000" w:fill="002060"/>
            <w:noWrap/>
            <w:vAlign w:val="center"/>
            <w:hideMark/>
          </w:tcPr>
          <w:p w14:paraId="65FE1AFE" w14:textId="77777777" w:rsidR="00264FA1" w:rsidRPr="00C73829" w:rsidRDefault="00264FA1" w:rsidP="00380477">
            <w:pPr>
              <w:spacing w:after="0" w:line="240" w:lineRule="auto"/>
              <w:jc w:val="center"/>
              <w:rPr>
                <w:rFonts w:eastAsia="Times New Roman"/>
                <w:b/>
                <w:bCs/>
                <w:color w:val="FFFFFF"/>
                <w:spacing w:val="0"/>
                <w:lang w:val="es-MX" w:eastAsia="es-MX"/>
              </w:rPr>
            </w:pPr>
            <w:r w:rsidRPr="00C73829">
              <w:rPr>
                <w:rFonts w:eastAsia="Times New Roman"/>
                <w:b/>
                <w:bCs/>
                <w:color w:val="FFFFFF"/>
                <w:spacing w:val="0"/>
                <w:lang w:val="es-MX" w:eastAsia="es-MX"/>
              </w:rPr>
              <w:t>Monto (RD$)</w:t>
            </w:r>
          </w:p>
        </w:tc>
        <w:tc>
          <w:tcPr>
            <w:tcW w:w="740" w:type="dxa"/>
            <w:tcBorders>
              <w:top w:val="single" w:sz="4" w:space="0" w:color="auto"/>
              <w:left w:val="nil"/>
              <w:bottom w:val="single" w:sz="4" w:space="0" w:color="auto"/>
              <w:right w:val="single" w:sz="4" w:space="0" w:color="auto"/>
            </w:tcBorders>
            <w:shd w:val="clear" w:color="000000" w:fill="002060"/>
            <w:noWrap/>
            <w:vAlign w:val="center"/>
            <w:hideMark/>
          </w:tcPr>
          <w:p w14:paraId="605E6601" w14:textId="77777777" w:rsidR="00264FA1" w:rsidRPr="00C73829" w:rsidRDefault="00264FA1" w:rsidP="00380477">
            <w:pPr>
              <w:spacing w:after="0" w:line="240" w:lineRule="auto"/>
              <w:jc w:val="center"/>
              <w:rPr>
                <w:rFonts w:eastAsia="Times New Roman"/>
                <w:b/>
                <w:bCs/>
                <w:color w:val="FFFFFF"/>
                <w:spacing w:val="0"/>
                <w:lang w:val="es-MX" w:eastAsia="es-MX"/>
              </w:rPr>
            </w:pPr>
            <w:r w:rsidRPr="00C73829">
              <w:rPr>
                <w:rFonts w:eastAsia="Times New Roman"/>
                <w:b/>
                <w:bCs/>
                <w:color w:val="FFFFFF"/>
                <w:spacing w:val="0"/>
                <w:lang w:val="es-MX" w:eastAsia="es-MX"/>
              </w:rPr>
              <w:t>%</w:t>
            </w:r>
          </w:p>
        </w:tc>
      </w:tr>
      <w:tr w:rsidR="00264FA1" w:rsidRPr="00C73829" w14:paraId="72C3A839" w14:textId="77777777" w:rsidTr="000465F6">
        <w:trPr>
          <w:trHeight w:val="624"/>
          <w:jc w:val="center"/>
        </w:trPr>
        <w:tc>
          <w:tcPr>
            <w:tcW w:w="4531" w:type="dxa"/>
            <w:tcBorders>
              <w:top w:val="nil"/>
              <w:left w:val="single" w:sz="4" w:space="0" w:color="auto"/>
              <w:bottom w:val="single" w:sz="4" w:space="0" w:color="auto"/>
              <w:right w:val="single" w:sz="4" w:space="0" w:color="auto"/>
            </w:tcBorders>
            <w:vAlign w:val="center"/>
            <w:hideMark/>
          </w:tcPr>
          <w:p w14:paraId="5295AE6C" w14:textId="77777777" w:rsidR="00264FA1" w:rsidRPr="00C73829" w:rsidRDefault="00264FA1" w:rsidP="00380477">
            <w:pPr>
              <w:spacing w:after="0" w:line="240" w:lineRule="auto"/>
              <w:rPr>
                <w:rFonts w:eastAsia="Times New Roman"/>
                <w:color w:val="757171"/>
                <w:spacing w:val="0"/>
                <w:lang w:val="es-MX" w:eastAsia="es-MX"/>
              </w:rPr>
            </w:pPr>
            <w:r w:rsidRPr="00C73829">
              <w:rPr>
                <w:rFonts w:eastAsia="Times New Roman"/>
                <w:color w:val="757171"/>
                <w:spacing w:val="0"/>
                <w:lang w:val="es-MX" w:eastAsia="es-MX"/>
              </w:rPr>
              <w:t>R</w:t>
            </w:r>
            <w:r>
              <w:rPr>
                <w:rFonts w:eastAsia="Times New Roman"/>
                <w:color w:val="757171"/>
                <w:spacing w:val="0"/>
                <w:lang w:val="es-MX" w:eastAsia="es-MX"/>
              </w:rPr>
              <w:t>evisiones periódicas y r</w:t>
            </w:r>
            <w:r w:rsidRPr="00C73829">
              <w:rPr>
                <w:rFonts w:eastAsia="Times New Roman"/>
                <w:color w:val="757171"/>
                <w:spacing w:val="0"/>
                <w:lang w:val="es-MX" w:eastAsia="es-MX"/>
              </w:rPr>
              <w:t xml:space="preserve">eparaciones menores en edificaciones </w:t>
            </w:r>
            <w:r>
              <w:rPr>
                <w:rFonts w:eastAsia="Times New Roman"/>
                <w:color w:val="757171"/>
                <w:spacing w:val="0"/>
                <w:lang w:val="es-MX" w:eastAsia="es-MX"/>
              </w:rPr>
              <w:t>y áreas exteriores</w:t>
            </w:r>
          </w:p>
        </w:tc>
        <w:tc>
          <w:tcPr>
            <w:tcW w:w="993" w:type="dxa"/>
            <w:tcBorders>
              <w:top w:val="nil"/>
              <w:left w:val="nil"/>
              <w:bottom w:val="single" w:sz="4" w:space="0" w:color="auto"/>
              <w:right w:val="single" w:sz="4" w:space="0" w:color="auto"/>
            </w:tcBorders>
            <w:noWrap/>
            <w:vAlign w:val="center"/>
            <w:hideMark/>
          </w:tcPr>
          <w:p w14:paraId="53515434"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15</w:t>
            </w:r>
          </w:p>
        </w:tc>
        <w:tc>
          <w:tcPr>
            <w:tcW w:w="1559" w:type="dxa"/>
            <w:tcBorders>
              <w:top w:val="nil"/>
              <w:left w:val="nil"/>
              <w:bottom w:val="single" w:sz="4" w:space="0" w:color="auto"/>
              <w:right w:val="single" w:sz="4" w:space="0" w:color="auto"/>
            </w:tcBorders>
            <w:noWrap/>
            <w:vAlign w:val="center"/>
            <w:hideMark/>
          </w:tcPr>
          <w:p w14:paraId="7218291A" w14:textId="77777777" w:rsidR="00264FA1" w:rsidRPr="00C73829" w:rsidRDefault="00264FA1" w:rsidP="00380477">
            <w:pPr>
              <w:spacing w:after="0" w:line="240" w:lineRule="auto"/>
              <w:jc w:val="right"/>
              <w:rPr>
                <w:rFonts w:eastAsia="Times New Roman"/>
                <w:color w:val="757171"/>
                <w:spacing w:val="0"/>
                <w:lang w:val="es-MX" w:eastAsia="es-MX"/>
              </w:rPr>
            </w:pPr>
            <w:r w:rsidRPr="00C73829">
              <w:rPr>
                <w:rFonts w:eastAsia="Times New Roman"/>
                <w:color w:val="757171"/>
                <w:spacing w:val="0"/>
                <w:lang w:val="es-MX" w:eastAsia="es-MX"/>
              </w:rPr>
              <w:t>12,243,555.00</w:t>
            </w:r>
          </w:p>
        </w:tc>
        <w:tc>
          <w:tcPr>
            <w:tcW w:w="740" w:type="dxa"/>
            <w:tcBorders>
              <w:top w:val="nil"/>
              <w:left w:val="nil"/>
              <w:bottom w:val="single" w:sz="4" w:space="0" w:color="auto"/>
              <w:right w:val="single" w:sz="4" w:space="0" w:color="auto"/>
            </w:tcBorders>
            <w:noWrap/>
            <w:vAlign w:val="center"/>
            <w:hideMark/>
          </w:tcPr>
          <w:p w14:paraId="23EDBEF6"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90%</w:t>
            </w:r>
          </w:p>
        </w:tc>
      </w:tr>
      <w:tr w:rsidR="00264FA1" w:rsidRPr="00C73829" w14:paraId="414A7DAC" w14:textId="77777777" w:rsidTr="000465F6">
        <w:trPr>
          <w:trHeight w:val="312"/>
          <w:jc w:val="center"/>
        </w:trPr>
        <w:tc>
          <w:tcPr>
            <w:tcW w:w="4531" w:type="dxa"/>
            <w:tcBorders>
              <w:top w:val="nil"/>
              <w:left w:val="single" w:sz="4" w:space="0" w:color="auto"/>
              <w:bottom w:val="single" w:sz="4" w:space="0" w:color="auto"/>
              <w:right w:val="single" w:sz="4" w:space="0" w:color="auto"/>
            </w:tcBorders>
            <w:noWrap/>
            <w:vAlign w:val="center"/>
            <w:hideMark/>
          </w:tcPr>
          <w:p w14:paraId="57199023" w14:textId="77777777" w:rsidR="00264FA1" w:rsidRPr="00C73829" w:rsidRDefault="00264FA1" w:rsidP="00380477">
            <w:pPr>
              <w:spacing w:after="0" w:line="240" w:lineRule="auto"/>
              <w:rPr>
                <w:rFonts w:eastAsia="Times New Roman"/>
                <w:color w:val="757171"/>
                <w:spacing w:val="0"/>
                <w:lang w:val="es-MX" w:eastAsia="es-MX"/>
              </w:rPr>
            </w:pPr>
            <w:r w:rsidRPr="00C73829">
              <w:rPr>
                <w:rFonts w:eastAsia="Times New Roman"/>
                <w:color w:val="757171"/>
                <w:spacing w:val="0"/>
                <w:lang w:val="es-MX" w:eastAsia="es-MX"/>
              </w:rPr>
              <w:t>Mantenimiento de ascensores</w:t>
            </w:r>
          </w:p>
        </w:tc>
        <w:tc>
          <w:tcPr>
            <w:tcW w:w="993" w:type="dxa"/>
            <w:tcBorders>
              <w:top w:val="nil"/>
              <w:left w:val="nil"/>
              <w:bottom w:val="single" w:sz="4" w:space="0" w:color="auto"/>
              <w:right w:val="single" w:sz="4" w:space="0" w:color="auto"/>
            </w:tcBorders>
            <w:noWrap/>
            <w:vAlign w:val="center"/>
            <w:hideMark/>
          </w:tcPr>
          <w:p w14:paraId="0ABB6B41"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4</w:t>
            </w:r>
          </w:p>
        </w:tc>
        <w:tc>
          <w:tcPr>
            <w:tcW w:w="1559" w:type="dxa"/>
            <w:tcBorders>
              <w:top w:val="nil"/>
              <w:left w:val="nil"/>
              <w:bottom w:val="single" w:sz="4" w:space="0" w:color="auto"/>
              <w:right w:val="single" w:sz="4" w:space="0" w:color="auto"/>
            </w:tcBorders>
            <w:noWrap/>
            <w:vAlign w:val="center"/>
            <w:hideMark/>
          </w:tcPr>
          <w:p w14:paraId="530E5C9A" w14:textId="77777777" w:rsidR="00264FA1" w:rsidRPr="00C73829" w:rsidRDefault="00264FA1" w:rsidP="00380477">
            <w:pPr>
              <w:spacing w:after="0" w:line="240" w:lineRule="auto"/>
              <w:jc w:val="right"/>
              <w:rPr>
                <w:rFonts w:eastAsia="Times New Roman"/>
                <w:color w:val="757171"/>
                <w:spacing w:val="0"/>
                <w:lang w:val="es-MX" w:eastAsia="es-MX"/>
              </w:rPr>
            </w:pPr>
            <w:r w:rsidRPr="00C73829">
              <w:rPr>
                <w:rFonts w:eastAsia="Times New Roman"/>
                <w:color w:val="757171"/>
                <w:spacing w:val="0"/>
                <w:lang w:val="es-MX" w:eastAsia="es-MX"/>
              </w:rPr>
              <w:t>673,249.00</w:t>
            </w:r>
          </w:p>
        </w:tc>
        <w:tc>
          <w:tcPr>
            <w:tcW w:w="740" w:type="dxa"/>
            <w:tcBorders>
              <w:top w:val="nil"/>
              <w:left w:val="nil"/>
              <w:bottom w:val="single" w:sz="4" w:space="0" w:color="auto"/>
              <w:right w:val="single" w:sz="4" w:space="0" w:color="auto"/>
            </w:tcBorders>
            <w:noWrap/>
            <w:vAlign w:val="center"/>
            <w:hideMark/>
          </w:tcPr>
          <w:p w14:paraId="69035E6D"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5%</w:t>
            </w:r>
          </w:p>
        </w:tc>
      </w:tr>
      <w:tr w:rsidR="00264FA1" w:rsidRPr="00C73829" w14:paraId="468DA673" w14:textId="77777777" w:rsidTr="000465F6">
        <w:trPr>
          <w:trHeight w:val="312"/>
          <w:jc w:val="center"/>
        </w:trPr>
        <w:tc>
          <w:tcPr>
            <w:tcW w:w="4531" w:type="dxa"/>
            <w:tcBorders>
              <w:top w:val="nil"/>
              <w:left w:val="single" w:sz="4" w:space="0" w:color="auto"/>
              <w:bottom w:val="single" w:sz="4" w:space="0" w:color="auto"/>
              <w:right w:val="single" w:sz="4" w:space="0" w:color="auto"/>
            </w:tcBorders>
            <w:noWrap/>
            <w:vAlign w:val="center"/>
            <w:hideMark/>
          </w:tcPr>
          <w:p w14:paraId="61C415E9" w14:textId="77777777" w:rsidR="00264FA1" w:rsidRPr="00C73829" w:rsidRDefault="00264FA1" w:rsidP="00380477">
            <w:pPr>
              <w:spacing w:after="0" w:line="240" w:lineRule="auto"/>
              <w:rPr>
                <w:rFonts w:eastAsia="Times New Roman"/>
                <w:color w:val="757171"/>
                <w:spacing w:val="0"/>
                <w:lang w:val="es-MX" w:eastAsia="es-MX"/>
              </w:rPr>
            </w:pPr>
            <w:r w:rsidRPr="00C73829">
              <w:rPr>
                <w:rFonts w:eastAsia="Times New Roman"/>
                <w:color w:val="757171"/>
                <w:spacing w:val="0"/>
                <w:lang w:val="es-MX" w:eastAsia="es-MX"/>
              </w:rPr>
              <w:t>Mantenimiento de unidades aires acondicionados</w:t>
            </w:r>
          </w:p>
        </w:tc>
        <w:tc>
          <w:tcPr>
            <w:tcW w:w="993" w:type="dxa"/>
            <w:tcBorders>
              <w:top w:val="nil"/>
              <w:left w:val="nil"/>
              <w:bottom w:val="single" w:sz="4" w:space="0" w:color="auto"/>
              <w:right w:val="single" w:sz="4" w:space="0" w:color="auto"/>
            </w:tcBorders>
            <w:noWrap/>
            <w:vAlign w:val="center"/>
            <w:hideMark/>
          </w:tcPr>
          <w:p w14:paraId="3A897119"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13</w:t>
            </w:r>
          </w:p>
        </w:tc>
        <w:tc>
          <w:tcPr>
            <w:tcW w:w="1559" w:type="dxa"/>
            <w:tcBorders>
              <w:top w:val="nil"/>
              <w:left w:val="nil"/>
              <w:bottom w:val="single" w:sz="4" w:space="0" w:color="auto"/>
              <w:right w:val="single" w:sz="4" w:space="0" w:color="auto"/>
            </w:tcBorders>
            <w:noWrap/>
            <w:vAlign w:val="center"/>
            <w:hideMark/>
          </w:tcPr>
          <w:p w14:paraId="45C4A3AC" w14:textId="77777777" w:rsidR="00264FA1" w:rsidRPr="00C73829" w:rsidRDefault="00264FA1" w:rsidP="00380477">
            <w:pPr>
              <w:spacing w:after="0" w:line="240" w:lineRule="auto"/>
              <w:jc w:val="right"/>
              <w:rPr>
                <w:rFonts w:eastAsia="Times New Roman"/>
                <w:color w:val="757171"/>
                <w:spacing w:val="0"/>
                <w:lang w:val="es-MX" w:eastAsia="es-MX"/>
              </w:rPr>
            </w:pPr>
            <w:r w:rsidRPr="00C73829">
              <w:rPr>
                <w:rFonts w:eastAsia="Times New Roman"/>
                <w:color w:val="757171"/>
                <w:spacing w:val="0"/>
                <w:lang w:val="es-MX" w:eastAsia="es-MX"/>
              </w:rPr>
              <w:t>544,564.00</w:t>
            </w:r>
          </w:p>
        </w:tc>
        <w:tc>
          <w:tcPr>
            <w:tcW w:w="740" w:type="dxa"/>
            <w:tcBorders>
              <w:top w:val="nil"/>
              <w:left w:val="nil"/>
              <w:bottom w:val="single" w:sz="4" w:space="0" w:color="auto"/>
              <w:right w:val="single" w:sz="4" w:space="0" w:color="auto"/>
            </w:tcBorders>
            <w:noWrap/>
            <w:vAlign w:val="center"/>
            <w:hideMark/>
          </w:tcPr>
          <w:p w14:paraId="23C7E44A"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4%</w:t>
            </w:r>
          </w:p>
        </w:tc>
      </w:tr>
      <w:tr w:rsidR="00264FA1" w:rsidRPr="00C73829" w14:paraId="386F5A13" w14:textId="77777777" w:rsidTr="000465F6">
        <w:trPr>
          <w:trHeight w:val="312"/>
          <w:jc w:val="center"/>
        </w:trPr>
        <w:tc>
          <w:tcPr>
            <w:tcW w:w="4531" w:type="dxa"/>
            <w:tcBorders>
              <w:top w:val="nil"/>
              <w:left w:val="single" w:sz="4" w:space="0" w:color="auto"/>
              <w:bottom w:val="single" w:sz="4" w:space="0" w:color="auto"/>
              <w:right w:val="single" w:sz="4" w:space="0" w:color="auto"/>
            </w:tcBorders>
            <w:noWrap/>
            <w:vAlign w:val="center"/>
            <w:hideMark/>
          </w:tcPr>
          <w:p w14:paraId="43377320" w14:textId="77777777" w:rsidR="00264FA1" w:rsidRPr="00C73829" w:rsidRDefault="00264FA1" w:rsidP="00380477">
            <w:pPr>
              <w:spacing w:after="0" w:line="240" w:lineRule="auto"/>
              <w:rPr>
                <w:rFonts w:eastAsia="Times New Roman"/>
                <w:color w:val="757171"/>
                <w:spacing w:val="0"/>
                <w:lang w:val="es-MX" w:eastAsia="es-MX"/>
              </w:rPr>
            </w:pPr>
            <w:r w:rsidRPr="00C73829">
              <w:rPr>
                <w:rFonts w:eastAsia="Times New Roman"/>
                <w:color w:val="757171"/>
                <w:spacing w:val="0"/>
                <w:lang w:val="es-MX" w:eastAsia="es-MX"/>
              </w:rPr>
              <w:t xml:space="preserve">Mantenimiento y reparación plantas eléctricas </w:t>
            </w:r>
          </w:p>
        </w:tc>
        <w:tc>
          <w:tcPr>
            <w:tcW w:w="993" w:type="dxa"/>
            <w:tcBorders>
              <w:top w:val="nil"/>
              <w:left w:val="nil"/>
              <w:bottom w:val="single" w:sz="4" w:space="0" w:color="auto"/>
              <w:right w:val="single" w:sz="4" w:space="0" w:color="auto"/>
            </w:tcBorders>
            <w:noWrap/>
            <w:vAlign w:val="center"/>
            <w:hideMark/>
          </w:tcPr>
          <w:p w14:paraId="41487B4D"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8</w:t>
            </w:r>
          </w:p>
        </w:tc>
        <w:tc>
          <w:tcPr>
            <w:tcW w:w="1559" w:type="dxa"/>
            <w:tcBorders>
              <w:top w:val="nil"/>
              <w:left w:val="nil"/>
              <w:bottom w:val="single" w:sz="4" w:space="0" w:color="auto"/>
              <w:right w:val="single" w:sz="4" w:space="0" w:color="auto"/>
            </w:tcBorders>
            <w:noWrap/>
            <w:vAlign w:val="center"/>
            <w:hideMark/>
          </w:tcPr>
          <w:p w14:paraId="14AF094C" w14:textId="77777777" w:rsidR="00264FA1" w:rsidRPr="00C73829" w:rsidRDefault="00264FA1" w:rsidP="00380477">
            <w:pPr>
              <w:spacing w:after="0" w:line="240" w:lineRule="auto"/>
              <w:jc w:val="right"/>
              <w:rPr>
                <w:rFonts w:eastAsia="Times New Roman"/>
                <w:color w:val="757171"/>
                <w:spacing w:val="0"/>
                <w:lang w:val="es-MX" w:eastAsia="es-MX"/>
              </w:rPr>
            </w:pPr>
            <w:r w:rsidRPr="00C73829">
              <w:rPr>
                <w:rFonts w:eastAsia="Times New Roman"/>
                <w:color w:val="757171"/>
                <w:spacing w:val="0"/>
                <w:lang w:val="es-MX" w:eastAsia="es-MX"/>
              </w:rPr>
              <w:t>138,178.00</w:t>
            </w:r>
          </w:p>
        </w:tc>
        <w:tc>
          <w:tcPr>
            <w:tcW w:w="740" w:type="dxa"/>
            <w:tcBorders>
              <w:top w:val="nil"/>
              <w:left w:val="nil"/>
              <w:bottom w:val="single" w:sz="4" w:space="0" w:color="auto"/>
              <w:right w:val="single" w:sz="4" w:space="0" w:color="auto"/>
            </w:tcBorders>
            <w:noWrap/>
            <w:vAlign w:val="center"/>
            <w:hideMark/>
          </w:tcPr>
          <w:p w14:paraId="1A0477A9" w14:textId="77777777" w:rsidR="00264FA1" w:rsidRPr="00C73829" w:rsidRDefault="00264FA1" w:rsidP="00380477">
            <w:pPr>
              <w:spacing w:after="0" w:line="240" w:lineRule="auto"/>
              <w:jc w:val="center"/>
              <w:rPr>
                <w:rFonts w:eastAsia="Times New Roman"/>
                <w:color w:val="757171"/>
                <w:spacing w:val="0"/>
                <w:lang w:val="es-MX" w:eastAsia="es-MX"/>
              </w:rPr>
            </w:pPr>
            <w:r w:rsidRPr="00C73829">
              <w:rPr>
                <w:rFonts w:eastAsia="Times New Roman"/>
                <w:color w:val="757171"/>
                <w:spacing w:val="0"/>
                <w:lang w:val="es-MX" w:eastAsia="es-MX"/>
              </w:rPr>
              <w:t>1%</w:t>
            </w:r>
          </w:p>
        </w:tc>
      </w:tr>
      <w:tr w:rsidR="00264FA1" w:rsidRPr="00C73829" w14:paraId="66F98B04" w14:textId="77777777" w:rsidTr="000465F6">
        <w:trPr>
          <w:trHeight w:val="312"/>
          <w:jc w:val="center"/>
        </w:trPr>
        <w:tc>
          <w:tcPr>
            <w:tcW w:w="5524" w:type="dxa"/>
            <w:gridSpan w:val="2"/>
            <w:tcBorders>
              <w:top w:val="single" w:sz="4" w:space="0" w:color="auto"/>
              <w:left w:val="single" w:sz="4" w:space="0" w:color="auto"/>
              <w:bottom w:val="single" w:sz="4" w:space="0" w:color="auto"/>
              <w:right w:val="single" w:sz="4" w:space="0" w:color="000000"/>
            </w:tcBorders>
            <w:shd w:val="clear" w:color="000000" w:fill="002060"/>
            <w:noWrap/>
            <w:vAlign w:val="center"/>
            <w:hideMark/>
          </w:tcPr>
          <w:p w14:paraId="22DF4FEA" w14:textId="77777777" w:rsidR="00264FA1" w:rsidRPr="00C73829" w:rsidRDefault="00264FA1" w:rsidP="00380477">
            <w:pPr>
              <w:spacing w:after="0" w:line="240" w:lineRule="auto"/>
              <w:jc w:val="right"/>
              <w:rPr>
                <w:rFonts w:eastAsia="Times New Roman"/>
                <w:b/>
                <w:bCs/>
                <w:color w:val="FFFFFF"/>
                <w:spacing w:val="0"/>
                <w:lang w:val="es-MX" w:eastAsia="es-MX"/>
              </w:rPr>
            </w:pPr>
            <w:r w:rsidRPr="00C73829">
              <w:rPr>
                <w:rFonts w:eastAsia="Times New Roman"/>
                <w:b/>
                <w:bCs/>
                <w:color w:val="FFFFFF"/>
                <w:spacing w:val="0"/>
                <w:lang w:val="es-MX" w:eastAsia="es-MX"/>
              </w:rPr>
              <w:t>Total</w:t>
            </w:r>
          </w:p>
        </w:tc>
        <w:tc>
          <w:tcPr>
            <w:tcW w:w="1559" w:type="dxa"/>
            <w:tcBorders>
              <w:top w:val="nil"/>
              <w:left w:val="nil"/>
              <w:bottom w:val="single" w:sz="4" w:space="0" w:color="auto"/>
              <w:right w:val="single" w:sz="4" w:space="0" w:color="auto"/>
            </w:tcBorders>
            <w:shd w:val="clear" w:color="000000" w:fill="002060"/>
            <w:noWrap/>
            <w:vAlign w:val="center"/>
            <w:hideMark/>
          </w:tcPr>
          <w:p w14:paraId="6C0982A5" w14:textId="77777777" w:rsidR="00264FA1" w:rsidRPr="00C73829" w:rsidRDefault="00264FA1" w:rsidP="00380477">
            <w:pPr>
              <w:spacing w:after="0" w:line="240" w:lineRule="auto"/>
              <w:jc w:val="right"/>
              <w:rPr>
                <w:rFonts w:eastAsia="Times New Roman"/>
                <w:b/>
                <w:bCs/>
                <w:color w:val="FFFFFF"/>
                <w:spacing w:val="0"/>
                <w:lang w:val="es-MX" w:eastAsia="es-MX"/>
              </w:rPr>
            </w:pPr>
            <w:r w:rsidRPr="00C73829">
              <w:rPr>
                <w:rFonts w:eastAsia="Times New Roman"/>
                <w:b/>
                <w:bCs/>
                <w:color w:val="FFFFFF"/>
                <w:spacing w:val="0"/>
                <w:lang w:val="es-MX" w:eastAsia="es-MX"/>
              </w:rPr>
              <w:t>13,599,546.00</w:t>
            </w:r>
          </w:p>
        </w:tc>
        <w:tc>
          <w:tcPr>
            <w:tcW w:w="740" w:type="dxa"/>
            <w:tcBorders>
              <w:top w:val="nil"/>
              <w:left w:val="nil"/>
              <w:bottom w:val="single" w:sz="4" w:space="0" w:color="auto"/>
              <w:right w:val="single" w:sz="4" w:space="0" w:color="auto"/>
            </w:tcBorders>
            <w:shd w:val="clear" w:color="000000" w:fill="002060"/>
            <w:noWrap/>
            <w:vAlign w:val="center"/>
            <w:hideMark/>
          </w:tcPr>
          <w:p w14:paraId="43E5EE73" w14:textId="77777777" w:rsidR="00264FA1" w:rsidRPr="00C73829" w:rsidRDefault="00264FA1" w:rsidP="00380477">
            <w:pPr>
              <w:spacing w:after="0" w:line="240" w:lineRule="auto"/>
              <w:jc w:val="center"/>
              <w:rPr>
                <w:rFonts w:eastAsia="Times New Roman"/>
                <w:b/>
                <w:bCs/>
                <w:color w:val="FFFFFF"/>
                <w:spacing w:val="0"/>
                <w:lang w:val="es-MX" w:eastAsia="es-MX"/>
              </w:rPr>
            </w:pPr>
            <w:r w:rsidRPr="00C73829">
              <w:rPr>
                <w:rFonts w:eastAsia="Times New Roman"/>
                <w:b/>
                <w:bCs/>
                <w:color w:val="FFFFFF"/>
                <w:spacing w:val="0"/>
                <w:lang w:val="es-MX" w:eastAsia="es-MX"/>
              </w:rPr>
              <w:t>100%</w:t>
            </w:r>
          </w:p>
        </w:tc>
      </w:tr>
    </w:tbl>
    <w:p w14:paraId="229DAA22" w14:textId="223E16BB" w:rsidR="000465F6" w:rsidRPr="000465F6" w:rsidRDefault="000465F6" w:rsidP="000465F6">
      <w:pPr>
        <w:spacing w:after="0" w:line="240" w:lineRule="auto"/>
        <w:jc w:val="both"/>
        <w:rPr>
          <w:rFonts w:eastAsia="Times New Roman"/>
          <w:i/>
          <w:iCs/>
          <w:spacing w:val="0"/>
          <w:sz w:val="22"/>
          <w:szCs w:val="22"/>
          <w:lang w:val="es-MX" w:eastAsia="es-MX"/>
        </w:rPr>
      </w:pPr>
      <w:r w:rsidRPr="000465F6">
        <w:rPr>
          <w:rFonts w:eastAsia="Calibri"/>
          <w:i/>
          <w:iCs/>
          <w:spacing w:val="0"/>
          <w:sz w:val="22"/>
          <w:szCs w:val="32"/>
          <w:lang w:val="es-MX" w:eastAsia="es-MX"/>
        </w:rPr>
        <w:t xml:space="preserve">Cuadro </w:t>
      </w:r>
      <w:r>
        <w:rPr>
          <w:rFonts w:eastAsia="Calibri"/>
          <w:i/>
          <w:iCs/>
          <w:spacing w:val="0"/>
          <w:sz w:val="22"/>
          <w:szCs w:val="32"/>
          <w:lang w:val="es-MX" w:eastAsia="es-MX"/>
        </w:rPr>
        <w:t>6</w:t>
      </w:r>
      <w:r w:rsidRPr="000465F6">
        <w:rPr>
          <w:rFonts w:eastAsia="Calibri"/>
          <w:i/>
          <w:iCs/>
          <w:spacing w:val="0"/>
          <w:sz w:val="22"/>
          <w:szCs w:val="32"/>
          <w:lang w:val="es-MX" w:eastAsia="es-MX"/>
        </w:rPr>
        <w:t xml:space="preserve">. </w:t>
      </w:r>
      <w:r w:rsidR="00963618">
        <w:rPr>
          <w:rFonts w:eastAsia="Calibri"/>
          <w:i/>
          <w:iCs/>
          <w:spacing w:val="0"/>
          <w:sz w:val="22"/>
          <w:szCs w:val="32"/>
          <w:lang w:val="es-MX" w:eastAsia="es-MX"/>
        </w:rPr>
        <w:t xml:space="preserve">Gastos de mantenimiento de las edificaciones </w:t>
      </w:r>
      <w:r w:rsidRPr="000465F6">
        <w:rPr>
          <w:rFonts w:eastAsia="Calibri"/>
          <w:i/>
          <w:iCs/>
          <w:spacing w:val="0"/>
          <w:sz w:val="22"/>
          <w:szCs w:val="32"/>
          <w:lang w:val="es-MX" w:eastAsia="es-MX"/>
        </w:rPr>
        <w:t>total de bienes restaurados en museos DGM, año 2025</w:t>
      </w:r>
      <w:r w:rsidR="005E0322">
        <w:rPr>
          <w:rFonts w:eastAsia="Calibri"/>
          <w:i/>
          <w:iCs/>
          <w:spacing w:val="0"/>
          <w:sz w:val="22"/>
          <w:szCs w:val="32"/>
          <w:lang w:val="es-MX" w:eastAsia="es-MX"/>
        </w:rPr>
        <w:t>.  Fuente: SIGEF</w:t>
      </w:r>
    </w:p>
    <w:p w14:paraId="296B7900" w14:textId="77777777" w:rsidR="00264FA1" w:rsidRPr="000465F6" w:rsidRDefault="00264FA1" w:rsidP="0051780E">
      <w:pPr>
        <w:spacing w:after="0" w:line="360" w:lineRule="auto"/>
        <w:jc w:val="both"/>
        <w:rPr>
          <w:rFonts w:eastAsia="Calibri"/>
          <w:szCs w:val="36"/>
          <w:lang w:val="es-MX"/>
        </w:rPr>
      </w:pPr>
    </w:p>
    <w:p w14:paraId="64B535EF" w14:textId="786A13EE" w:rsidR="009B4D01" w:rsidRDefault="009B4D01" w:rsidP="00DB2C88">
      <w:pPr>
        <w:spacing w:line="360" w:lineRule="auto"/>
        <w:jc w:val="both"/>
        <w:rPr>
          <w:rFonts w:eastAsia="Calibri"/>
          <w:szCs w:val="36"/>
          <w:lang w:val="es-DO"/>
        </w:rPr>
      </w:pPr>
      <w:r w:rsidRPr="009B4D01">
        <w:rPr>
          <w:rFonts w:eastAsia="Calibri"/>
          <w:szCs w:val="36"/>
          <w:lang w:val="es-DO"/>
        </w:rPr>
        <w:t>Este plan incluyó revisiones periódicas y trabajos de corrección en instalaciones sanitarias, eléctric</w:t>
      </w:r>
      <w:r w:rsidR="00455D1A">
        <w:rPr>
          <w:rFonts w:eastAsia="Calibri"/>
          <w:szCs w:val="36"/>
          <w:lang w:val="es-DO"/>
        </w:rPr>
        <w:t>as y mecánicas</w:t>
      </w:r>
      <w:r w:rsidRPr="009B4D01">
        <w:rPr>
          <w:rFonts w:eastAsia="Calibri"/>
          <w:szCs w:val="36"/>
          <w:lang w:val="es-DO"/>
        </w:rPr>
        <w:t xml:space="preserve"> y sistemas de climatización, así como reparaciones menores en </w:t>
      </w:r>
      <w:r w:rsidR="00FC0D15">
        <w:rPr>
          <w:rFonts w:eastAsia="Calibri"/>
          <w:szCs w:val="36"/>
          <w:lang w:val="es-DO"/>
        </w:rPr>
        <w:t>techos</w:t>
      </w:r>
      <w:r w:rsidRPr="009B4D01">
        <w:rPr>
          <w:rFonts w:eastAsia="Calibri"/>
          <w:szCs w:val="36"/>
          <w:lang w:val="es-DO"/>
        </w:rPr>
        <w:t>, cerramientos, carpinterías, luminarias, drenajes y áreas de uso público.</w:t>
      </w:r>
      <w:r w:rsidR="00FE4982">
        <w:rPr>
          <w:rFonts w:eastAsia="Calibri"/>
          <w:szCs w:val="36"/>
          <w:lang w:val="es-DO"/>
        </w:rPr>
        <w:t xml:space="preserve"> Se observa que el 90% del gasto se realiza en acciones de revisiones periódicas y reparaciones menores en las edificaciones que albergan las colecciones</w:t>
      </w:r>
    </w:p>
    <w:p w14:paraId="401EDF6D" w14:textId="705D50AC" w:rsidR="00C73829" w:rsidRDefault="008B3681" w:rsidP="0051780E">
      <w:pPr>
        <w:spacing w:after="0" w:line="360" w:lineRule="auto"/>
        <w:jc w:val="both"/>
        <w:rPr>
          <w:rFonts w:eastAsia="Calibri"/>
          <w:szCs w:val="36"/>
          <w:lang w:val="es-DO"/>
        </w:rPr>
      </w:pPr>
      <w:r>
        <w:rPr>
          <w:noProof/>
        </w:rPr>
        <w:lastRenderedPageBreak/>
        <w:drawing>
          <wp:inline distT="0" distB="0" distL="0" distR="0" wp14:anchorId="46ECBD36" wp14:editId="6095477B">
            <wp:extent cx="5086350" cy="3250346"/>
            <wp:effectExtent l="0" t="0" r="0" b="7620"/>
            <wp:docPr id="299182541" name="Gráfico 1">
              <a:extLst xmlns:a="http://schemas.openxmlformats.org/drawingml/2006/main">
                <a:ext uri="{FF2B5EF4-FFF2-40B4-BE49-F238E27FC236}">
                  <a16:creationId xmlns:a16="http://schemas.microsoft.com/office/drawing/2014/main" id="{07F5A50A-EB55-4D9C-8D15-4DA5A926E9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FD55099" w14:textId="33A08305" w:rsidR="00C73829" w:rsidRPr="00EC7C52" w:rsidRDefault="00EC7C52" w:rsidP="0051780E">
      <w:pPr>
        <w:spacing w:after="0" w:line="360" w:lineRule="auto"/>
        <w:jc w:val="both"/>
        <w:rPr>
          <w:rFonts w:eastAsia="Calibri"/>
          <w:i/>
          <w:iCs/>
          <w:sz w:val="22"/>
          <w:szCs w:val="32"/>
          <w:lang w:val="es-DO"/>
        </w:rPr>
      </w:pPr>
      <w:r w:rsidRPr="00EC7C52">
        <w:rPr>
          <w:rFonts w:eastAsia="Calibri"/>
          <w:i/>
          <w:iCs/>
          <w:sz w:val="22"/>
          <w:szCs w:val="32"/>
          <w:lang w:val="es-DO"/>
        </w:rPr>
        <w:t xml:space="preserve">Gráfica </w:t>
      </w:r>
      <w:r>
        <w:rPr>
          <w:rFonts w:eastAsia="Calibri"/>
          <w:i/>
          <w:iCs/>
          <w:sz w:val="22"/>
          <w:szCs w:val="32"/>
          <w:lang w:val="es-DO"/>
        </w:rPr>
        <w:t>3</w:t>
      </w:r>
      <w:r w:rsidRPr="00EC7C52">
        <w:rPr>
          <w:rFonts w:eastAsia="Calibri"/>
          <w:i/>
          <w:iCs/>
          <w:sz w:val="22"/>
          <w:szCs w:val="32"/>
          <w:lang w:val="es-DO"/>
        </w:rPr>
        <w:t xml:space="preserve">. </w:t>
      </w:r>
      <w:r>
        <w:rPr>
          <w:rFonts w:eastAsia="Calibri"/>
          <w:i/>
          <w:iCs/>
          <w:sz w:val="22"/>
          <w:szCs w:val="32"/>
          <w:lang w:val="es-DO"/>
        </w:rPr>
        <w:t>Distribución porcentual del gasto de mantenimiento</w:t>
      </w:r>
      <w:r w:rsidRPr="00EC7C52">
        <w:rPr>
          <w:rFonts w:eastAsia="Calibri"/>
          <w:i/>
          <w:iCs/>
          <w:sz w:val="22"/>
          <w:szCs w:val="32"/>
          <w:lang w:val="es-DO"/>
        </w:rPr>
        <w:t>, año 2025</w:t>
      </w:r>
      <w:r w:rsidR="005E0322">
        <w:rPr>
          <w:rFonts w:eastAsia="Calibri"/>
          <w:i/>
          <w:iCs/>
          <w:sz w:val="22"/>
          <w:szCs w:val="32"/>
          <w:lang w:val="es-DO"/>
        </w:rPr>
        <w:t>. Fuente: elaboración propia a partir de SIGEF</w:t>
      </w:r>
    </w:p>
    <w:p w14:paraId="01715911" w14:textId="77777777" w:rsidR="00C73829" w:rsidRPr="009B4D01" w:rsidRDefault="00C73829" w:rsidP="0051780E">
      <w:pPr>
        <w:spacing w:after="0" w:line="360" w:lineRule="auto"/>
        <w:jc w:val="both"/>
        <w:rPr>
          <w:rFonts w:eastAsia="Calibri"/>
          <w:szCs w:val="36"/>
          <w:lang w:val="es-DO"/>
        </w:rPr>
      </w:pPr>
    </w:p>
    <w:p w14:paraId="50A7891F" w14:textId="26CC795F" w:rsidR="00D62B6F" w:rsidRDefault="009B4D01" w:rsidP="00427D27">
      <w:pPr>
        <w:spacing w:line="360" w:lineRule="auto"/>
        <w:jc w:val="both"/>
        <w:rPr>
          <w:rFonts w:eastAsia="Calibri"/>
          <w:szCs w:val="36"/>
          <w:lang w:val="es-DO"/>
        </w:rPr>
      </w:pPr>
      <w:r w:rsidRPr="0002562F">
        <w:rPr>
          <w:rFonts w:eastAsia="Calibri"/>
          <w:szCs w:val="36"/>
          <w:lang w:val="es-DO"/>
        </w:rPr>
        <w:t>Estas acciones permitieron atender de manera oportuna necesidades recurrentes derivadas del uso continuo, de la antigüedad de los inmuebles y de las condiciones ambientales, fortaleciendo la continuidad de los servicios museísticos y la seguridad de visitantes, personal y bienes culturales</w:t>
      </w:r>
      <w:r w:rsidR="00DF6E44">
        <w:rPr>
          <w:rFonts w:eastAsia="Calibri"/>
          <w:szCs w:val="36"/>
          <w:lang w:val="es-DO"/>
        </w:rPr>
        <w:t>.</w:t>
      </w:r>
      <w:r w:rsidRPr="0002562F">
        <w:rPr>
          <w:rFonts w:eastAsia="Calibri"/>
          <w:szCs w:val="36"/>
          <w:lang w:val="es-DO"/>
        </w:rPr>
        <w:t xml:space="preserve"> </w:t>
      </w:r>
    </w:p>
    <w:p w14:paraId="30F4DE89" w14:textId="77777777" w:rsidR="008A4CB2" w:rsidRDefault="008A4CB2" w:rsidP="00427D27">
      <w:pPr>
        <w:spacing w:line="360" w:lineRule="auto"/>
        <w:jc w:val="center"/>
        <w:rPr>
          <w:rFonts w:eastAsia="Calibri"/>
          <w:b/>
          <w:bCs/>
          <w:szCs w:val="36"/>
          <w:lang w:val="es-DO"/>
        </w:rPr>
      </w:pPr>
      <w:r w:rsidRPr="008A4CB2">
        <w:rPr>
          <w:rFonts w:eastAsia="Calibri"/>
          <w:b/>
          <w:bCs/>
          <w:szCs w:val="36"/>
          <w:lang w:val="es-DO"/>
        </w:rPr>
        <w:t>Intervenciones de acondicionamiento, consolidación y restauración de la infraestructura museística</w:t>
      </w:r>
    </w:p>
    <w:p w14:paraId="2E7797FE" w14:textId="77777777" w:rsidR="00826596" w:rsidRDefault="00826596" w:rsidP="00427D27">
      <w:pPr>
        <w:spacing w:line="360" w:lineRule="auto"/>
        <w:jc w:val="both"/>
        <w:rPr>
          <w:rFonts w:eastAsia="Calibri"/>
          <w:szCs w:val="36"/>
          <w:lang w:val="es-DO"/>
        </w:rPr>
      </w:pPr>
      <w:r w:rsidRPr="00826596">
        <w:rPr>
          <w:rFonts w:eastAsia="Calibri"/>
          <w:szCs w:val="36"/>
          <w:lang w:val="es-DO"/>
        </w:rPr>
        <w:t xml:space="preserve">Otro aspecto relevante de la gestión institucional durante el año 2025 fue el acondicionamiento funcional de la infraestructura de los inmuebles museísticos, orientado a adecuar los espacios a las necesidades operativas, museográficas y de atención al público. </w:t>
      </w:r>
    </w:p>
    <w:p w14:paraId="0BE10972" w14:textId="7D339069" w:rsidR="00D20E3C" w:rsidRDefault="00826596" w:rsidP="00427D27">
      <w:pPr>
        <w:spacing w:line="360" w:lineRule="auto"/>
        <w:jc w:val="both"/>
        <w:rPr>
          <w:rFonts w:eastAsia="Calibri"/>
          <w:szCs w:val="36"/>
          <w:lang w:val="es-DO"/>
        </w:rPr>
      </w:pPr>
      <w:r w:rsidRPr="00826596">
        <w:rPr>
          <w:rFonts w:eastAsia="Calibri"/>
          <w:szCs w:val="36"/>
          <w:lang w:val="es-DO"/>
        </w:rPr>
        <w:t xml:space="preserve">En este contexto, la Dirección General de Museos gestionó y articuló intervenciones de infraestructura museística por </w:t>
      </w:r>
      <w:r w:rsidRPr="005E0322">
        <w:rPr>
          <w:rFonts w:eastAsia="Calibri"/>
          <w:b/>
          <w:bCs/>
          <w:szCs w:val="36"/>
          <w:lang w:val="es-DO"/>
        </w:rPr>
        <w:t xml:space="preserve">un monto total </w:t>
      </w:r>
      <w:r w:rsidRPr="005E0322">
        <w:rPr>
          <w:rFonts w:eastAsia="Calibri"/>
          <w:b/>
          <w:bCs/>
          <w:szCs w:val="36"/>
          <w:lang w:val="es-DO"/>
        </w:rPr>
        <w:lastRenderedPageBreak/>
        <w:t>identificado de RD$76,639,009.58</w:t>
      </w:r>
      <w:r w:rsidRPr="00826596">
        <w:rPr>
          <w:rFonts w:eastAsia="Calibri"/>
          <w:szCs w:val="36"/>
          <w:lang w:val="es-DO"/>
        </w:rPr>
        <w:t>, impactando de manera directa alrededor de una decena de museos bajo su ámbito de intervención.</w:t>
      </w:r>
    </w:p>
    <w:p w14:paraId="6E56D67E" w14:textId="27E5C472" w:rsidR="00A94E2E" w:rsidRDefault="00826596" w:rsidP="00427D27">
      <w:pPr>
        <w:spacing w:line="360" w:lineRule="auto"/>
        <w:jc w:val="both"/>
        <w:rPr>
          <w:rFonts w:eastAsia="Calibri"/>
          <w:szCs w:val="36"/>
          <w:lang w:val="es-DO"/>
        </w:rPr>
      </w:pPr>
      <w:r w:rsidRPr="00826596">
        <w:rPr>
          <w:rFonts w:eastAsia="Calibri"/>
          <w:szCs w:val="36"/>
          <w:lang w:val="es-DO"/>
        </w:rPr>
        <w:t>Estas acciones</w:t>
      </w:r>
      <w:r w:rsidR="00D20E3C">
        <w:rPr>
          <w:rFonts w:eastAsia="Calibri"/>
          <w:szCs w:val="36"/>
          <w:lang w:val="es-DO"/>
        </w:rPr>
        <w:t xml:space="preserve">, algunas en fase de ejecución aun, </w:t>
      </w:r>
      <w:r w:rsidRPr="00826596">
        <w:rPr>
          <w:rFonts w:eastAsia="Calibri"/>
          <w:szCs w:val="36"/>
          <w:lang w:val="es-DO"/>
        </w:rPr>
        <w:t>se enfocaron en el acondicionamiento de áreas interiores y exteriores, la habilitación de espacios para nuevas propuestas expositivas y la preparación de inmuebles para procesos de intervención museográfica y conservación de colecciones, contribuyendo a mejorar la funcionalidad de los espacios y la experiencia de los visitantes.</w:t>
      </w:r>
    </w:p>
    <w:p w14:paraId="465DDFD7" w14:textId="77777777" w:rsidR="00AF1C46" w:rsidRDefault="00AF1C46" w:rsidP="00427D27">
      <w:pPr>
        <w:spacing w:line="360" w:lineRule="auto"/>
        <w:jc w:val="both"/>
        <w:rPr>
          <w:rFonts w:eastAsia="Calibri"/>
          <w:szCs w:val="36"/>
          <w:lang w:val="es-DO"/>
        </w:rPr>
      </w:pPr>
      <w:r w:rsidRPr="00AF1C46">
        <w:rPr>
          <w:rFonts w:eastAsia="Calibri"/>
          <w:szCs w:val="36"/>
          <w:lang w:val="es-DO"/>
        </w:rPr>
        <w:t xml:space="preserve">El cuadro que se presenta a continuación sintetiza las principales intervenciones de acondicionamiento, consolidación y restauración de infraestructura ejecutadas o en proceso durante el año 2025, detallando las actividades realizadas, los museos intervenidos, las fuentes de financiamiento, los montos identificados y el nivel de avance de cada proyecto. </w:t>
      </w:r>
    </w:p>
    <w:p w14:paraId="14D29F9D" w14:textId="1E588E75" w:rsidR="00A94E2E" w:rsidRPr="00AF1C46" w:rsidRDefault="00AF1C46" w:rsidP="00427D27">
      <w:pPr>
        <w:spacing w:line="360" w:lineRule="auto"/>
        <w:jc w:val="both"/>
        <w:rPr>
          <w:rFonts w:eastAsia="Calibri"/>
          <w:szCs w:val="36"/>
          <w:lang w:val="es-DO"/>
        </w:rPr>
      </w:pPr>
      <w:r w:rsidRPr="00AF1C46">
        <w:rPr>
          <w:rFonts w:eastAsia="Calibri"/>
          <w:szCs w:val="36"/>
          <w:lang w:val="es-DO"/>
        </w:rPr>
        <w:t>Este registro permite visualizar de manera integrada el esfuerzo institucional y la diversidad de actores públicos y privados que han contribuido al fortalecimiento de la infraestructura museística nacional.</w:t>
      </w:r>
    </w:p>
    <w:tbl>
      <w:tblPr>
        <w:tblW w:w="8075" w:type="dxa"/>
        <w:tblCellMar>
          <w:left w:w="70" w:type="dxa"/>
          <w:right w:w="70" w:type="dxa"/>
        </w:tblCellMar>
        <w:tblLook w:val="04A0" w:firstRow="1" w:lastRow="0" w:firstColumn="1" w:lastColumn="0" w:noHBand="0" w:noVBand="1"/>
      </w:tblPr>
      <w:tblGrid>
        <w:gridCol w:w="3397"/>
        <w:gridCol w:w="1867"/>
        <w:gridCol w:w="1686"/>
        <w:gridCol w:w="1125"/>
      </w:tblGrid>
      <w:tr w:rsidR="00E31C70" w:rsidRPr="00E31C70" w14:paraId="25FA991B" w14:textId="77777777" w:rsidTr="000847F1">
        <w:trPr>
          <w:trHeight w:val="312"/>
          <w:tblHeader/>
        </w:trPr>
        <w:tc>
          <w:tcPr>
            <w:tcW w:w="3397"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730FA7F" w14:textId="77777777" w:rsidR="00E31C70" w:rsidRPr="00E31C70" w:rsidRDefault="00E31C70" w:rsidP="00E31C70">
            <w:pPr>
              <w:spacing w:after="0" w:line="240" w:lineRule="auto"/>
              <w:jc w:val="center"/>
              <w:rPr>
                <w:rFonts w:eastAsia="Times New Roman"/>
                <w:b/>
                <w:bCs/>
                <w:color w:val="FFFFFF"/>
                <w:spacing w:val="0"/>
                <w:lang w:val="es-MX" w:eastAsia="es-MX"/>
              </w:rPr>
            </w:pPr>
            <w:r w:rsidRPr="00E31C70">
              <w:rPr>
                <w:rFonts w:eastAsia="Times New Roman"/>
                <w:b/>
                <w:bCs/>
                <w:color w:val="FFFFFF"/>
                <w:spacing w:val="0"/>
                <w:lang w:val="es-MX" w:eastAsia="es-MX"/>
              </w:rPr>
              <w:t>Actividad Realizada</w:t>
            </w:r>
          </w:p>
        </w:tc>
        <w:tc>
          <w:tcPr>
            <w:tcW w:w="1867" w:type="dxa"/>
            <w:tcBorders>
              <w:top w:val="single" w:sz="4" w:space="0" w:color="auto"/>
              <w:left w:val="nil"/>
              <w:bottom w:val="single" w:sz="4" w:space="0" w:color="auto"/>
              <w:right w:val="single" w:sz="4" w:space="0" w:color="auto"/>
            </w:tcBorders>
            <w:shd w:val="clear" w:color="000000" w:fill="002060"/>
            <w:noWrap/>
            <w:vAlign w:val="center"/>
            <w:hideMark/>
          </w:tcPr>
          <w:p w14:paraId="4D06940E" w14:textId="77777777" w:rsidR="00E31C70" w:rsidRPr="00E31C70" w:rsidRDefault="00E31C70" w:rsidP="00E31C70">
            <w:pPr>
              <w:spacing w:after="0" w:line="240" w:lineRule="auto"/>
              <w:jc w:val="center"/>
              <w:rPr>
                <w:rFonts w:eastAsia="Times New Roman"/>
                <w:b/>
                <w:bCs/>
                <w:color w:val="FFFFFF"/>
                <w:spacing w:val="0"/>
                <w:lang w:val="es-MX" w:eastAsia="es-MX"/>
              </w:rPr>
            </w:pPr>
            <w:r w:rsidRPr="00E31C70">
              <w:rPr>
                <w:rFonts w:eastAsia="Times New Roman"/>
                <w:b/>
                <w:bCs/>
                <w:color w:val="FFFFFF"/>
                <w:spacing w:val="0"/>
                <w:lang w:val="es-MX" w:eastAsia="es-MX"/>
              </w:rPr>
              <w:t>Fuente de Recursos</w:t>
            </w:r>
          </w:p>
        </w:tc>
        <w:tc>
          <w:tcPr>
            <w:tcW w:w="1686" w:type="dxa"/>
            <w:tcBorders>
              <w:top w:val="single" w:sz="4" w:space="0" w:color="auto"/>
              <w:left w:val="nil"/>
              <w:bottom w:val="single" w:sz="4" w:space="0" w:color="auto"/>
              <w:right w:val="single" w:sz="4" w:space="0" w:color="auto"/>
            </w:tcBorders>
            <w:shd w:val="clear" w:color="000000" w:fill="002060"/>
            <w:noWrap/>
            <w:vAlign w:val="center"/>
            <w:hideMark/>
          </w:tcPr>
          <w:p w14:paraId="106AC697" w14:textId="77777777" w:rsidR="00E31C70" w:rsidRPr="00E31C70" w:rsidRDefault="00E31C70" w:rsidP="00E31C70">
            <w:pPr>
              <w:spacing w:after="0" w:line="240" w:lineRule="auto"/>
              <w:jc w:val="center"/>
              <w:rPr>
                <w:rFonts w:eastAsia="Times New Roman"/>
                <w:b/>
                <w:bCs/>
                <w:color w:val="FFFFFF"/>
                <w:spacing w:val="0"/>
                <w:lang w:val="es-MX" w:eastAsia="es-MX"/>
              </w:rPr>
            </w:pPr>
            <w:r w:rsidRPr="00E31C70">
              <w:rPr>
                <w:rFonts w:eastAsia="Times New Roman"/>
                <w:b/>
                <w:bCs/>
                <w:color w:val="FFFFFF"/>
                <w:spacing w:val="0"/>
                <w:lang w:val="es-MX" w:eastAsia="es-MX"/>
              </w:rPr>
              <w:t>Monto (RD$)</w:t>
            </w:r>
          </w:p>
        </w:tc>
        <w:tc>
          <w:tcPr>
            <w:tcW w:w="1125" w:type="dxa"/>
            <w:tcBorders>
              <w:top w:val="single" w:sz="4" w:space="0" w:color="auto"/>
              <w:left w:val="nil"/>
              <w:bottom w:val="single" w:sz="4" w:space="0" w:color="auto"/>
              <w:right w:val="single" w:sz="4" w:space="0" w:color="auto"/>
            </w:tcBorders>
            <w:shd w:val="clear" w:color="000000" w:fill="002060"/>
            <w:noWrap/>
            <w:vAlign w:val="center"/>
            <w:hideMark/>
          </w:tcPr>
          <w:p w14:paraId="6B5138BD" w14:textId="77777777" w:rsidR="00E31C70" w:rsidRPr="00E31C70" w:rsidRDefault="00E31C70" w:rsidP="00E31C70">
            <w:pPr>
              <w:spacing w:after="0" w:line="240" w:lineRule="auto"/>
              <w:jc w:val="center"/>
              <w:rPr>
                <w:rFonts w:eastAsia="Times New Roman"/>
                <w:b/>
                <w:bCs/>
                <w:color w:val="FFFFFF"/>
                <w:spacing w:val="0"/>
                <w:lang w:val="es-MX" w:eastAsia="es-MX"/>
              </w:rPr>
            </w:pPr>
            <w:r w:rsidRPr="00E31C70">
              <w:rPr>
                <w:rFonts w:eastAsia="Times New Roman"/>
                <w:b/>
                <w:bCs/>
                <w:color w:val="FFFFFF"/>
                <w:spacing w:val="0"/>
                <w:lang w:val="es-MX" w:eastAsia="es-MX"/>
              </w:rPr>
              <w:t>Avance</w:t>
            </w:r>
          </w:p>
        </w:tc>
      </w:tr>
      <w:tr w:rsidR="00E31C70" w:rsidRPr="00E31C70" w14:paraId="61B50D62" w14:textId="77777777" w:rsidTr="00E31C70">
        <w:trPr>
          <w:trHeight w:val="624"/>
        </w:trPr>
        <w:tc>
          <w:tcPr>
            <w:tcW w:w="3397" w:type="dxa"/>
            <w:tcBorders>
              <w:top w:val="nil"/>
              <w:left w:val="single" w:sz="4" w:space="0" w:color="auto"/>
              <w:bottom w:val="single" w:sz="4" w:space="0" w:color="auto"/>
              <w:right w:val="single" w:sz="4" w:space="0" w:color="auto"/>
            </w:tcBorders>
            <w:vAlign w:val="center"/>
            <w:hideMark/>
          </w:tcPr>
          <w:p w14:paraId="19D070C2" w14:textId="0E68D853"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Artesonado Vigas y techo policromático del Museo Alcázar de Colón</w:t>
            </w:r>
          </w:p>
        </w:tc>
        <w:tc>
          <w:tcPr>
            <w:tcW w:w="1867" w:type="dxa"/>
            <w:tcBorders>
              <w:top w:val="nil"/>
              <w:left w:val="nil"/>
              <w:bottom w:val="single" w:sz="4" w:space="0" w:color="auto"/>
              <w:right w:val="single" w:sz="4" w:space="0" w:color="auto"/>
            </w:tcBorders>
            <w:vAlign w:val="center"/>
            <w:hideMark/>
          </w:tcPr>
          <w:p w14:paraId="6C82950C"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CEIZTUR</w:t>
            </w:r>
          </w:p>
        </w:tc>
        <w:tc>
          <w:tcPr>
            <w:tcW w:w="1686" w:type="dxa"/>
            <w:tcBorders>
              <w:top w:val="nil"/>
              <w:left w:val="nil"/>
              <w:bottom w:val="single" w:sz="4" w:space="0" w:color="auto"/>
              <w:right w:val="single" w:sz="4" w:space="0" w:color="auto"/>
            </w:tcBorders>
            <w:noWrap/>
            <w:vAlign w:val="center"/>
            <w:hideMark/>
          </w:tcPr>
          <w:p w14:paraId="689CCDA4"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3,679,610.93</w:t>
            </w:r>
          </w:p>
        </w:tc>
        <w:tc>
          <w:tcPr>
            <w:tcW w:w="1125" w:type="dxa"/>
            <w:tcBorders>
              <w:top w:val="nil"/>
              <w:left w:val="nil"/>
              <w:bottom w:val="single" w:sz="4" w:space="0" w:color="auto"/>
              <w:right w:val="single" w:sz="4" w:space="0" w:color="auto"/>
            </w:tcBorders>
            <w:vAlign w:val="center"/>
            <w:hideMark/>
          </w:tcPr>
          <w:p w14:paraId="6289F626"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100%</w:t>
            </w:r>
          </w:p>
        </w:tc>
      </w:tr>
      <w:tr w:rsidR="00E31C70" w:rsidRPr="00E31C70" w14:paraId="23AAECEA" w14:textId="77777777" w:rsidTr="00E31C70">
        <w:trPr>
          <w:trHeight w:val="624"/>
        </w:trPr>
        <w:tc>
          <w:tcPr>
            <w:tcW w:w="3397" w:type="dxa"/>
            <w:tcBorders>
              <w:top w:val="nil"/>
              <w:left w:val="single" w:sz="4" w:space="0" w:color="auto"/>
              <w:bottom w:val="single" w:sz="4" w:space="0" w:color="auto"/>
              <w:right w:val="single" w:sz="4" w:space="0" w:color="auto"/>
            </w:tcBorders>
            <w:vAlign w:val="center"/>
            <w:hideMark/>
          </w:tcPr>
          <w:p w14:paraId="79CF52EC"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Restauración y remozamiento del Museo Alcázar de Colón</w:t>
            </w:r>
          </w:p>
        </w:tc>
        <w:tc>
          <w:tcPr>
            <w:tcW w:w="1867" w:type="dxa"/>
            <w:tcBorders>
              <w:top w:val="nil"/>
              <w:left w:val="nil"/>
              <w:bottom w:val="single" w:sz="4" w:space="0" w:color="auto"/>
              <w:right w:val="single" w:sz="4" w:space="0" w:color="auto"/>
            </w:tcBorders>
            <w:vAlign w:val="center"/>
            <w:hideMark/>
          </w:tcPr>
          <w:p w14:paraId="21AD1E46"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PIDTUCCSD</w:t>
            </w:r>
          </w:p>
        </w:tc>
        <w:tc>
          <w:tcPr>
            <w:tcW w:w="1686" w:type="dxa"/>
            <w:tcBorders>
              <w:top w:val="nil"/>
              <w:left w:val="nil"/>
              <w:bottom w:val="single" w:sz="4" w:space="0" w:color="auto"/>
              <w:right w:val="single" w:sz="4" w:space="0" w:color="auto"/>
            </w:tcBorders>
            <w:noWrap/>
            <w:vAlign w:val="center"/>
            <w:hideMark/>
          </w:tcPr>
          <w:p w14:paraId="096F24B2"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N/D</w:t>
            </w:r>
          </w:p>
        </w:tc>
        <w:tc>
          <w:tcPr>
            <w:tcW w:w="1125" w:type="dxa"/>
            <w:tcBorders>
              <w:top w:val="nil"/>
              <w:left w:val="nil"/>
              <w:bottom w:val="single" w:sz="4" w:space="0" w:color="auto"/>
              <w:right w:val="single" w:sz="4" w:space="0" w:color="auto"/>
            </w:tcBorders>
            <w:vAlign w:val="center"/>
            <w:hideMark/>
          </w:tcPr>
          <w:p w14:paraId="07DF7C29"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80%</w:t>
            </w:r>
          </w:p>
        </w:tc>
      </w:tr>
      <w:tr w:rsidR="00E31C70" w:rsidRPr="00E31C70" w14:paraId="65A95A2D" w14:textId="77777777" w:rsidTr="00E31C70">
        <w:trPr>
          <w:trHeight w:val="624"/>
        </w:trPr>
        <w:tc>
          <w:tcPr>
            <w:tcW w:w="3397" w:type="dxa"/>
            <w:tcBorders>
              <w:top w:val="nil"/>
              <w:left w:val="single" w:sz="4" w:space="0" w:color="auto"/>
              <w:bottom w:val="single" w:sz="4" w:space="0" w:color="auto"/>
              <w:right w:val="single" w:sz="4" w:space="0" w:color="auto"/>
            </w:tcBorders>
            <w:vAlign w:val="center"/>
            <w:hideMark/>
          </w:tcPr>
          <w:p w14:paraId="6F4F9370"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Cerramiento de lobby y habilitación Sala Inmersiva Museo Monumento a los Héroes de la Restauración</w:t>
            </w:r>
          </w:p>
        </w:tc>
        <w:tc>
          <w:tcPr>
            <w:tcW w:w="1867" w:type="dxa"/>
            <w:tcBorders>
              <w:top w:val="nil"/>
              <w:left w:val="nil"/>
              <w:bottom w:val="single" w:sz="4" w:space="0" w:color="auto"/>
              <w:right w:val="single" w:sz="4" w:space="0" w:color="auto"/>
            </w:tcBorders>
            <w:noWrap/>
            <w:vAlign w:val="center"/>
            <w:hideMark/>
          </w:tcPr>
          <w:p w14:paraId="5AD825FF"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3,141,500.00</w:t>
            </w:r>
          </w:p>
        </w:tc>
        <w:tc>
          <w:tcPr>
            <w:tcW w:w="1686" w:type="dxa"/>
            <w:tcBorders>
              <w:top w:val="nil"/>
              <w:left w:val="nil"/>
              <w:bottom w:val="single" w:sz="4" w:space="0" w:color="auto"/>
              <w:right w:val="single" w:sz="4" w:space="0" w:color="auto"/>
            </w:tcBorders>
            <w:vAlign w:val="center"/>
            <w:hideMark/>
          </w:tcPr>
          <w:p w14:paraId="3136A0A6"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PROCIGAR</w:t>
            </w:r>
          </w:p>
        </w:tc>
        <w:tc>
          <w:tcPr>
            <w:tcW w:w="1125" w:type="dxa"/>
            <w:tcBorders>
              <w:top w:val="nil"/>
              <w:left w:val="nil"/>
              <w:bottom w:val="single" w:sz="4" w:space="0" w:color="auto"/>
              <w:right w:val="single" w:sz="4" w:space="0" w:color="auto"/>
            </w:tcBorders>
            <w:vAlign w:val="center"/>
            <w:hideMark/>
          </w:tcPr>
          <w:p w14:paraId="17BDC132"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100%</w:t>
            </w:r>
          </w:p>
        </w:tc>
      </w:tr>
      <w:tr w:rsidR="00E31C70" w:rsidRPr="00E31C70" w14:paraId="75D6726C" w14:textId="77777777" w:rsidTr="00E31C70">
        <w:trPr>
          <w:trHeight w:val="794"/>
        </w:trPr>
        <w:tc>
          <w:tcPr>
            <w:tcW w:w="3397" w:type="dxa"/>
            <w:tcBorders>
              <w:top w:val="nil"/>
              <w:left w:val="single" w:sz="4" w:space="0" w:color="auto"/>
              <w:bottom w:val="single" w:sz="4" w:space="0" w:color="auto"/>
              <w:right w:val="single" w:sz="4" w:space="0" w:color="auto"/>
            </w:tcBorders>
            <w:vAlign w:val="center"/>
            <w:hideMark/>
          </w:tcPr>
          <w:p w14:paraId="2CF56756"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Habilitación Mediateca Aquiles Azar, Museo de Arte Moderno</w:t>
            </w:r>
          </w:p>
        </w:tc>
        <w:tc>
          <w:tcPr>
            <w:tcW w:w="1867" w:type="dxa"/>
            <w:tcBorders>
              <w:top w:val="nil"/>
              <w:left w:val="nil"/>
              <w:bottom w:val="single" w:sz="4" w:space="0" w:color="auto"/>
              <w:right w:val="single" w:sz="4" w:space="0" w:color="auto"/>
            </w:tcBorders>
            <w:noWrap/>
            <w:vAlign w:val="center"/>
            <w:hideMark/>
          </w:tcPr>
          <w:p w14:paraId="5D8A12CD"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1,500,000.00</w:t>
            </w:r>
          </w:p>
        </w:tc>
        <w:tc>
          <w:tcPr>
            <w:tcW w:w="1686" w:type="dxa"/>
            <w:tcBorders>
              <w:top w:val="nil"/>
              <w:left w:val="nil"/>
              <w:bottom w:val="single" w:sz="4" w:space="0" w:color="auto"/>
              <w:right w:val="single" w:sz="4" w:space="0" w:color="auto"/>
            </w:tcBorders>
            <w:vAlign w:val="center"/>
            <w:hideMark/>
          </w:tcPr>
          <w:p w14:paraId="15002408"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Grupo Popular/ Fundación Propagas/DGM</w:t>
            </w:r>
          </w:p>
        </w:tc>
        <w:tc>
          <w:tcPr>
            <w:tcW w:w="1125" w:type="dxa"/>
            <w:tcBorders>
              <w:top w:val="nil"/>
              <w:left w:val="nil"/>
              <w:bottom w:val="single" w:sz="4" w:space="0" w:color="auto"/>
              <w:right w:val="single" w:sz="4" w:space="0" w:color="auto"/>
            </w:tcBorders>
            <w:vAlign w:val="center"/>
            <w:hideMark/>
          </w:tcPr>
          <w:p w14:paraId="41730D6A"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100%</w:t>
            </w:r>
          </w:p>
        </w:tc>
      </w:tr>
      <w:tr w:rsidR="00E31C70" w:rsidRPr="00E31C70" w14:paraId="4A4A1340" w14:textId="77777777" w:rsidTr="00E31C70">
        <w:trPr>
          <w:trHeight w:val="624"/>
        </w:trPr>
        <w:tc>
          <w:tcPr>
            <w:tcW w:w="3397" w:type="dxa"/>
            <w:tcBorders>
              <w:top w:val="nil"/>
              <w:left w:val="single" w:sz="4" w:space="0" w:color="auto"/>
              <w:bottom w:val="single" w:sz="4" w:space="0" w:color="auto"/>
              <w:right w:val="single" w:sz="4" w:space="0" w:color="auto"/>
            </w:tcBorders>
            <w:vAlign w:val="center"/>
            <w:hideMark/>
          </w:tcPr>
          <w:p w14:paraId="3EF08E0C"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Revegetación y acondicionamiento jardines del Museo Monumento a los Héroes de la Restauración</w:t>
            </w:r>
          </w:p>
        </w:tc>
        <w:tc>
          <w:tcPr>
            <w:tcW w:w="1867" w:type="dxa"/>
            <w:tcBorders>
              <w:top w:val="nil"/>
              <w:left w:val="nil"/>
              <w:bottom w:val="single" w:sz="4" w:space="0" w:color="auto"/>
              <w:right w:val="single" w:sz="4" w:space="0" w:color="auto"/>
            </w:tcBorders>
            <w:noWrap/>
            <w:vAlign w:val="center"/>
            <w:hideMark/>
          </w:tcPr>
          <w:p w14:paraId="2D864318"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4,200,000.00</w:t>
            </w:r>
          </w:p>
        </w:tc>
        <w:tc>
          <w:tcPr>
            <w:tcW w:w="1686" w:type="dxa"/>
            <w:tcBorders>
              <w:top w:val="nil"/>
              <w:left w:val="nil"/>
              <w:bottom w:val="single" w:sz="4" w:space="0" w:color="auto"/>
              <w:right w:val="single" w:sz="4" w:space="0" w:color="auto"/>
            </w:tcBorders>
            <w:vAlign w:val="center"/>
            <w:hideMark/>
          </w:tcPr>
          <w:p w14:paraId="12C8B64E"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Vicepresidencia de la República</w:t>
            </w:r>
          </w:p>
        </w:tc>
        <w:tc>
          <w:tcPr>
            <w:tcW w:w="1125" w:type="dxa"/>
            <w:tcBorders>
              <w:top w:val="nil"/>
              <w:left w:val="nil"/>
              <w:bottom w:val="single" w:sz="4" w:space="0" w:color="auto"/>
              <w:right w:val="single" w:sz="4" w:space="0" w:color="auto"/>
            </w:tcBorders>
            <w:vAlign w:val="center"/>
            <w:hideMark/>
          </w:tcPr>
          <w:p w14:paraId="390685DC"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100%</w:t>
            </w:r>
          </w:p>
        </w:tc>
      </w:tr>
      <w:tr w:rsidR="00E31C70" w:rsidRPr="00E31C70" w14:paraId="2E621DC5" w14:textId="77777777" w:rsidTr="00E31C70">
        <w:trPr>
          <w:trHeight w:val="948"/>
        </w:trPr>
        <w:tc>
          <w:tcPr>
            <w:tcW w:w="3397" w:type="dxa"/>
            <w:tcBorders>
              <w:top w:val="nil"/>
              <w:left w:val="single" w:sz="4" w:space="0" w:color="auto"/>
              <w:bottom w:val="single" w:sz="4" w:space="0" w:color="auto"/>
              <w:right w:val="single" w:sz="4" w:space="0" w:color="auto"/>
            </w:tcBorders>
            <w:vAlign w:val="center"/>
            <w:hideMark/>
          </w:tcPr>
          <w:p w14:paraId="16D15F49"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lastRenderedPageBreak/>
              <w:t>Construcción pozo tubular para mantenimiento de jardines Museo Monumento a los Héroes de la Restauración</w:t>
            </w:r>
          </w:p>
        </w:tc>
        <w:tc>
          <w:tcPr>
            <w:tcW w:w="1867" w:type="dxa"/>
            <w:tcBorders>
              <w:top w:val="nil"/>
              <w:left w:val="nil"/>
              <w:bottom w:val="single" w:sz="4" w:space="0" w:color="auto"/>
              <w:right w:val="single" w:sz="4" w:space="0" w:color="auto"/>
            </w:tcBorders>
            <w:vAlign w:val="center"/>
            <w:hideMark/>
          </w:tcPr>
          <w:p w14:paraId="79412F9C"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Fideicomiso de Transporte Masivo/ Vicepresidencia</w:t>
            </w:r>
          </w:p>
        </w:tc>
        <w:tc>
          <w:tcPr>
            <w:tcW w:w="1686" w:type="dxa"/>
            <w:tcBorders>
              <w:top w:val="nil"/>
              <w:left w:val="nil"/>
              <w:bottom w:val="single" w:sz="4" w:space="0" w:color="auto"/>
              <w:right w:val="single" w:sz="4" w:space="0" w:color="auto"/>
            </w:tcBorders>
            <w:noWrap/>
            <w:vAlign w:val="center"/>
            <w:hideMark/>
          </w:tcPr>
          <w:p w14:paraId="54CC676F"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1,000,000.00</w:t>
            </w:r>
          </w:p>
        </w:tc>
        <w:tc>
          <w:tcPr>
            <w:tcW w:w="1125" w:type="dxa"/>
            <w:tcBorders>
              <w:top w:val="nil"/>
              <w:left w:val="nil"/>
              <w:bottom w:val="single" w:sz="4" w:space="0" w:color="auto"/>
              <w:right w:val="single" w:sz="4" w:space="0" w:color="auto"/>
            </w:tcBorders>
            <w:vAlign w:val="center"/>
            <w:hideMark/>
          </w:tcPr>
          <w:p w14:paraId="40A8FF97"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100%</w:t>
            </w:r>
          </w:p>
        </w:tc>
      </w:tr>
      <w:tr w:rsidR="00E31C70" w:rsidRPr="00E31C70" w14:paraId="05626DB4" w14:textId="77777777" w:rsidTr="00E31C70">
        <w:trPr>
          <w:trHeight w:val="312"/>
        </w:trPr>
        <w:tc>
          <w:tcPr>
            <w:tcW w:w="3397" w:type="dxa"/>
            <w:tcBorders>
              <w:top w:val="nil"/>
              <w:left w:val="single" w:sz="4" w:space="0" w:color="auto"/>
              <w:bottom w:val="single" w:sz="4" w:space="0" w:color="auto"/>
              <w:right w:val="single" w:sz="4" w:space="0" w:color="auto"/>
            </w:tcBorders>
            <w:vAlign w:val="center"/>
            <w:hideMark/>
          </w:tcPr>
          <w:p w14:paraId="051CE736"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Otras adecuaciones menores en varios museos</w:t>
            </w:r>
          </w:p>
        </w:tc>
        <w:tc>
          <w:tcPr>
            <w:tcW w:w="1867" w:type="dxa"/>
            <w:tcBorders>
              <w:top w:val="nil"/>
              <w:left w:val="nil"/>
              <w:bottom w:val="single" w:sz="4" w:space="0" w:color="auto"/>
              <w:right w:val="single" w:sz="4" w:space="0" w:color="auto"/>
            </w:tcBorders>
            <w:vAlign w:val="center"/>
            <w:hideMark/>
          </w:tcPr>
          <w:p w14:paraId="40DEB186"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DGM</w:t>
            </w:r>
          </w:p>
        </w:tc>
        <w:tc>
          <w:tcPr>
            <w:tcW w:w="1686" w:type="dxa"/>
            <w:tcBorders>
              <w:top w:val="nil"/>
              <w:left w:val="nil"/>
              <w:bottom w:val="single" w:sz="4" w:space="0" w:color="auto"/>
              <w:right w:val="single" w:sz="4" w:space="0" w:color="auto"/>
            </w:tcBorders>
            <w:noWrap/>
            <w:vAlign w:val="center"/>
            <w:hideMark/>
          </w:tcPr>
          <w:p w14:paraId="3A4D3048"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534,898.65</w:t>
            </w:r>
          </w:p>
        </w:tc>
        <w:tc>
          <w:tcPr>
            <w:tcW w:w="1125" w:type="dxa"/>
            <w:tcBorders>
              <w:top w:val="nil"/>
              <w:left w:val="nil"/>
              <w:bottom w:val="single" w:sz="4" w:space="0" w:color="auto"/>
              <w:right w:val="single" w:sz="4" w:space="0" w:color="auto"/>
            </w:tcBorders>
            <w:vAlign w:val="center"/>
            <w:hideMark/>
          </w:tcPr>
          <w:p w14:paraId="3E420263"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100%</w:t>
            </w:r>
          </w:p>
        </w:tc>
      </w:tr>
      <w:tr w:rsidR="00E31C70" w:rsidRPr="00E31C70" w14:paraId="0BF4C7DB" w14:textId="77777777" w:rsidTr="00E31C70">
        <w:trPr>
          <w:trHeight w:val="624"/>
        </w:trPr>
        <w:tc>
          <w:tcPr>
            <w:tcW w:w="3397" w:type="dxa"/>
            <w:tcBorders>
              <w:top w:val="nil"/>
              <w:left w:val="single" w:sz="4" w:space="0" w:color="auto"/>
              <w:bottom w:val="single" w:sz="4" w:space="0" w:color="auto"/>
              <w:right w:val="single" w:sz="4" w:space="0" w:color="auto"/>
            </w:tcBorders>
            <w:vAlign w:val="center"/>
            <w:hideMark/>
          </w:tcPr>
          <w:p w14:paraId="2C174EC9"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Reparaciones de filtraciones y acondicionamiento de patio interior Museo de la Familia Dominicana</w:t>
            </w:r>
          </w:p>
        </w:tc>
        <w:tc>
          <w:tcPr>
            <w:tcW w:w="1867" w:type="dxa"/>
            <w:tcBorders>
              <w:top w:val="nil"/>
              <w:left w:val="nil"/>
              <w:bottom w:val="single" w:sz="4" w:space="0" w:color="auto"/>
              <w:right w:val="single" w:sz="4" w:space="0" w:color="auto"/>
            </w:tcBorders>
            <w:vAlign w:val="center"/>
            <w:hideMark/>
          </w:tcPr>
          <w:p w14:paraId="153637EF"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MIVED</w:t>
            </w:r>
          </w:p>
        </w:tc>
        <w:tc>
          <w:tcPr>
            <w:tcW w:w="1686" w:type="dxa"/>
            <w:tcBorders>
              <w:top w:val="nil"/>
              <w:left w:val="nil"/>
              <w:bottom w:val="single" w:sz="4" w:space="0" w:color="auto"/>
              <w:right w:val="single" w:sz="4" w:space="0" w:color="auto"/>
            </w:tcBorders>
            <w:noWrap/>
            <w:vAlign w:val="center"/>
            <w:hideMark/>
          </w:tcPr>
          <w:p w14:paraId="5C0C872B"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N/D</w:t>
            </w:r>
          </w:p>
        </w:tc>
        <w:tc>
          <w:tcPr>
            <w:tcW w:w="1125" w:type="dxa"/>
            <w:tcBorders>
              <w:top w:val="nil"/>
              <w:left w:val="nil"/>
              <w:bottom w:val="single" w:sz="4" w:space="0" w:color="auto"/>
              <w:right w:val="single" w:sz="4" w:space="0" w:color="auto"/>
            </w:tcBorders>
            <w:vAlign w:val="center"/>
            <w:hideMark/>
          </w:tcPr>
          <w:p w14:paraId="67AA5110"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80%</w:t>
            </w:r>
          </w:p>
        </w:tc>
      </w:tr>
      <w:tr w:rsidR="00E31C70" w:rsidRPr="00E31C70" w14:paraId="072D4EA7" w14:textId="77777777" w:rsidTr="00E31C70">
        <w:trPr>
          <w:trHeight w:val="624"/>
        </w:trPr>
        <w:tc>
          <w:tcPr>
            <w:tcW w:w="3397" w:type="dxa"/>
            <w:tcBorders>
              <w:top w:val="nil"/>
              <w:left w:val="single" w:sz="4" w:space="0" w:color="auto"/>
              <w:bottom w:val="single" w:sz="4" w:space="0" w:color="auto"/>
              <w:right w:val="single" w:sz="4" w:space="0" w:color="auto"/>
            </w:tcBorders>
            <w:vAlign w:val="center"/>
            <w:hideMark/>
          </w:tcPr>
          <w:p w14:paraId="48A3C565" w14:textId="32C7A8D6"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Climatización de lobby Museo Monumento a los Museo Monumento a los Héroes de la Restauración</w:t>
            </w:r>
          </w:p>
        </w:tc>
        <w:tc>
          <w:tcPr>
            <w:tcW w:w="1867" w:type="dxa"/>
            <w:tcBorders>
              <w:top w:val="nil"/>
              <w:left w:val="nil"/>
              <w:bottom w:val="single" w:sz="4" w:space="0" w:color="auto"/>
              <w:right w:val="single" w:sz="4" w:space="0" w:color="auto"/>
            </w:tcBorders>
            <w:vAlign w:val="center"/>
            <w:hideMark/>
          </w:tcPr>
          <w:p w14:paraId="4DD88D4E"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Banco BHD</w:t>
            </w:r>
          </w:p>
        </w:tc>
        <w:tc>
          <w:tcPr>
            <w:tcW w:w="1686" w:type="dxa"/>
            <w:tcBorders>
              <w:top w:val="nil"/>
              <w:left w:val="nil"/>
              <w:bottom w:val="single" w:sz="4" w:space="0" w:color="auto"/>
              <w:right w:val="single" w:sz="4" w:space="0" w:color="auto"/>
            </w:tcBorders>
            <w:noWrap/>
            <w:vAlign w:val="center"/>
            <w:hideMark/>
          </w:tcPr>
          <w:p w14:paraId="07B1CC78"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9,424,500.00</w:t>
            </w:r>
          </w:p>
        </w:tc>
        <w:tc>
          <w:tcPr>
            <w:tcW w:w="1125" w:type="dxa"/>
            <w:tcBorders>
              <w:top w:val="nil"/>
              <w:left w:val="nil"/>
              <w:bottom w:val="single" w:sz="4" w:space="0" w:color="auto"/>
              <w:right w:val="single" w:sz="4" w:space="0" w:color="auto"/>
            </w:tcBorders>
            <w:vAlign w:val="center"/>
            <w:hideMark/>
          </w:tcPr>
          <w:p w14:paraId="4AFDD6FC"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25%</w:t>
            </w:r>
          </w:p>
        </w:tc>
      </w:tr>
      <w:tr w:rsidR="00E31C70" w:rsidRPr="00E31C70" w14:paraId="6C1E3F73" w14:textId="77777777" w:rsidTr="00E31C70">
        <w:trPr>
          <w:trHeight w:val="936"/>
        </w:trPr>
        <w:tc>
          <w:tcPr>
            <w:tcW w:w="3397" w:type="dxa"/>
            <w:tcBorders>
              <w:top w:val="nil"/>
              <w:left w:val="single" w:sz="4" w:space="0" w:color="auto"/>
              <w:bottom w:val="single" w:sz="4" w:space="0" w:color="auto"/>
              <w:right w:val="single" w:sz="4" w:space="0" w:color="auto"/>
            </w:tcBorders>
            <w:vAlign w:val="center"/>
            <w:hideMark/>
          </w:tcPr>
          <w:p w14:paraId="702F0C9F"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Desarrollo de 17 proyectos para mejorar la experiencia del visitante en el Museo Monumento a los Héroes de la Restauración</w:t>
            </w:r>
          </w:p>
        </w:tc>
        <w:tc>
          <w:tcPr>
            <w:tcW w:w="1867" w:type="dxa"/>
            <w:tcBorders>
              <w:top w:val="nil"/>
              <w:left w:val="nil"/>
              <w:bottom w:val="single" w:sz="4" w:space="0" w:color="auto"/>
              <w:right w:val="single" w:sz="4" w:space="0" w:color="auto"/>
            </w:tcBorders>
            <w:vAlign w:val="center"/>
            <w:hideMark/>
          </w:tcPr>
          <w:p w14:paraId="58041331"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MITUR/APEDI</w:t>
            </w:r>
          </w:p>
        </w:tc>
        <w:tc>
          <w:tcPr>
            <w:tcW w:w="1686" w:type="dxa"/>
            <w:tcBorders>
              <w:top w:val="nil"/>
              <w:left w:val="nil"/>
              <w:bottom w:val="single" w:sz="4" w:space="0" w:color="auto"/>
              <w:right w:val="single" w:sz="4" w:space="0" w:color="auto"/>
            </w:tcBorders>
            <w:noWrap/>
            <w:vAlign w:val="center"/>
            <w:hideMark/>
          </w:tcPr>
          <w:p w14:paraId="2F611A24"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60,000,000.00</w:t>
            </w:r>
          </w:p>
        </w:tc>
        <w:tc>
          <w:tcPr>
            <w:tcW w:w="1125" w:type="dxa"/>
            <w:tcBorders>
              <w:top w:val="nil"/>
              <w:left w:val="nil"/>
              <w:bottom w:val="single" w:sz="4" w:space="0" w:color="auto"/>
              <w:right w:val="single" w:sz="4" w:space="0" w:color="auto"/>
            </w:tcBorders>
            <w:vAlign w:val="center"/>
            <w:hideMark/>
          </w:tcPr>
          <w:p w14:paraId="3B349AAA"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20%</w:t>
            </w:r>
          </w:p>
        </w:tc>
      </w:tr>
      <w:tr w:rsidR="00E31C70" w:rsidRPr="00E31C70" w14:paraId="26BB5153" w14:textId="77777777" w:rsidTr="00E31C70">
        <w:trPr>
          <w:trHeight w:val="836"/>
        </w:trPr>
        <w:tc>
          <w:tcPr>
            <w:tcW w:w="3397" w:type="dxa"/>
            <w:tcBorders>
              <w:top w:val="nil"/>
              <w:left w:val="single" w:sz="4" w:space="0" w:color="auto"/>
              <w:bottom w:val="single" w:sz="4" w:space="0" w:color="auto"/>
              <w:right w:val="single" w:sz="4" w:space="0" w:color="auto"/>
            </w:tcBorders>
            <w:vAlign w:val="center"/>
            <w:hideMark/>
          </w:tcPr>
          <w:p w14:paraId="5F751ADB" w14:textId="77777777" w:rsidR="00E31C70" w:rsidRPr="00E31C70" w:rsidRDefault="00E31C70" w:rsidP="00E31C70">
            <w:pPr>
              <w:spacing w:after="0" w:line="240" w:lineRule="auto"/>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Mejoramiento de la accesibilidad universal Museo Monumento a los Héroes de la Restauración</w:t>
            </w:r>
          </w:p>
        </w:tc>
        <w:tc>
          <w:tcPr>
            <w:tcW w:w="1867" w:type="dxa"/>
            <w:tcBorders>
              <w:top w:val="nil"/>
              <w:left w:val="nil"/>
              <w:bottom w:val="single" w:sz="4" w:space="0" w:color="auto"/>
              <w:right w:val="single" w:sz="4" w:space="0" w:color="auto"/>
            </w:tcBorders>
            <w:vAlign w:val="center"/>
            <w:hideMark/>
          </w:tcPr>
          <w:p w14:paraId="2A943BF8"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Asociación Popular de Ahorros y Préstamos</w:t>
            </w:r>
          </w:p>
        </w:tc>
        <w:tc>
          <w:tcPr>
            <w:tcW w:w="1686" w:type="dxa"/>
            <w:tcBorders>
              <w:top w:val="nil"/>
              <w:left w:val="nil"/>
              <w:bottom w:val="single" w:sz="4" w:space="0" w:color="auto"/>
              <w:right w:val="single" w:sz="4" w:space="0" w:color="auto"/>
            </w:tcBorders>
            <w:noWrap/>
            <w:vAlign w:val="center"/>
            <w:hideMark/>
          </w:tcPr>
          <w:p w14:paraId="13CD6EF7" w14:textId="77777777" w:rsidR="00E31C70" w:rsidRPr="00E31C70" w:rsidRDefault="00E31C70" w:rsidP="00E31C70">
            <w:pPr>
              <w:spacing w:after="0" w:line="240" w:lineRule="auto"/>
              <w:jc w:val="right"/>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2,000,000.00</w:t>
            </w:r>
          </w:p>
        </w:tc>
        <w:tc>
          <w:tcPr>
            <w:tcW w:w="1125" w:type="dxa"/>
            <w:tcBorders>
              <w:top w:val="nil"/>
              <w:left w:val="nil"/>
              <w:bottom w:val="single" w:sz="4" w:space="0" w:color="auto"/>
              <w:right w:val="single" w:sz="4" w:space="0" w:color="auto"/>
            </w:tcBorders>
            <w:vAlign w:val="center"/>
            <w:hideMark/>
          </w:tcPr>
          <w:p w14:paraId="4B26B35A" w14:textId="77777777" w:rsidR="00E31C70" w:rsidRPr="00E31C70" w:rsidRDefault="00E31C70" w:rsidP="00E31C70">
            <w:pPr>
              <w:spacing w:after="0" w:line="240" w:lineRule="auto"/>
              <w:jc w:val="center"/>
              <w:rPr>
                <w:rFonts w:eastAsia="Times New Roman"/>
                <w:color w:val="757171"/>
                <w:spacing w:val="0"/>
                <w:sz w:val="22"/>
                <w:szCs w:val="22"/>
                <w:lang w:val="es-MX" w:eastAsia="es-MX"/>
              </w:rPr>
            </w:pPr>
            <w:r w:rsidRPr="00E31C70">
              <w:rPr>
                <w:rFonts w:eastAsia="Times New Roman"/>
                <w:color w:val="757171"/>
                <w:spacing w:val="0"/>
                <w:sz w:val="22"/>
                <w:szCs w:val="22"/>
                <w:lang w:val="es-MX" w:eastAsia="es-MX"/>
              </w:rPr>
              <w:t>10%</w:t>
            </w:r>
          </w:p>
        </w:tc>
      </w:tr>
      <w:tr w:rsidR="00E31C70" w:rsidRPr="00E31C70" w14:paraId="372A6924" w14:textId="77777777" w:rsidTr="00E31C70">
        <w:trPr>
          <w:trHeight w:val="312"/>
        </w:trPr>
        <w:tc>
          <w:tcPr>
            <w:tcW w:w="5264" w:type="dxa"/>
            <w:gridSpan w:val="2"/>
            <w:tcBorders>
              <w:top w:val="single" w:sz="4" w:space="0" w:color="auto"/>
              <w:left w:val="single" w:sz="4" w:space="0" w:color="auto"/>
              <w:right w:val="single" w:sz="4" w:space="0" w:color="000000"/>
            </w:tcBorders>
            <w:shd w:val="clear" w:color="000000" w:fill="002060"/>
            <w:noWrap/>
            <w:vAlign w:val="center"/>
            <w:hideMark/>
          </w:tcPr>
          <w:p w14:paraId="7B2B9785" w14:textId="77777777" w:rsidR="00E31C70" w:rsidRPr="00E31C70" w:rsidRDefault="00E31C70" w:rsidP="00E31C70">
            <w:pPr>
              <w:spacing w:after="0" w:line="240" w:lineRule="auto"/>
              <w:jc w:val="right"/>
              <w:rPr>
                <w:rFonts w:eastAsia="Times New Roman"/>
                <w:b/>
                <w:bCs/>
                <w:color w:val="FFFFFF"/>
                <w:spacing w:val="0"/>
                <w:lang w:val="es-MX" w:eastAsia="es-MX"/>
              </w:rPr>
            </w:pPr>
            <w:r w:rsidRPr="00E31C70">
              <w:rPr>
                <w:rFonts w:eastAsia="Times New Roman"/>
                <w:b/>
                <w:bCs/>
                <w:color w:val="FFFFFF"/>
                <w:spacing w:val="0"/>
                <w:lang w:val="es-MX" w:eastAsia="es-MX"/>
              </w:rPr>
              <w:t>Total</w:t>
            </w:r>
          </w:p>
        </w:tc>
        <w:tc>
          <w:tcPr>
            <w:tcW w:w="1686" w:type="dxa"/>
            <w:tcBorders>
              <w:top w:val="nil"/>
              <w:left w:val="nil"/>
              <w:right w:val="single" w:sz="4" w:space="0" w:color="auto"/>
            </w:tcBorders>
            <w:shd w:val="clear" w:color="000000" w:fill="002060"/>
            <w:noWrap/>
            <w:vAlign w:val="center"/>
            <w:hideMark/>
          </w:tcPr>
          <w:p w14:paraId="5260B643" w14:textId="77777777" w:rsidR="00E31C70" w:rsidRPr="00E31C70" w:rsidRDefault="00E31C70" w:rsidP="00E31C70">
            <w:pPr>
              <w:spacing w:after="0" w:line="240" w:lineRule="auto"/>
              <w:jc w:val="right"/>
              <w:rPr>
                <w:rFonts w:eastAsia="Times New Roman"/>
                <w:b/>
                <w:bCs/>
                <w:color w:val="FFFFFF"/>
                <w:spacing w:val="0"/>
                <w:lang w:val="es-MX" w:eastAsia="es-MX"/>
              </w:rPr>
            </w:pPr>
            <w:r w:rsidRPr="00E31C70">
              <w:rPr>
                <w:rFonts w:eastAsia="Times New Roman"/>
                <w:b/>
                <w:bCs/>
                <w:color w:val="FFFFFF"/>
                <w:spacing w:val="0"/>
                <w:lang w:val="es-MX" w:eastAsia="es-MX"/>
              </w:rPr>
              <w:t>76,639,009.58</w:t>
            </w:r>
          </w:p>
        </w:tc>
        <w:tc>
          <w:tcPr>
            <w:tcW w:w="1125" w:type="dxa"/>
            <w:tcBorders>
              <w:top w:val="nil"/>
              <w:left w:val="nil"/>
              <w:right w:val="nil"/>
            </w:tcBorders>
            <w:noWrap/>
            <w:vAlign w:val="center"/>
            <w:hideMark/>
          </w:tcPr>
          <w:p w14:paraId="633D065F" w14:textId="77777777" w:rsidR="00E31C70" w:rsidRPr="00E31C70" w:rsidRDefault="00E31C70" w:rsidP="00E31C70">
            <w:pPr>
              <w:spacing w:after="0" w:line="240" w:lineRule="auto"/>
              <w:jc w:val="right"/>
              <w:rPr>
                <w:rFonts w:eastAsia="Times New Roman"/>
                <w:b/>
                <w:bCs/>
                <w:color w:val="FFFFFF"/>
                <w:spacing w:val="0"/>
                <w:lang w:val="es-MX" w:eastAsia="es-MX"/>
              </w:rPr>
            </w:pPr>
          </w:p>
        </w:tc>
      </w:tr>
      <w:tr w:rsidR="00E31C70" w:rsidRPr="00EE47D5" w14:paraId="2EE929E2" w14:textId="77777777" w:rsidTr="00E31C70">
        <w:trPr>
          <w:trHeight w:val="312"/>
        </w:trPr>
        <w:tc>
          <w:tcPr>
            <w:tcW w:w="8075" w:type="dxa"/>
            <w:gridSpan w:val="4"/>
            <w:noWrap/>
            <w:vAlign w:val="center"/>
          </w:tcPr>
          <w:p w14:paraId="4326D50F" w14:textId="2FC06D0E" w:rsidR="00595102" w:rsidRPr="00595102" w:rsidRDefault="00595102" w:rsidP="00595102">
            <w:pPr>
              <w:rPr>
                <w:i/>
                <w:iCs/>
                <w:sz w:val="22"/>
                <w:szCs w:val="22"/>
                <w:lang w:val="es-MX"/>
              </w:rPr>
            </w:pPr>
            <w:r w:rsidRPr="00595102">
              <w:rPr>
                <w:i/>
                <w:iCs/>
                <w:sz w:val="22"/>
                <w:szCs w:val="22"/>
                <w:lang w:val="es-MX"/>
              </w:rPr>
              <w:t xml:space="preserve">Cuadro </w:t>
            </w:r>
            <w:r>
              <w:rPr>
                <w:i/>
                <w:iCs/>
                <w:sz w:val="22"/>
                <w:szCs w:val="22"/>
                <w:lang w:val="es-MX"/>
              </w:rPr>
              <w:t>7</w:t>
            </w:r>
            <w:r w:rsidRPr="00595102">
              <w:rPr>
                <w:i/>
                <w:iCs/>
                <w:sz w:val="22"/>
                <w:szCs w:val="22"/>
                <w:lang w:val="es-MX"/>
              </w:rPr>
              <w:t xml:space="preserve">. </w:t>
            </w:r>
            <w:r w:rsidR="00DB626D" w:rsidRPr="00DB626D">
              <w:rPr>
                <w:i/>
                <w:iCs/>
                <w:sz w:val="22"/>
                <w:szCs w:val="22"/>
                <w:lang w:val="es-MX"/>
              </w:rPr>
              <w:t>Inversión en infraestructura museística gestionada por la DGM – Año 2025</w:t>
            </w:r>
            <w:r w:rsidRPr="00595102">
              <w:rPr>
                <w:i/>
                <w:iCs/>
                <w:sz w:val="22"/>
                <w:szCs w:val="22"/>
                <w:lang w:val="es-MX"/>
              </w:rPr>
              <w:t>, año 2025</w:t>
            </w:r>
            <w:r w:rsidR="005E0322">
              <w:rPr>
                <w:i/>
                <w:iCs/>
                <w:sz w:val="22"/>
                <w:szCs w:val="22"/>
                <w:lang w:val="es-MX"/>
              </w:rPr>
              <w:t>. Fuente: elaboración propia en base a registros documentales de la DGM</w:t>
            </w:r>
          </w:p>
          <w:p w14:paraId="0C9E45D1" w14:textId="77777777" w:rsidR="00E31C70" w:rsidRPr="00E31C70" w:rsidRDefault="00E31C70" w:rsidP="00E31C70">
            <w:pPr>
              <w:spacing w:after="0" w:line="240" w:lineRule="auto"/>
              <w:jc w:val="right"/>
              <w:rPr>
                <w:rFonts w:eastAsia="Times New Roman"/>
                <w:b/>
                <w:bCs/>
                <w:color w:val="FFFFFF"/>
                <w:spacing w:val="0"/>
                <w:lang w:val="es-MX" w:eastAsia="es-MX"/>
              </w:rPr>
            </w:pPr>
          </w:p>
        </w:tc>
      </w:tr>
    </w:tbl>
    <w:p w14:paraId="442651B5" w14:textId="77777777" w:rsidR="005E0322" w:rsidRDefault="005E0322" w:rsidP="00427D27">
      <w:pPr>
        <w:spacing w:line="360" w:lineRule="auto"/>
        <w:jc w:val="both"/>
        <w:rPr>
          <w:rFonts w:eastAsia="Calibri"/>
          <w:szCs w:val="36"/>
          <w:lang w:val="es-DO"/>
        </w:rPr>
      </w:pPr>
      <w:r w:rsidRPr="001B0FB1">
        <w:rPr>
          <w:rFonts w:eastAsia="Calibri"/>
          <w:szCs w:val="36"/>
          <w:lang w:val="es-DO"/>
        </w:rPr>
        <w:t>El acondicionamiento de la infraestructura permitió optimizar el uso de los espacios disponibles, fortalecer la seguridad y resguardo del patrimonio cultural y mejorar la experiencia de los visitantes, contribuyendo a que los museos operen de manera más eficiente, accesible y acorde con los estándares técnicos de la gestión museística contemporánea.</w:t>
      </w:r>
    </w:p>
    <w:p w14:paraId="44E9BC4F" w14:textId="14E04D3B" w:rsidR="008A4CB2" w:rsidRDefault="00A17951" w:rsidP="00427D27">
      <w:pPr>
        <w:spacing w:line="360" w:lineRule="auto"/>
        <w:jc w:val="both"/>
        <w:rPr>
          <w:rFonts w:eastAsia="Calibri"/>
          <w:szCs w:val="36"/>
          <w:lang w:val="es-DO"/>
        </w:rPr>
      </w:pPr>
      <w:r w:rsidRPr="00A17951">
        <w:rPr>
          <w:rFonts w:eastAsia="Calibri"/>
          <w:szCs w:val="36"/>
          <w:lang w:val="es-DO"/>
        </w:rPr>
        <w:t xml:space="preserve">Estas inversiones reflejan un esfuerzo institucional sostenido por mejorar las condiciones físicas de los museos, </w:t>
      </w:r>
      <w:r w:rsidR="008065B1">
        <w:rPr>
          <w:rFonts w:eastAsia="Calibri"/>
          <w:szCs w:val="36"/>
          <w:lang w:val="es-DO"/>
        </w:rPr>
        <w:t>enriquecer</w:t>
      </w:r>
      <w:r w:rsidRPr="00A17951">
        <w:rPr>
          <w:rFonts w:eastAsia="Calibri"/>
          <w:szCs w:val="36"/>
          <w:lang w:val="es-DO"/>
        </w:rPr>
        <w:t xml:space="preserve"> la experiencia del visitante y garantizar la adecuada protección del patrimonio cultural, mediante la concurrencia de recursos provenientes del Estado, el sector privado, organismos de cooperación y alianzas interinstitucionales.</w:t>
      </w:r>
    </w:p>
    <w:p w14:paraId="0FEFAA14" w14:textId="77777777" w:rsidR="00D62B6F" w:rsidRPr="005E0322" w:rsidRDefault="00D62B6F" w:rsidP="00427D27">
      <w:pPr>
        <w:spacing w:line="360" w:lineRule="auto"/>
        <w:jc w:val="both"/>
        <w:rPr>
          <w:rFonts w:eastAsia="Calibri"/>
          <w:b/>
          <w:bCs/>
          <w:sz w:val="28"/>
          <w:szCs w:val="40"/>
          <w:lang w:val="es-DO"/>
        </w:rPr>
      </w:pPr>
      <w:r w:rsidRPr="005E0322">
        <w:rPr>
          <w:rFonts w:eastAsia="Calibri"/>
          <w:b/>
          <w:bCs/>
          <w:sz w:val="28"/>
          <w:szCs w:val="40"/>
          <w:lang w:val="es-DO"/>
        </w:rPr>
        <w:lastRenderedPageBreak/>
        <w:t>3.2 Difusión de la cultura local, regional y universal</w:t>
      </w:r>
    </w:p>
    <w:p w14:paraId="785C8572" w14:textId="302AC18A" w:rsidR="00D62B6F" w:rsidRDefault="00D62B6F" w:rsidP="00427D27">
      <w:pPr>
        <w:spacing w:line="360" w:lineRule="auto"/>
        <w:jc w:val="both"/>
        <w:rPr>
          <w:rFonts w:eastAsia="Calibri"/>
          <w:szCs w:val="36"/>
          <w:lang w:val="es-DO"/>
        </w:rPr>
      </w:pPr>
      <w:r w:rsidRPr="005E0322">
        <w:rPr>
          <w:rFonts w:eastAsia="Calibri"/>
          <w:szCs w:val="36"/>
          <w:lang w:val="es-DO"/>
        </w:rPr>
        <w:t xml:space="preserve">Como agentes de difusión cultural, los museos tienen un gran impacto en la sociedad, contribuyendo significativamente a la educación y la apreciación de la diversidad cultural </w:t>
      </w:r>
      <w:r w:rsidR="00F244A3" w:rsidRPr="005E0322">
        <w:rPr>
          <w:rFonts w:eastAsia="Calibri"/>
          <w:szCs w:val="36"/>
          <w:lang w:val="es-DO"/>
        </w:rPr>
        <w:t xml:space="preserve">local y </w:t>
      </w:r>
      <w:r w:rsidRPr="005E0322">
        <w:rPr>
          <w:rFonts w:eastAsia="Calibri"/>
          <w:szCs w:val="36"/>
          <w:lang w:val="es-DO"/>
        </w:rPr>
        <w:t>universal</w:t>
      </w:r>
      <w:r w:rsidR="00F244A3" w:rsidRPr="005E0322">
        <w:rPr>
          <w:rFonts w:eastAsia="Calibri"/>
          <w:szCs w:val="36"/>
          <w:lang w:val="es-DO"/>
        </w:rPr>
        <w:t xml:space="preserve">.  Particularmente, los museos </w:t>
      </w:r>
      <w:r w:rsidR="00E30B45" w:rsidRPr="005E0322">
        <w:rPr>
          <w:rFonts w:eastAsia="Calibri"/>
          <w:szCs w:val="36"/>
          <w:lang w:val="es-DO"/>
        </w:rPr>
        <w:t>constituyen espacios que ponen en valor</w:t>
      </w:r>
      <w:r w:rsidRPr="005E0322">
        <w:rPr>
          <w:rFonts w:eastAsia="Calibri"/>
          <w:szCs w:val="36"/>
          <w:lang w:val="es-DO"/>
        </w:rPr>
        <w:t xml:space="preserve"> las tradiciones y riquezas propias de las comunidades donde se encuentran ubicados</w:t>
      </w:r>
      <w:r w:rsidR="00984342">
        <w:rPr>
          <w:rFonts w:eastAsia="Calibri"/>
          <w:szCs w:val="36"/>
          <w:lang w:val="es-DO"/>
        </w:rPr>
        <w:t xml:space="preserve">; afianzando </w:t>
      </w:r>
      <w:r w:rsidR="00C25CB4">
        <w:rPr>
          <w:rFonts w:eastAsia="Calibri"/>
          <w:szCs w:val="36"/>
          <w:lang w:val="es-DO"/>
        </w:rPr>
        <w:t>así</w:t>
      </w:r>
      <w:r w:rsidR="00984342">
        <w:rPr>
          <w:rFonts w:eastAsia="Calibri"/>
          <w:szCs w:val="36"/>
          <w:lang w:val="es-DO"/>
        </w:rPr>
        <w:t xml:space="preserve"> </w:t>
      </w:r>
      <w:r w:rsidR="00C25CB4">
        <w:rPr>
          <w:rFonts w:eastAsia="Calibri"/>
          <w:szCs w:val="36"/>
          <w:lang w:val="es-DO"/>
        </w:rPr>
        <w:t>el arraigo y la identidad nacional en dichas localidades.</w:t>
      </w:r>
    </w:p>
    <w:p w14:paraId="107871DC" w14:textId="3012F3F2" w:rsidR="00D62B6F" w:rsidRPr="00D62B6F" w:rsidRDefault="00D62B6F" w:rsidP="00427D27">
      <w:pPr>
        <w:spacing w:line="360" w:lineRule="auto"/>
        <w:jc w:val="both"/>
        <w:rPr>
          <w:rFonts w:eastAsia="Calibri"/>
          <w:szCs w:val="36"/>
          <w:lang w:val="es-DO"/>
        </w:rPr>
      </w:pPr>
      <w:r w:rsidRPr="00D62B6F">
        <w:rPr>
          <w:rFonts w:eastAsia="Calibri"/>
          <w:szCs w:val="36"/>
          <w:lang w:val="es-DO"/>
        </w:rPr>
        <w:t>Es por ello por lo que, tanto la Estrategia Nacional de Desarrollo (END 20</w:t>
      </w:r>
      <w:r w:rsidR="00C25CB4">
        <w:rPr>
          <w:rFonts w:eastAsia="Calibri"/>
          <w:szCs w:val="36"/>
          <w:lang w:val="es-DO"/>
        </w:rPr>
        <w:t>30</w:t>
      </w:r>
      <w:r w:rsidRPr="00D62B6F">
        <w:rPr>
          <w:rFonts w:eastAsia="Calibri"/>
          <w:szCs w:val="36"/>
          <w:lang w:val="es-DO"/>
        </w:rPr>
        <w:t>) como el Plan Nacional Plurianual del Sector Público (PNPSP) 2021-2024, califican a los museos y otros espacios culturales como agentes de cambio y desarrollo económico para los pueblos.</w:t>
      </w:r>
    </w:p>
    <w:p w14:paraId="0D6E061F" w14:textId="77777777" w:rsidR="00F11D36" w:rsidRDefault="00D62B6F" w:rsidP="00427D27">
      <w:pPr>
        <w:spacing w:line="360" w:lineRule="auto"/>
        <w:jc w:val="both"/>
        <w:rPr>
          <w:rFonts w:eastAsia="Calibri"/>
          <w:lang w:val="es-DO"/>
        </w:rPr>
      </w:pPr>
      <w:r w:rsidRPr="00D62B6F">
        <w:rPr>
          <w:rFonts w:eastAsia="Calibri"/>
          <w:lang w:val="es-DO"/>
        </w:rPr>
        <w:t xml:space="preserve">Para fines de medición del resultado, el PEI del MINC y de la DGM establecen como indicador la cantidad visitas a los museos que exhiben el </w:t>
      </w:r>
      <w:r w:rsidRPr="00375917">
        <w:rPr>
          <w:rFonts w:eastAsia="Calibri"/>
          <w:lang w:val="es-DO"/>
        </w:rPr>
        <w:t xml:space="preserve">patrimonio cultural nacional. </w:t>
      </w:r>
    </w:p>
    <w:p w14:paraId="4E635D13" w14:textId="7FC14392" w:rsidR="004532BC" w:rsidRDefault="00D62B6F" w:rsidP="00427D27">
      <w:pPr>
        <w:spacing w:line="360" w:lineRule="auto"/>
        <w:jc w:val="both"/>
        <w:rPr>
          <w:rFonts w:eastAsia="Calibri"/>
          <w:lang w:val="es-DO"/>
        </w:rPr>
      </w:pPr>
      <w:r w:rsidRPr="00202477">
        <w:rPr>
          <w:rFonts w:eastAsia="Calibri"/>
          <w:lang w:val="es-DO"/>
        </w:rPr>
        <w:t>Específicamente, se contabilizan las visitas recibidas en los museos</w:t>
      </w:r>
      <w:r w:rsidR="00BE3E20">
        <w:rPr>
          <w:rFonts w:eastAsia="Calibri"/>
          <w:lang w:val="es-DO"/>
        </w:rPr>
        <w:t xml:space="preserve">, monumentos y espacios culturales </w:t>
      </w:r>
      <w:r w:rsidR="00B60447">
        <w:rPr>
          <w:rFonts w:eastAsia="Calibri"/>
          <w:lang w:val="es-DO"/>
        </w:rPr>
        <w:t>ubicados en todo el territorio nacional</w:t>
      </w:r>
      <w:r w:rsidRPr="00202477">
        <w:rPr>
          <w:rFonts w:eastAsia="Calibri"/>
          <w:lang w:val="es-DO"/>
        </w:rPr>
        <w:t xml:space="preserve">. </w:t>
      </w:r>
    </w:p>
    <w:p w14:paraId="5BB0598A" w14:textId="0088E456" w:rsidR="00B60447" w:rsidRPr="00B60447" w:rsidRDefault="00B60447" w:rsidP="00427D27">
      <w:pPr>
        <w:spacing w:line="360" w:lineRule="auto"/>
        <w:jc w:val="both"/>
        <w:rPr>
          <w:rFonts w:eastAsia="Calibri"/>
          <w:lang w:val="es-DO"/>
        </w:rPr>
      </w:pPr>
      <w:r>
        <w:rPr>
          <w:rFonts w:eastAsia="Calibri"/>
          <w:lang w:val="es-DO"/>
        </w:rPr>
        <w:t>Para</w:t>
      </w:r>
      <w:r w:rsidRPr="00B60447">
        <w:rPr>
          <w:rFonts w:eastAsia="Calibri"/>
          <w:lang w:val="es-DO"/>
        </w:rPr>
        <w:t xml:space="preserve"> año 2025 se realizó una proyección de visitas tomando como base las estadísticas del 2024 y afectándola por factores estimados que podrían modificar dichos valores, tales como: </w:t>
      </w:r>
    </w:p>
    <w:p w14:paraId="1767F8FF" w14:textId="77777777" w:rsidR="00B60447" w:rsidRPr="00B60447" w:rsidRDefault="00B60447" w:rsidP="00427D27">
      <w:pPr>
        <w:pStyle w:val="Prrafodelista"/>
        <w:numPr>
          <w:ilvl w:val="0"/>
          <w:numId w:val="21"/>
        </w:numPr>
        <w:spacing w:line="360" w:lineRule="auto"/>
        <w:jc w:val="both"/>
        <w:rPr>
          <w:rFonts w:eastAsia="Calibri"/>
          <w:lang w:val="es-DO"/>
        </w:rPr>
      </w:pPr>
      <w:r w:rsidRPr="00B60447">
        <w:rPr>
          <w:rFonts w:eastAsia="Calibri"/>
          <w:lang w:val="es-DO"/>
        </w:rPr>
        <w:t xml:space="preserve">Continuación del cierre del Museo Alcázar de Colón por intervención de la infraestructura y la implementación de la nueva museografía; </w:t>
      </w:r>
    </w:p>
    <w:p w14:paraId="3A2A947D" w14:textId="77777777" w:rsidR="00B60447" w:rsidRPr="00B60447" w:rsidRDefault="00B60447" w:rsidP="00427D27">
      <w:pPr>
        <w:pStyle w:val="Prrafodelista"/>
        <w:numPr>
          <w:ilvl w:val="0"/>
          <w:numId w:val="21"/>
        </w:numPr>
        <w:spacing w:line="360" w:lineRule="auto"/>
        <w:jc w:val="both"/>
        <w:rPr>
          <w:rFonts w:eastAsia="Calibri"/>
          <w:lang w:val="es-DO"/>
        </w:rPr>
      </w:pPr>
      <w:r w:rsidRPr="00B60447">
        <w:rPr>
          <w:rFonts w:eastAsia="Calibri"/>
          <w:lang w:val="es-DO"/>
        </w:rPr>
        <w:t xml:space="preserve">Celebración, en el Museo de Arte Moderno, de la Bienal de Artes Visuales en agosto - diciembre </w:t>
      </w:r>
    </w:p>
    <w:p w14:paraId="28A288FD" w14:textId="77777777" w:rsidR="00B60447" w:rsidRPr="00B60447" w:rsidRDefault="00B60447" w:rsidP="00427D27">
      <w:pPr>
        <w:pStyle w:val="Prrafodelista"/>
        <w:numPr>
          <w:ilvl w:val="0"/>
          <w:numId w:val="21"/>
        </w:numPr>
        <w:spacing w:line="360" w:lineRule="auto"/>
        <w:jc w:val="both"/>
        <w:rPr>
          <w:rFonts w:eastAsia="Calibri"/>
          <w:lang w:val="es-DO"/>
        </w:rPr>
      </w:pPr>
      <w:r w:rsidRPr="00B60447">
        <w:rPr>
          <w:rFonts w:eastAsia="Calibri"/>
          <w:lang w:val="es-DO"/>
        </w:rPr>
        <w:t xml:space="preserve">Implementación de nuevas tarifas de entrada a los museos; </w:t>
      </w:r>
    </w:p>
    <w:p w14:paraId="622FA654" w14:textId="77777777" w:rsidR="00B60447" w:rsidRPr="00B60447" w:rsidRDefault="00B60447" w:rsidP="00427D27">
      <w:pPr>
        <w:pStyle w:val="Prrafodelista"/>
        <w:numPr>
          <w:ilvl w:val="0"/>
          <w:numId w:val="21"/>
        </w:numPr>
        <w:spacing w:line="360" w:lineRule="auto"/>
        <w:jc w:val="both"/>
        <w:rPr>
          <w:rFonts w:eastAsia="Calibri"/>
          <w:lang w:val="es-DO"/>
        </w:rPr>
      </w:pPr>
      <w:r w:rsidRPr="00B60447">
        <w:rPr>
          <w:rFonts w:eastAsia="Calibri"/>
          <w:lang w:val="es-DO"/>
        </w:rPr>
        <w:lastRenderedPageBreak/>
        <w:t xml:space="preserve">Implementación de entrada libre de costo para sectores vulnerables: envejecientes, niños menores de 7 años y personas con discapacidad; </w:t>
      </w:r>
    </w:p>
    <w:p w14:paraId="5A1A6D47" w14:textId="77777777" w:rsidR="00B60447" w:rsidRPr="00B60447" w:rsidRDefault="00B60447" w:rsidP="00427D27">
      <w:pPr>
        <w:pStyle w:val="Prrafodelista"/>
        <w:numPr>
          <w:ilvl w:val="0"/>
          <w:numId w:val="21"/>
        </w:numPr>
        <w:spacing w:line="360" w:lineRule="auto"/>
        <w:jc w:val="both"/>
        <w:rPr>
          <w:rFonts w:eastAsia="Calibri"/>
          <w:lang w:val="es-DO"/>
        </w:rPr>
      </w:pPr>
      <w:r w:rsidRPr="00B60447">
        <w:rPr>
          <w:rFonts w:eastAsia="Calibri"/>
          <w:lang w:val="es-DO"/>
        </w:rPr>
        <w:t xml:space="preserve">Implementación de entrada libre de costo el último domingo de cada mes, acorde a las disposiciones del ICOM. </w:t>
      </w:r>
    </w:p>
    <w:p w14:paraId="0825A078" w14:textId="77777777" w:rsidR="00B60447" w:rsidRPr="00B60447" w:rsidRDefault="00B60447" w:rsidP="00427D27">
      <w:pPr>
        <w:pStyle w:val="Prrafodelista"/>
        <w:numPr>
          <w:ilvl w:val="0"/>
          <w:numId w:val="21"/>
        </w:numPr>
        <w:spacing w:line="360" w:lineRule="auto"/>
        <w:jc w:val="both"/>
        <w:rPr>
          <w:rFonts w:eastAsia="Calibri"/>
          <w:lang w:val="es-DO"/>
        </w:rPr>
      </w:pPr>
      <w:r w:rsidRPr="00B60447">
        <w:rPr>
          <w:rFonts w:eastAsia="Calibri"/>
          <w:lang w:val="es-DO"/>
        </w:rPr>
        <w:t xml:space="preserve">Implementación del Sistema de Monitoreo de Visitas a los Museos, que permitirá registrar las visitas a museos estatales no administrados por la DGM; así como museos privados. </w:t>
      </w:r>
    </w:p>
    <w:p w14:paraId="55981FDF" w14:textId="77777777" w:rsidR="00B60447" w:rsidRPr="00B60447" w:rsidRDefault="00B60447" w:rsidP="00427D27">
      <w:pPr>
        <w:spacing w:line="360" w:lineRule="auto"/>
        <w:jc w:val="both"/>
        <w:rPr>
          <w:rFonts w:eastAsia="Calibri"/>
          <w:lang w:val="es-DO"/>
        </w:rPr>
      </w:pPr>
      <w:r w:rsidRPr="00B60447">
        <w:rPr>
          <w:rFonts w:eastAsia="Calibri"/>
          <w:lang w:val="es-DO"/>
        </w:rPr>
        <w:t xml:space="preserve">En el cuadro siguiente se muestra la proyección de visitas esperadas para el año 2025. </w:t>
      </w:r>
    </w:p>
    <w:tbl>
      <w:tblPr>
        <w:tblW w:w="7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0"/>
        <w:gridCol w:w="1130"/>
        <w:gridCol w:w="1131"/>
        <w:gridCol w:w="1131"/>
        <w:gridCol w:w="1151"/>
        <w:gridCol w:w="1395"/>
      </w:tblGrid>
      <w:tr w:rsidR="00A05C68" w:rsidRPr="00A05C68" w14:paraId="25C62603" w14:textId="77777777" w:rsidTr="00A05C68">
        <w:trPr>
          <w:trHeight w:val="315"/>
          <w:jc w:val="center"/>
        </w:trPr>
        <w:tc>
          <w:tcPr>
            <w:tcW w:w="1410" w:type="dxa"/>
            <w:vMerge w:val="restart"/>
            <w:shd w:val="clear" w:color="auto" w:fill="002060"/>
            <w:vAlign w:val="center"/>
            <w:hideMark/>
          </w:tcPr>
          <w:p w14:paraId="0E871F77" w14:textId="3FD5736A" w:rsidR="00A05C68" w:rsidRPr="00A05C68" w:rsidRDefault="00A05C68" w:rsidP="00A05C68">
            <w:pPr>
              <w:spacing w:after="0" w:line="240" w:lineRule="auto"/>
              <w:jc w:val="center"/>
              <w:rPr>
                <w:rFonts w:eastAsia="Calibri"/>
                <w:color w:val="FFFFFF" w:themeColor="background1"/>
                <w:lang w:val="es-MX"/>
              </w:rPr>
            </w:pPr>
            <w:r w:rsidRPr="00A05C68">
              <w:rPr>
                <w:rFonts w:eastAsia="Calibri"/>
                <w:b/>
                <w:bCs/>
                <w:color w:val="FFFFFF" w:themeColor="background1"/>
                <w:lang w:val="es-DO"/>
              </w:rPr>
              <w:t>Unidad Medida</w:t>
            </w:r>
            <w:r w:rsidRPr="00A05C68">
              <w:rPr>
                <w:rFonts w:eastAsia="Calibri"/>
                <w:color w:val="FFFFFF" w:themeColor="background1"/>
                <w:lang w:val="es-DO"/>
              </w:rPr>
              <w:t> </w:t>
            </w:r>
          </w:p>
        </w:tc>
        <w:tc>
          <w:tcPr>
            <w:tcW w:w="4543" w:type="dxa"/>
            <w:gridSpan w:val="4"/>
            <w:shd w:val="clear" w:color="auto" w:fill="002060"/>
            <w:vAlign w:val="center"/>
            <w:hideMark/>
          </w:tcPr>
          <w:p w14:paraId="70CEBEAB" w14:textId="7AB97C9A" w:rsidR="00A05C68" w:rsidRPr="00A05C68" w:rsidRDefault="00A05C68" w:rsidP="00A05C68">
            <w:pPr>
              <w:spacing w:after="0" w:line="240" w:lineRule="auto"/>
              <w:jc w:val="center"/>
              <w:rPr>
                <w:rFonts w:eastAsia="Calibri"/>
                <w:color w:val="FFFFFF" w:themeColor="background1"/>
                <w:lang w:val="es-MX"/>
              </w:rPr>
            </w:pPr>
            <w:r w:rsidRPr="00A05C68">
              <w:rPr>
                <w:rFonts w:eastAsia="Calibri"/>
                <w:b/>
                <w:bCs/>
                <w:color w:val="FFFFFF" w:themeColor="background1"/>
                <w:lang w:val="es-DO"/>
              </w:rPr>
              <w:t>Metas Trimestrales</w:t>
            </w:r>
            <w:r w:rsidRPr="00A05C68">
              <w:rPr>
                <w:rFonts w:eastAsia="Calibri"/>
                <w:color w:val="FFFFFF" w:themeColor="background1"/>
                <w:lang w:val="es-DO"/>
              </w:rPr>
              <w:t> año 2025</w:t>
            </w:r>
          </w:p>
        </w:tc>
        <w:tc>
          <w:tcPr>
            <w:tcW w:w="1395" w:type="dxa"/>
            <w:vMerge w:val="restart"/>
            <w:shd w:val="clear" w:color="auto" w:fill="002060"/>
            <w:vAlign w:val="center"/>
            <w:hideMark/>
          </w:tcPr>
          <w:p w14:paraId="467586EE" w14:textId="38EE0AA5" w:rsidR="00A05C68" w:rsidRPr="00A05C68" w:rsidRDefault="00A05C68" w:rsidP="00A05C68">
            <w:pPr>
              <w:spacing w:after="0" w:line="240" w:lineRule="auto"/>
              <w:jc w:val="center"/>
              <w:rPr>
                <w:rFonts w:eastAsia="Calibri"/>
                <w:color w:val="FFFFFF" w:themeColor="background1"/>
                <w:lang w:val="es-MX"/>
              </w:rPr>
            </w:pPr>
            <w:r w:rsidRPr="00A05C68">
              <w:rPr>
                <w:rFonts w:eastAsia="Calibri"/>
                <w:b/>
                <w:bCs/>
                <w:color w:val="FFFFFF" w:themeColor="background1"/>
                <w:lang w:val="es-DO"/>
              </w:rPr>
              <w:t>Total</w:t>
            </w:r>
            <w:r w:rsidRPr="00A05C68">
              <w:rPr>
                <w:rFonts w:eastAsia="Calibri"/>
                <w:color w:val="FFFFFF" w:themeColor="background1"/>
                <w:lang w:val="es-DO"/>
              </w:rPr>
              <w:t> </w:t>
            </w:r>
          </w:p>
        </w:tc>
      </w:tr>
      <w:tr w:rsidR="00A05C68" w:rsidRPr="00A05C68" w14:paraId="1E632802" w14:textId="77777777" w:rsidTr="00A05C68">
        <w:trPr>
          <w:trHeight w:val="225"/>
          <w:jc w:val="center"/>
        </w:trPr>
        <w:tc>
          <w:tcPr>
            <w:tcW w:w="1410" w:type="dxa"/>
            <w:vMerge/>
            <w:vAlign w:val="center"/>
            <w:hideMark/>
          </w:tcPr>
          <w:p w14:paraId="34EC0E43" w14:textId="77777777" w:rsidR="00A05C68" w:rsidRPr="00A05C68" w:rsidRDefault="00A05C68" w:rsidP="00A05C68">
            <w:pPr>
              <w:spacing w:after="0" w:line="240" w:lineRule="auto"/>
              <w:jc w:val="both"/>
              <w:rPr>
                <w:rFonts w:eastAsia="Calibri"/>
                <w:lang w:val="es-MX"/>
              </w:rPr>
            </w:pPr>
          </w:p>
        </w:tc>
        <w:tc>
          <w:tcPr>
            <w:tcW w:w="1130" w:type="dxa"/>
            <w:shd w:val="clear" w:color="auto" w:fill="002060"/>
            <w:vAlign w:val="center"/>
            <w:hideMark/>
          </w:tcPr>
          <w:p w14:paraId="5EEBFDD9" w14:textId="58FF481E" w:rsidR="00A05C68" w:rsidRPr="00A05C68" w:rsidRDefault="00A05C68" w:rsidP="00A05C68">
            <w:pPr>
              <w:spacing w:after="0" w:line="240" w:lineRule="auto"/>
              <w:jc w:val="center"/>
              <w:rPr>
                <w:rFonts w:eastAsia="Calibri"/>
                <w:color w:val="FFFFFF" w:themeColor="background1"/>
                <w:lang w:val="es-MX"/>
              </w:rPr>
            </w:pPr>
            <w:r w:rsidRPr="00A05C68">
              <w:rPr>
                <w:rFonts w:eastAsia="Calibri"/>
                <w:b/>
                <w:bCs/>
                <w:color w:val="FFFFFF" w:themeColor="background1"/>
                <w:lang w:val="es-DO"/>
              </w:rPr>
              <w:t>T-1</w:t>
            </w:r>
            <w:r w:rsidRPr="00A05C68">
              <w:rPr>
                <w:rFonts w:eastAsia="Calibri"/>
                <w:color w:val="FFFFFF" w:themeColor="background1"/>
                <w:lang w:val="es-DO"/>
              </w:rPr>
              <w:t> </w:t>
            </w:r>
          </w:p>
        </w:tc>
        <w:tc>
          <w:tcPr>
            <w:tcW w:w="1131" w:type="dxa"/>
            <w:shd w:val="clear" w:color="auto" w:fill="002060"/>
            <w:vAlign w:val="center"/>
            <w:hideMark/>
          </w:tcPr>
          <w:p w14:paraId="1E76620C" w14:textId="547E8B74" w:rsidR="00A05C68" w:rsidRPr="00A05C68" w:rsidRDefault="00A05C68" w:rsidP="00A05C68">
            <w:pPr>
              <w:spacing w:after="0" w:line="240" w:lineRule="auto"/>
              <w:jc w:val="center"/>
              <w:rPr>
                <w:rFonts w:eastAsia="Calibri"/>
                <w:color w:val="FFFFFF" w:themeColor="background1"/>
                <w:lang w:val="es-MX"/>
              </w:rPr>
            </w:pPr>
            <w:r w:rsidRPr="00A05C68">
              <w:rPr>
                <w:rFonts w:eastAsia="Calibri"/>
                <w:b/>
                <w:bCs/>
                <w:color w:val="FFFFFF" w:themeColor="background1"/>
                <w:lang w:val="es-DO"/>
              </w:rPr>
              <w:t>T-2</w:t>
            </w:r>
            <w:r w:rsidRPr="00A05C68">
              <w:rPr>
                <w:rFonts w:eastAsia="Calibri"/>
                <w:color w:val="FFFFFF" w:themeColor="background1"/>
                <w:lang w:val="es-DO"/>
              </w:rPr>
              <w:t> </w:t>
            </w:r>
          </w:p>
        </w:tc>
        <w:tc>
          <w:tcPr>
            <w:tcW w:w="1131" w:type="dxa"/>
            <w:shd w:val="clear" w:color="auto" w:fill="002060"/>
            <w:vAlign w:val="center"/>
            <w:hideMark/>
          </w:tcPr>
          <w:p w14:paraId="3E9C35A2" w14:textId="15B8B1D7" w:rsidR="00A05C68" w:rsidRPr="00A05C68" w:rsidRDefault="00A05C68" w:rsidP="00A05C68">
            <w:pPr>
              <w:spacing w:after="0" w:line="240" w:lineRule="auto"/>
              <w:jc w:val="center"/>
              <w:rPr>
                <w:rFonts w:eastAsia="Calibri"/>
                <w:color w:val="FFFFFF" w:themeColor="background1"/>
                <w:lang w:val="es-MX"/>
              </w:rPr>
            </w:pPr>
            <w:r w:rsidRPr="00A05C68">
              <w:rPr>
                <w:rFonts w:eastAsia="Calibri"/>
                <w:b/>
                <w:bCs/>
                <w:color w:val="FFFFFF" w:themeColor="background1"/>
                <w:lang w:val="es-DO"/>
              </w:rPr>
              <w:t>T-3</w:t>
            </w:r>
            <w:r w:rsidRPr="00A05C68">
              <w:rPr>
                <w:rFonts w:eastAsia="Calibri"/>
                <w:color w:val="FFFFFF" w:themeColor="background1"/>
                <w:lang w:val="es-DO"/>
              </w:rPr>
              <w:t> </w:t>
            </w:r>
          </w:p>
        </w:tc>
        <w:tc>
          <w:tcPr>
            <w:tcW w:w="1151" w:type="dxa"/>
            <w:shd w:val="clear" w:color="auto" w:fill="002060"/>
            <w:vAlign w:val="center"/>
            <w:hideMark/>
          </w:tcPr>
          <w:p w14:paraId="09C26870" w14:textId="698B50A2" w:rsidR="00A05C68" w:rsidRPr="00A05C68" w:rsidRDefault="00A05C68" w:rsidP="00A05C68">
            <w:pPr>
              <w:spacing w:after="0" w:line="240" w:lineRule="auto"/>
              <w:jc w:val="center"/>
              <w:rPr>
                <w:rFonts w:eastAsia="Calibri"/>
                <w:color w:val="FFFFFF" w:themeColor="background1"/>
                <w:lang w:val="es-MX"/>
              </w:rPr>
            </w:pPr>
            <w:r w:rsidRPr="00A05C68">
              <w:rPr>
                <w:rFonts w:eastAsia="Calibri"/>
                <w:b/>
                <w:bCs/>
                <w:color w:val="FFFFFF" w:themeColor="background1"/>
                <w:lang w:val="es-DO"/>
              </w:rPr>
              <w:t>T-4</w:t>
            </w:r>
            <w:r w:rsidRPr="00A05C68">
              <w:rPr>
                <w:rFonts w:eastAsia="Calibri"/>
                <w:color w:val="FFFFFF" w:themeColor="background1"/>
                <w:lang w:val="es-DO"/>
              </w:rPr>
              <w:t> </w:t>
            </w:r>
          </w:p>
        </w:tc>
        <w:tc>
          <w:tcPr>
            <w:tcW w:w="0" w:type="auto"/>
            <w:vMerge/>
            <w:vAlign w:val="center"/>
            <w:hideMark/>
          </w:tcPr>
          <w:p w14:paraId="022D4956" w14:textId="77777777" w:rsidR="00A05C68" w:rsidRPr="00A05C68" w:rsidRDefault="00A05C68" w:rsidP="00A05C68">
            <w:pPr>
              <w:spacing w:after="0" w:line="240" w:lineRule="auto"/>
              <w:jc w:val="both"/>
              <w:rPr>
                <w:rFonts w:eastAsia="Calibri"/>
                <w:lang w:val="es-MX"/>
              </w:rPr>
            </w:pPr>
          </w:p>
        </w:tc>
      </w:tr>
      <w:tr w:rsidR="00A05C68" w:rsidRPr="00A05C68" w14:paraId="50B8B9E3" w14:textId="77777777" w:rsidTr="00A05C68">
        <w:trPr>
          <w:trHeight w:val="248"/>
          <w:jc w:val="center"/>
        </w:trPr>
        <w:tc>
          <w:tcPr>
            <w:tcW w:w="1410" w:type="dxa"/>
            <w:vAlign w:val="center"/>
            <w:hideMark/>
          </w:tcPr>
          <w:p w14:paraId="4880156A" w14:textId="77777777" w:rsidR="00A05C68" w:rsidRPr="00A05C68" w:rsidRDefault="00A05C68" w:rsidP="00A05C68">
            <w:pPr>
              <w:spacing w:after="0" w:line="240" w:lineRule="auto"/>
              <w:jc w:val="both"/>
              <w:rPr>
                <w:rFonts w:eastAsia="Calibri"/>
                <w:lang w:val="es-MX"/>
              </w:rPr>
            </w:pPr>
            <w:r w:rsidRPr="00A05C68">
              <w:rPr>
                <w:rFonts w:eastAsia="Calibri"/>
                <w:lang w:val="es-DO"/>
              </w:rPr>
              <w:t>Visitas </w:t>
            </w:r>
            <w:r w:rsidRPr="00A05C68">
              <w:rPr>
                <w:rFonts w:eastAsia="Calibri"/>
                <w:lang w:val="es-MX"/>
              </w:rPr>
              <w:t> </w:t>
            </w:r>
          </w:p>
        </w:tc>
        <w:tc>
          <w:tcPr>
            <w:tcW w:w="1130" w:type="dxa"/>
            <w:vAlign w:val="center"/>
            <w:hideMark/>
          </w:tcPr>
          <w:p w14:paraId="74C25FBE" w14:textId="440CC7A8" w:rsidR="00A05C68" w:rsidRPr="00A05C68" w:rsidRDefault="00A05C68" w:rsidP="00A05C68">
            <w:pPr>
              <w:spacing w:after="0" w:line="240" w:lineRule="auto"/>
              <w:jc w:val="center"/>
              <w:rPr>
                <w:rFonts w:eastAsia="Calibri"/>
                <w:lang w:val="es-MX"/>
              </w:rPr>
            </w:pPr>
            <w:r w:rsidRPr="00A05C68">
              <w:rPr>
                <w:rFonts w:eastAsia="Calibri"/>
                <w:lang w:val="es-DO"/>
              </w:rPr>
              <w:t>259,616 </w:t>
            </w:r>
          </w:p>
        </w:tc>
        <w:tc>
          <w:tcPr>
            <w:tcW w:w="1131" w:type="dxa"/>
            <w:vAlign w:val="center"/>
            <w:hideMark/>
          </w:tcPr>
          <w:p w14:paraId="5FDFECDD" w14:textId="7376A270" w:rsidR="00A05C68" w:rsidRPr="00A05C68" w:rsidRDefault="00A05C68" w:rsidP="00A05C68">
            <w:pPr>
              <w:spacing w:after="0" w:line="240" w:lineRule="auto"/>
              <w:jc w:val="center"/>
              <w:rPr>
                <w:rFonts w:eastAsia="Calibri"/>
                <w:lang w:val="es-MX"/>
              </w:rPr>
            </w:pPr>
            <w:r w:rsidRPr="00A05C68">
              <w:rPr>
                <w:rFonts w:eastAsia="Calibri"/>
                <w:lang w:val="es-DO"/>
              </w:rPr>
              <w:t>396,138</w:t>
            </w:r>
          </w:p>
        </w:tc>
        <w:tc>
          <w:tcPr>
            <w:tcW w:w="1131" w:type="dxa"/>
            <w:vAlign w:val="center"/>
            <w:hideMark/>
          </w:tcPr>
          <w:p w14:paraId="2C8EC968" w14:textId="7C479862" w:rsidR="00A05C68" w:rsidRPr="00A05C68" w:rsidRDefault="00A05C68" w:rsidP="00A05C68">
            <w:pPr>
              <w:spacing w:after="0" w:line="240" w:lineRule="auto"/>
              <w:jc w:val="center"/>
              <w:rPr>
                <w:rFonts w:eastAsia="Calibri"/>
                <w:lang w:val="es-MX"/>
              </w:rPr>
            </w:pPr>
            <w:r w:rsidRPr="00A05C68">
              <w:rPr>
                <w:rFonts w:eastAsia="Calibri"/>
                <w:lang w:val="es-DO"/>
              </w:rPr>
              <w:t>259,532</w:t>
            </w:r>
          </w:p>
        </w:tc>
        <w:tc>
          <w:tcPr>
            <w:tcW w:w="1151" w:type="dxa"/>
            <w:vAlign w:val="center"/>
            <w:hideMark/>
          </w:tcPr>
          <w:p w14:paraId="7CD15C91" w14:textId="65C2911A" w:rsidR="00A05C68" w:rsidRPr="00A05C68" w:rsidRDefault="00A05C68" w:rsidP="00A05C68">
            <w:pPr>
              <w:spacing w:after="0" w:line="240" w:lineRule="auto"/>
              <w:jc w:val="center"/>
              <w:rPr>
                <w:rFonts w:eastAsia="Calibri"/>
                <w:lang w:val="es-MX"/>
              </w:rPr>
            </w:pPr>
            <w:r w:rsidRPr="00A05C68">
              <w:rPr>
                <w:rFonts w:eastAsia="Calibri"/>
                <w:lang w:val="es-DO"/>
              </w:rPr>
              <w:t>709,714</w:t>
            </w:r>
          </w:p>
        </w:tc>
        <w:tc>
          <w:tcPr>
            <w:tcW w:w="1395" w:type="dxa"/>
            <w:vAlign w:val="center"/>
            <w:hideMark/>
          </w:tcPr>
          <w:p w14:paraId="06D912F3" w14:textId="0A7F2AC6" w:rsidR="00A05C68" w:rsidRPr="00A05C68" w:rsidRDefault="00A05C68" w:rsidP="00A05C68">
            <w:pPr>
              <w:spacing w:after="0" w:line="240" w:lineRule="auto"/>
              <w:jc w:val="center"/>
              <w:rPr>
                <w:rFonts w:eastAsia="Calibri"/>
                <w:lang w:val="es-MX"/>
              </w:rPr>
            </w:pPr>
            <w:r w:rsidRPr="00A05C68">
              <w:rPr>
                <w:rFonts w:eastAsia="Calibri"/>
                <w:b/>
                <w:bCs/>
                <w:lang w:val="es-DO"/>
              </w:rPr>
              <w:t>1,625,000</w:t>
            </w:r>
          </w:p>
        </w:tc>
      </w:tr>
    </w:tbl>
    <w:p w14:paraId="3322F178" w14:textId="4B1ABE82" w:rsidR="00B60447" w:rsidRDefault="00A05C68" w:rsidP="00B60447">
      <w:pPr>
        <w:spacing w:line="360" w:lineRule="auto"/>
        <w:jc w:val="both"/>
        <w:rPr>
          <w:rFonts w:eastAsia="Calibri"/>
          <w:i/>
          <w:iCs/>
          <w:lang w:val="es-DO"/>
        </w:rPr>
      </w:pPr>
      <w:r>
        <w:rPr>
          <w:rFonts w:eastAsia="Calibri"/>
          <w:i/>
          <w:iCs/>
          <w:lang w:val="es-DO"/>
        </w:rPr>
        <w:t xml:space="preserve">    </w:t>
      </w:r>
      <w:r w:rsidR="00B60447" w:rsidRPr="00D52943">
        <w:rPr>
          <w:rFonts w:eastAsia="Calibri"/>
          <w:i/>
          <w:iCs/>
          <w:sz w:val="22"/>
          <w:szCs w:val="22"/>
          <w:lang w:val="es-DO"/>
        </w:rPr>
        <w:t xml:space="preserve">Cuadro </w:t>
      </w:r>
      <w:r w:rsidRPr="00D52943">
        <w:rPr>
          <w:rFonts w:eastAsia="Calibri"/>
          <w:i/>
          <w:iCs/>
          <w:sz w:val="22"/>
          <w:szCs w:val="22"/>
          <w:lang w:val="es-DO"/>
        </w:rPr>
        <w:t>8.</w:t>
      </w:r>
      <w:r w:rsidR="00B60447" w:rsidRPr="00D52943">
        <w:rPr>
          <w:rFonts w:eastAsia="Calibri"/>
          <w:i/>
          <w:iCs/>
          <w:sz w:val="22"/>
          <w:szCs w:val="22"/>
          <w:lang w:val="es-DO"/>
        </w:rPr>
        <w:t xml:space="preserve"> Proyección cantidad de visitas año 2025. </w:t>
      </w:r>
      <w:r w:rsidRPr="00D52943">
        <w:rPr>
          <w:rFonts w:eastAsia="Calibri"/>
          <w:i/>
          <w:iCs/>
          <w:sz w:val="22"/>
          <w:szCs w:val="22"/>
          <w:lang w:val="es-DO"/>
        </w:rPr>
        <w:t>Fuente: SIGEF</w:t>
      </w:r>
    </w:p>
    <w:p w14:paraId="208F93E0" w14:textId="4AA739E9" w:rsidR="00360F77" w:rsidRDefault="001A31CE" w:rsidP="00427D27">
      <w:pPr>
        <w:spacing w:line="360" w:lineRule="auto"/>
        <w:jc w:val="both"/>
        <w:rPr>
          <w:rFonts w:eastAsia="Calibri"/>
          <w:lang w:val="es-DO"/>
        </w:rPr>
      </w:pPr>
      <w:r w:rsidRPr="001A31CE">
        <w:rPr>
          <w:rFonts w:eastAsia="Calibri"/>
          <w:lang w:val="es-DO"/>
        </w:rPr>
        <w:t xml:space="preserve">Al </w:t>
      </w:r>
      <w:r w:rsidR="00321494">
        <w:rPr>
          <w:rFonts w:eastAsia="Calibri"/>
          <w:lang w:val="es-DO"/>
        </w:rPr>
        <w:t>31</w:t>
      </w:r>
      <w:r w:rsidRPr="001A31CE">
        <w:rPr>
          <w:rFonts w:eastAsia="Calibri"/>
          <w:lang w:val="es-DO"/>
        </w:rPr>
        <w:t xml:space="preserve"> de diciembre de 2025, la afluencia de visitantes</w:t>
      </w:r>
      <w:r w:rsidR="00321494">
        <w:rPr>
          <w:rFonts w:eastAsia="Calibri"/>
          <w:lang w:val="es-DO"/>
        </w:rPr>
        <w:t xml:space="preserve"> a los museos</w:t>
      </w:r>
      <w:r w:rsidRPr="001A31CE">
        <w:rPr>
          <w:rFonts w:eastAsia="Calibri"/>
          <w:lang w:val="es-DO"/>
        </w:rPr>
        <w:t xml:space="preserve"> y participantes en </w:t>
      </w:r>
      <w:r w:rsidR="00321494">
        <w:rPr>
          <w:rFonts w:eastAsia="Calibri"/>
          <w:lang w:val="es-DO"/>
        </w:rPr>
        <w:t>las</w:t>
      </w:r>
      <w:r w:rsidRPr="001A31CE">
        <w:rPr>
          <w:rFonts w:eastAsia="Calibri"/>
          <w:lang w:val="es-DO"/>
        </w:rPr>
        <w:t xml:space="preserve"> actividades consideradas en el sistema de medición alcanzó un total de 1,</w:t>
      </w:r>
      <w:r w:rsidR="00ED4A0E">
        <w:rPr>
          <w:rFonts w:eastAsia="Calibri"/>
          <w:lang w:val="es-DO"/>
        </w:rPr>
        <w:t>417</w:t>
      </w:r>
      <w:r w:rsidRPr="001A31CE">
        <w:rPr>
          <w:rFonts w:eastAsia="Calibri"/>
          <w:lang w:val="es-DO"/>
        </w:rPr>
        <w:t>,</w:t>
      </w:r>
      <w:r w:rsidR="00ED4A0E">
        <w:rPr>
          <w:rFonts w:eastAsia="Calibri"/>
          <w:lang w:val="es-DO"/>
        </w:rPr>
        <w:t>740</w:t>
      </w:r>
      <w:r w:rsidRPr="001A31CE">
        <w:rPr>
          <w:rFonts w:eastAsia="Calibri"/>
          <w:lang w:val="es-DO"/>
        </w:rPr>
        <w:t xml:space="preserve"> personas, frente a una programación anual de 1,625,000 visitas, lo que representa un nivel de ejecución aproximado del </w:t>
      </w:r>
      <w:r w:rsidR="00ED4A0E">
        <w:rPr>
          <w:rFonts w:eastAsia="Calibri"/>
          <w:lang w:val="es-DO"/>
        </w:rPr>
        <w:t>87</w:t>
      </w:r>
      <w:r w:rsidRPr="001A31CE">
        <w:rPr>
          <w:rFonts w:eastAsia="Calibri"/>
          <w:lang w:val="es-DO"/>
        </w:rPr>
        <w:t xml:space="preserve">%. </w:t>
      </w:r>
    </w:p>
    <w:tbl>
      <w:tblPr>
        <w:tblW w:w="8338" w:type="dxa"/>
        <w:jc w:val="center"/>
        <w:tblCellMar>
          <w:left w:w="70" w:type="dxa"/>
          <w:right w:w="70" w:type="dxa"/>
        </w:tblCellMar>
        <w:tblLook w:val="04A0" w:firstRow="1" w:lastRow="0" w:firstColumn="1" w:lastColumn="0" w:noHBand="0" w:noVBand="1"/>
      </w:tblPr>
      <w:tblGrid>
        <w:gridCol w:w="540"/>
        <w:gridCol w:w="3855"/>
        <w:gridCol w:w="1065"/>
        <w:gridCol w:w="1020"/>
        <w:gridCol w:w="1107"/>
        <w:gridCol w:w="751"/>
      </w:tblGrid>
      <w:tr w:rsidR="00B1458A" w:rsidRPr="00B468F6" w14:paraId="1AD3B6AA" w14:textId="77777777" w:rsidTr="00321494">
        <w:trPr>
          <w:trHeight w:val="540"/>
          <w:jc w:val="center"/>
        </w:trPr>
        <w:tc>
          <w:tcPr>
            <w:tcW w:w="540" w:type="dxa"/>
            <w:tcBorders>
              <w:top w:val="single" w:sz="8" w:space="0" w:color="595959"/>
              <w:left w:val="nil"/>
              <w:bottom w:val="single" w:sz="8" w:space="0" w:color="595959"/>
              <w:right w:val="single" w:sz="8" w:space="0" w:color="595959"/>
            </w:tcBorders>
            <w:shd w:val="clear" w:color="000000" w:fill="002060"/>
            <w:noWrap/>
            <w:vAlign w:val="center"/>
            <w:hideMark/>
          </w:tcPr>
          <w:p w14:paraId="49EC7D76" w14:textId="22DA0126" w:rsidR="00B468F6" w:rsidRPr="00B468F6" w:rsidRDefault="00B468F6" w:rsidP="00B468F6">
            <w:pPr>
              <w:spacing w:after="0" w:line="240" w:lineRule="auto"/>
              <w:jc w:val="center"/>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Ítem</w:t>
            </w:r>
          </w:p>
        </w:tc>
        <w:tc>
          <w:tcPr>
            <w:tcW w:w="3855" w:type="dxa"/>
            <w:tcBorders>
              <w:top w:val="single" w:sz="8" w:space="0" w:color="595959"/>
              <w:left w:val="nil"/>
              <w:bottom w:val="single" w:sz="8" w:space="0" w:color="595959"/>
              <w:right w:val="single" w:sz="8" w:space="0" w:color="595959"/>
            </w:tcBorders>
            <w:shd w:val="clear" w:color="000000" w:fill="002060"/>
            <w:noWrap/>
            <w:vAlign w:val="center"/>
            <w:hideMark/>
          </w:tcPr>
          <w:p w14:paraId="1095FC0D" w14:textId="77777777" w:rsidR="00B468F6" w:rsidRPr="00B468F6" w:rsidRDefault="00B468F6" w:rsidP="00B468F6">
            <w:pPr>
              <w:spacing w:after="0" w:line="240" w:lineRule="auto"/>
              <w:jc w:val="center"/>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Descripción</w:t>
            </w:r>
          </w:p>
        </w:tc>
        <w:tc>
          <w:tcPr>
            <w:tcW w:w="1063" w:type="dxa"/>
            <w:tcBorders>
              <w:top w:val="single" w:sz="8" w:space="0" w:color="595959"/>
              <w:left w:val="nil"/>
              <w:bottom w:val="single" w:sz="8" w:space="0" w:color="595959"/>
              <w:right w:val="single" w:sz="8" w:space="0" w:color="595959"/>
            </w:tcBorders>
            <w:shd w:val="clear" w:color="000000" w:fill="002060"/>
            <w:noWrap/>
            <w:vAlign w:val="center"/>
            <w:hideMark/>
          </w:tcPr>
          <w:p w14:paraId="64F32C94" w14:textId="77777777" w:rsidR="00B468F6" w:rsidRPr="00B468F6" w:rsidRDefault="00B468F6" w:rsidP="00B468F6">
            <w:pPr>
              <w:spacing w:after="0" w:line="240" w:lineRule="auto"/>
              <w:jc w:val="center"/>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Cantidad de Museos</w:t>
            </w:r>
          </w:p>
        </w:tc>
        <w:tc>
          <w:tcPr>
            <w:tcW w:w="1020" w:type="dxa"/>
            <w:tcBorders>
              <w:top w:val="single" w:sz="8" w:space="0" w:color="595959"/>
              <w:left w:val="nil"/>
              <w:bottom w:val="single" w:sz="8" w:space="0" w:color="595959"/>
              <w:right w:val="single" w:sz="8" w:space="0" w:color="595959"/>
            </w:tcBorders>
            <w:shd w:val="clear" w:color="000000" w:fill="002060"/>
            <w:noWrap/>
            <w:vAlign w:val="center"/>
            <w:hideMark/>
          </w:tcPr>
          <w:p w14:paraId="600209E6" w14:textId="77777777" w:rsidR="00B468F6" w:rsidRPr="00B468F6" w:rsidRDefault="00B468F6" w:rsidP="00B468F6">
            <w:pPr>
              <w:spacing w:after="0" w:line="240" w:lineRule="auto"/>
              <w:jc w:val="center"/>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Meta -2025</w:t>
            </w:r>
          </w:p>
        </w:tc>
        <w:tc>
          <w:tcPr>
            <w:tcW w:w="1107" w:type="dxa"/>
            <w:tcBorders>
              <w:top w:val="single" w:sz="8" w:space="0" w:color="595959"/>
              <w:left w:val="nil"/>
              <w:bottom w:val="single" w:sz="8" w:space="0" w:color="595959"/>
              <w:right w:val="single" w:sz="8" w:space="0" w:color="595959"/>
            </w:tcBorders>
            <w:shd w:val="clear" w:color="000000" w:fill="002060"/>
            <w:vAlign w:val="center"/>
            <w:hideMark/>
          </w:tcPr>
          <w:p w14:paraId="4942981E" w14:textId="77777777" w:rsidR="00B468F6" w:rsidRPr="00B468F6" w:rsidRDefault="00B468F6" w:rsidP="00B468F6">
            <w:pPr>
              <w:spacing w:after="0" w:line="240" w:lineRule="auto"/>
              <w:jc w:val="center"/>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Logro al 15/12/2025</w:t>
            </w:r>
          </w:p>
        </w:tc>
        <w:tc>
          <w:tcPr>
            <w:tcW w:w="751" w:type="dxa"/>
            <w:tcBorders>
              <w:top w:val="single" w:sz="8" w:space="0" w:color="595959"/>
              <w:left w:val="nil"/>
              <w:bottom w:val="single" w:sz="8" w:space="0" w:color="595959"/>
              <w:right w:val="single" w:sz="8" w:space="0" w:color="595959"/>
            </w:tcBorders>
            <w:shd w:val="clear" w:color="000000" w:fill="002060"/>
            <w:noWrap/>
            <w:vAlign w:val="center"/>
            <w:hideMark/>
          </w:tcPr>
          <w:p w14:paraId="1AD28F64" w14:textId="116B5B30" w:rsidR="00B468F6" w:rsidRPr="00B468F6" w:rsidRDefault="00321494" w:rsidP="00B468F6">
            <w:pPr>
              <w:spacing w:after="0" w:line="240" w:lineRule="auto"/>
              <w:jc w:val="center"/>
              <w:rPr>
                <w:rFonts w:eastAsia="Times New Roman"/>
                <w:b/>
                <w:bCs/>
                <w:color w:val="FFFFFF"/>
                <w:spacing w:val="0"/>
                <w:sz w:val="20"/>
                <w:szCs w:val="20"/>
                <w:lang w:val="es-MX" w:eastAsia="es-MX"/>
              </w:rPr>
            </w:pPr>
            <w:proofErr w:type="spellStart"/>
            <w:r>
              <w:rPr>
                <w:rFonts w:eastAsia="Times New Roman"/>
                <w:b/>
                <w:bCs/>
                <w:color w:val="FFFFFF"/>
                <w:spacing w:val="0"/>
                <w:sz w:val="20"/>
                <w:szCs w:val="20"/>
                <w:lang w:val="es-MX" w:eastAsia="es-MX"/>
              </w:rPr>
              <w:t>Ejec</w:t>
            </w:r>
            <w:proofErr w:type="spellEnd"/>
            <w:r>
              <w:rPr>
                <w:rFonts w:eastAsia="Times New Roman"/>
                <w:b/>
                <w:bCs/>
                <w:color w:val="FFFFFF"/>
                <w:spacing w:val="0"/>
                <w:sz w:val="20"/>
                <w:szCs w:val="20"/>
                <w:lang w:val="es-MX" w:eastAsia="es-MX"/>
              </w:rPr>
              <w:t>.</w:t>
            </w:r>
            <w:r w:rsidR="00B468F6" w:rsidRPr="00B468F6">
              <w:rPr>
                <w:rFonts w:eastAsia="Times New Roman"/>
                <w:b/>
                <w:bCs/>
                <w:color w:val="FFFFFF"/>
                <w:spacing w:val="0"/>
                <w:sz w:val="20"/>
                <w:szCs w:val="20"/>
                <w:lang w:val="es-MX" w:eastAsia="es-MX"/>
              </w:rPr>
              <w:t xml:space="preserve"> (%)</w:t>
            </w:r>
          </w:p>
        </w:tc>
      </w:tr>
      <w:tr w:rsidR="0081777F" w:rsidRPr="00B468F6" w14:paraId="74C41AEC" w14:textId="77777777" w:rsidTr="00321494">
        <w:trPr>
          <w:trHeight w:val="329"/>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4713483C" w14:textId="77777777" w:rsidR="0081777F" w:rsidRPr="00B468F6" w:rsidRDefault="0081777F"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1</w:t>
            </w:r>
          </w:p>
        </w:tc>
        <w:tc>
          <w:tcPr>
            <w:tcW w:w="3855" w:type="dxa"/>
            <w:tcBorders>
              <w:top w:val="single" w:sz="4" w:space="0" w:color="auto"/>
              <w:left w:val="nil"/>
              <w:bottom w:val="single" w:sz="4" w:space="0" w:color="auto"/>
              <w:right w:val="single" w:sz="4" w:space="0" w:color="auto"/>
            </w:tcBorders>
            <w:vAlign w:val="center"/>
            <w:hideMark/>
          </w:tcPr>
          <w:p w14:paraId="49C713A4" w14:textId="77777777" w:rsidR="0081777F" w:rsidRPr="00B468F6" w:rsidRDefault="0081777F" w:rsidP="00B468F6">
            <w:pPr>
              <w:spacing w:after="0" w:line="240" w:lineRule="auto"/>
              <w:rPr>
                <w:rFonts w:eastAsia="Times New Roman"/>
                <w:spacing w:val="0"/>
                <w:sz w:val="22"/>
                <w:szCs w:val="22"/>
                <w:lang w:val="es-MX" w:eastAsia="es-MX"/>
              </w:rPr>
            </w:pPr>
            <w:r w:rsidRPr="00B468F6">
              <w:rPr>
                <w:rFonts w:eastAsia="Times New Roman"/>
                <w:spacing w:val="0"/>
                <w:sz w:val="22"/>
                <w:szCs w:val="22"/>
                <w:lang w:val="es-MX" w:eastAsia="es-MX"/>
              </w:rPr>
              <w:t>Visitas a los museos Adscritos a la DGM</w:t>
            </w:r>
          </w:p>
        </w:tc>
        <w:tc>
          <w:tcPr>
            <w:tcW w:w="1063" w:type="dxa"/>
            <w:tcBorders>
              <w:top w:val="single" w:sz="4" w:space="0" w:color="auto"/>
              <w:left w:val="nil"/>
              <w:bottom w:val="single" w:sz="4" w:space="0" w:color="auto"/>
              <w:right w:val="single" w:sz="4" w:space="0" w:color="auto"/>
            </w:tcBorders>
            <w:noWrap/>
            <w:vAlign w:val="center"/>
            <w:hideMark/>
          </w:tcPr>
          <w:p w14:paraId="75495F5B" w14:textId="77777777" w:rsidR="0081777F" w:rsidRPr="00B468F6" w:rsidRDefault="0081777F"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14</w:t>
            </w:r>
          </w:p>
        </w:tc>
        <w:tc>
          <w:tcPr>
            <w:tcW w:w="1020" w:type="dxa"/>
            <w:vMerge w:val="restart"/>
            <w:tcBorders>
              <w:top w:val="single" w:sz="4" w:space="0" w:color="auto"/>
              <w:left w:val="single" w:sz="4" w:space="0" w:color="auto"/>
              <w:right w:val="single" w:sz="4" w:space="0" w:color="auto"/>
            </w:tcBorders>
            <w:noWrap/>
            <w:vAlign w:val="center"/>
            <w:hideMark/>
          </w:tcPr>
          <w:p w14:paraId="1ADC0BAA" w14:textId="77777777" w:rsidR="0081777F" w:rsidRPr="00B468F6" w:rsidRDefault="0081777F"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1,188,675</w:t>
            </w:r>
          </w:p>
        </w:tc>
        <w:tc>
          <w:tcPr>
            <w:tcW w:w="1107" w:type="dxa"/>
            <w:tcBorders>
              <w:top w:val="single" w:sz="4" w:space="0" w:color="auto"/>
              <w:left w:val="nil"/>
              <w:bottom w:val="single" w:sz="4" w:space="0" w:color="auto"/>
              <w:right w:val="single" w:sz="4" w:space="0" w:color="auto"/>
            </w:tcBorders>
            <w:noWrap/>
            <w:vAlign w:val="center"/>
            <w:hideMark/>
          </w:tcPr>
          <w:p w14:paraId="06B837ED" w14:textId="77777777" w:rsidR="0081777F" w:rsidRPr="00B468F6" w:rsidRDefault="0081777F"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644,046</w:t>
            </w:r>
          </w:p>
        </w:tc>
        <w:tc>
          <w:tcPr>
            <w:tcW w:w="751" w:type="dxa"/>
            <w:vMerge w:val="restart"/>
            <w:tcBorders>
              <w:top w:val="single" w:sz="4" w:space="0" w:color="auto"/>
              <w:left w:val="single" w:sz="4" w:space="0" w:color="auto"/>
              <w:right w:val="single" w:sz="4" w:space="0" w:color="auto"/>
            </w:tcBorders>
            <w:noWrap/>
            <w:vAlign w:val="center"/>
            <w:hideMark/>
          </w:tcPr>
          <w:p w14:paraId="6446374B" w14:textId="77777777" w:rsidR="0081777F" w:rsidRPr="00B468F6" w:rsidRDefault="0081777F"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81%</w:t>
            </w:r>
          </w:p>
        </w:tc>
      </w:tr>
      <w:tr w:rsidR="0081777F" w:rsidRPr="00B468F6" w14:paraId="19D42824" w14:textId="77777777" w:rsidTr="00321494">
        <w:trPr>
          <w:trHeight w:val="630"/>
          <w:jc w:val="center"/>
        </w:trPr>
        <w:tc>
          <w:tcPr>
            <w:tcW w:w="540" w:type="dxa"/>
            <w:tcBorders>
              <w:top w:val="nil"/>
              <w:left w:val="single" w:sz="4" w:space="0" w:color="auto"/>
              <w:bottom w:val="single" w:sz="4" w:space="0" w:color="auto"/>
              <w:right w:val="single" w:sz="4" w:space="0" w:color="auto"/>
            </w:tcBorders>
            <w:noWrap/>
            <w:vAlign w:val="center"/>
            <w:hideMark/>
          </w:tcPr>
          <w:p w14:paraId="2249D868" w14:textId="77777777" w:rsidR="0081777F" w:rsidRPr="00B468F6" w:rsidRDefault="0081777F"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2</w:t>
            </w:r>
          </w:p>
        </w:tc>
        <w:tc>
          <w:tcPr>
            <w:tcW w:w="3855" w:type="dxa"/>
            <w:tcBorders>
              <w:top w:val="nil"/>
              <w:left w:val="nil"/>
              <w:bottom w:val="single" w:sz="4" w:space="0" w:color="auto"/>
              <w:right w:val="single" w:sz="4" w:space="0" w:color="auto"/>
            </w:tcBorders>
            <w:vAlign w:val="center"/>
            <w:hideMark/>
          </w:tcPr>
          <w:p w14:paraId="05FFCD40" w14:textId="3593463F" w:rsidR="0081777F" w:rsidRPr="00B468F6" w:rsidRDefault="0081777F" w:rsidP="00B468F6">
            <w:pPr>
              <w:spacing w:after="0" w:line="240" w:lineRule="auto"/>
              <w:rPr>
                <w:rFonts w:ascii="Book Antiqua" w:eastAsia="Times New Roman" w:hAnsi="Book Antiqua" w:cs="Calibri"/>
                <w:spacing w:val="0"/>
                <w:sz w:val="22"/>
                <w:szCs w:val="22"/>
                <w:lang w:val="es-MX" w:eastAsia="es-MX"/>
              </w:rPr>
            </w:pPr>
            <w:r w:rsidRPr="00B468F6">
              <w:rPr>
                <w:rFonts w:ascii="Book Antiqua" w:eastAsia="Times New Roman" w:hAnsi="Book Antiqua" w:cs="Calibri"/>
                <w:spacing w:val="0"/>
                <w:sz w:val="22"/>
                <w:szCs w:val="22"/>
                <w:lang w:val="es-MX" w:eastAsia="es-MX"/>
              </w:rPr>
              <w:t xml:space="preserve">Participantes a las actividades misiones de los museos de la DGM </w:t>
            </w:r>
          </w:p>
        </w:tc>
        <w:tc>
          <w:tcPr>
            <w:tcW w:w="1063" w:type="dxa"/>
            <w:tcBorders>
              <w:top w:val="nil"/>
              <w:left w:val="nil"/>
              <w:bottom w:val="single" w:sz="4" w:space="0" w:color="auto"/>
              <w:right w:val="single" w:sz="4" w:space="0" w:color="auto"/>
            </w:tcBorders>
            <w:noWrap/>
            <w:vAlign w:val="center"/>
            <w:hideMark/>
          </w:tcPr>
          <w:p w14:paraId="4171BDF5" w14:textId="77777777" w:rsidR="0081777F" w:rsidRPr="00B468F6" w:rsidRDefault="0081777F"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14</w:t>
            </w:r>
          </w:p>
        </w:tc>
        <w:tc>
          <w:tcPr>
            <w:tcW w:w="1020" w:type="dxa"/>
            <w:vMerge/>
            <w:tcBorders>
              <w:left w:val="single" w:sz="4" w:space="0" w:color="auto"/>
              <w:right w:val="single" w:sz="4" w:space="0" w:color="auto"/>
            </w:tcBorders>
            <w:vAlign w:val="center"/>
            <w:hideMark/>
          </w:tcPr>
          <w:p w14:paraId="43913233" w14:textId="77777777" w:rsidR="0081777F" w:rsidRPr="00B468F6" w:rsidRDefault="0081777F" w:rsidP="00B468F6">
            <w:pPr>
              <w:spacing w:after="0" w:line="240" w:lineRule="auto"/>
              <w:rPr>
                <w:rFonts w:eastAsia="Times New Roman"/>
                <w:spacing w:val="0"/>
                <w:sz w:val="22"/>
                <w:szCs w:val="22"/>
                <w:lang w:val="es-MX" w:eastAsia="es-MX"/>
              </w:rPr>
            </w:pPr>
          </w:p>
        </w:tc>
        <w:tc>
          <w:tcPr>
            <w:tcW w:w="1107" w:type="dxa"/>
            <w:tcBorders>
              <w:top w:val="nil"/>
              <w:left w:val="nil"/>
              <w:bottom w:val="single" w:sz="4" w:space="0" w:color="auto"/>
              <w:right w:val="single" w:sz="4" w:space="0" w:color="auto"/>
            </w:tcBorders>
            <w:noWrap/>
            <w:vAlign w:val="center"/>
            <w:hideMark/>
          </w:tcPr>
          <w:p w14:paraId="343FB255" w14:textId="77777777" w:rsidR="0081777F" w:rsidRPr="00B468F6" w:rsidRDefault="0081777F"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249,638</w:t>
            </w:r>
          </w:p>
        </w:tc>
        <w:tc>
          <w:tcPr>
            <w:tcW w:w="751" w:type="dxa"/>
            <w:vMerge/>
            <w:tcBorders>
              <w:left w:val="single" w:sz="4" w:space="0" w:color="auto"/>
              <w:right w:val="single" w:sz="4" w:space="0" w:color="auto"/>
            </w:tcBorders>
            <w:vAlign w:val="center"/>
            <w:hideMark/>
          </w:tcPr>
          <w:p w14:paraId="0AA93EA0" w14:textId="77777777" w:rsidR="0081777F" w:rsidRPr="00B468F6" w:rsidRDefault="0081777F" w:rsidP="00B468F6">
            <w:pPr>
              <w:spacing w:after="0" w:line="240" w:lineRule="auto"/>
              <w:rPr>
                <w:rFonts w:eastAsia="Times New Roman"/>
                <w:spacing w:val="0"/>
                <w:sz w:val="22"/>
                <w:szCs w:val="22"/>
                <w:lang w:val="es-MX" w:eastAsia="es-MX"/>
              </w:rPr>
            </w:pPr>
          </w:p>
        </w:tc>
      </w:tr>
      <w:tr w:rsidR="0081777F" w:rsidRPr="00B468F6" w14:paraId="0EE695CF" w14:textId="77777777" w:rsidTr="00321494">
        <w:trPr>
          <w:trHeight w:val="495"/>
          <w:jc w:val="center"/>
        </w:trPr>
        <w:tc>
          <w:tcPr>
            <w:tcW w:w="540" w:type="dxa"/>
            <w:tcBorders>
              <w:top w:val="nil"/>
              <w:left w:val="single" w:sz="4" w:space="0" w:color="auto"/>
              <w:bottom w:val="single" w:sz="4" w:space="0" w:color="auto"/>
              <w:right w:val="single" w:sz="4" w:space="0" w:color="auto"/>
            </w:tcBorders>
            <w:noWrap/>
            <w:vAlign w:val="center"/>
            <w:hideMark/>
          </w:tcPr>
          <w:p w14:paraId="7B14A067" w14:textId="77777777" w:rsidR="0081777F" w:rsidRPr="00B468F6" w:rsidRDefault="0081777F"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3</w:t>
            </w:r>
          </w:p>
        </w:tc>
        <w:tc>
          <w:tcPr>
            <w:tcW w:w="3855" w:type="dxa"/>
            <w:tcBorders>
              <w:top w:val="nil"/>
              <w:left w:val="nil"/>
              <w:bottom w:val="single" w:sz="4" w:space="0" w:color="auto"/>
              <w:right w:val="single" w:sz="4" w:space="0" w:color="auto"/>
            </w:tcBorders>
            <w:vAlign w:val="center"/>
            <w:hideMark/>
          </w:tcPr>
          <w:p w14:paraId="615A7984" w14:textId="77777777" w:rsidR="0081777F" w:rsidRPr="00B468F6" w:rsidRDefault="0081777F" w:rsidP="00B468F6">
            <w:pPr>
              <w:spacing w:after="0" w:line="240" w:lineRule="auto"/>
              <w:rPr>
                <w:rFonts w:eastAsia="Times New Roman"/>
                <w:spacing w:val="0"/>
                <w:sz w:val="22"/>
                <w:szCs w:val="22"/>
                <w:lang w:val="es-MX" w:eastAsia="es-MX"/>
              </w:rPr>
            </w:pPr>
            <w:r w:rsidRPr="00B468F6">
              <w:rPr>
                <w:rFonts w:eastAsia="Times New Roman"/>
                <w:spacing w:val="0"/>
                <w:sz w:val="22"/>
                <w:szCs w:val="22"/>
                <w:lang w:val="es-MX" w:eastAsia="es-MX"/>
              </w:rPr>
              <w:t>Visitas a exposiciones itinerantes organizadas por los museos de la DGM</w:t>
            </w:r>
          </w:p>
        </w:tc>
        <w:tc>
          <w:tcPr>
            <w:tcW w:w="1063" w:type="dxa"/>
            <w:tcBorders>
              <w:top w:val="nil"/>
              <w:left w:val="nil"/>
              <w:bottom w:val="single" w:sz="4" w:space="0" w:color="auto"/>
              <w:right w:val="single" w:sz="4" w:space="0" w:color="auto"/>
            </w:tcBorders>
            <w:noWrap/>
            <w:vAlign w:val="center"/>
            <w:hideMark/>
          </w:tcPr>
          <w:p w14:paraId="66F49E95" w14:textId="77777777" w:rsidR="0081777F" w:rsidRPr="00B468F6" w:rsidRDefault="0081777F"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N/A</w:t>
            </w:r>
          </w:p>
        </w:tc>
        <w:tc>
          <w:tcPr>
            <w:tcW w:w="1020" w:type="dxa"/>
            <w:vMerge/>
            <w:tcBorders>
              <w:left w:val="single" w:sz="4" w:space="0" w:color="auto"/>
              <w:right w:val="single" w:sz="4" w:space="0" w:color="auto"/>
            </w:tcBorders>
            <w:vAlign w:val="center"/>
            <w:hideMark/>
          </w:tcPr>
          <w:p w14:paraId="5174ADF8" w14:textId="77777777" w:rsidR="0081777F" w:rsidRPr="00B468F6" w:rsidRDefault="0081777F" w:rsidP="00B468F6">
            <w:pPr>
              <w:spacing w:after="0" w:line="240" w:lineRule="auto"/>
              <w:rPr>
                <w:rFonts w:eastAsia="Times New Roman"/>
                <w:spacing w:val="0"/>
                <w:sz w:val="22"/>
                <w:szCs w:val="22"/>
                <w:lang w:val="es-MX" w:eastAsia="es-MX"/>
              </w:rPr>
            </w:pPr>
          </w:p>
        </w:tc>
        <w:tc>
          <w:tcPr>
            <w:tcW w:w="1107" w:type="dxa"/>
            <w:tcBorders>
              <w:top w:val="nil"/>
              <w:left w:val="nil"/>
              <w:bottom w:val="single" w:sz="4" w:space="0" w:color="auto"/>
              <w:right w:val="single" w:sz="4" w:space="0" w:color="auto"/>
            </w:tcBorders>
            <w:noWrap/>
            <w:vAlign w:val="center"/>
            <w:hideMark/>
          </w:tcPr>
          <w:p w14:paraId="0442D5E5" w14:textId="77777777" w:rsidR="0081777F" w:rsidRPr="00B468F6" w:rsidRDefault="0081777F"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63,395</w:t>
            </w:r>
          </w:p>
        </w:tc>
        <w:tc>
          <w:tcPr>
            <w:tcW w:w="751" w:type="dxa"/>
            <w:vMerge/>
            <w:tcBorders>
              <w:left w:val="single" w:sz="4" w:space="0" w:color="auto"/>
              <w:right w:val="single" w:sz="4" w:space="0" w:color="auto"/>
            </w:tcBorders>
            <w:vAlign w:val="center"/>
            <w:hideMark/>
          </w:tcPr>
          <w:p w14:paraId="13145AA8" w14:textId="77777777" w:rsidR="0081777F" w:rsidRPr="00B468F6" w:rsidRDefault="0081777F" w:rsidP="00B468F6">
            <w:pPr>
              <w:spacing w:after="0" w:line="240" w:lineRule="auto"/>
              <w:rPr>
                <w:rFonts w:eastAsia="Times New Roman"/>
                <w:spacing w:val="0"/>
                <w:sz w:val="22"/>
                <w:szCs w:val="22"/>
                <w:lang w:val="es-MX" w:eastAsia="es-MX"/>
              </w:rPr>
            </w:pPr>
          </w:p>
        </w:tc>
      </w:tr>
      <w:tr w:rsidR="0081777F" w:rsidRPr="00B468F6" w14:paraId="4EAD07FC" w14:textId="77777777" w:rsidTr="00321494">
        <w:trPr>
          <w:trHeight w:val="276"/>
          <w:jc w:val="center"/>
        </w:trPr>
        <w:tc>
          <w:tcPr>
            <w:tcW w:w="540" w:type="dxa"/>
            <w:tcBorders>
              <w:top w:val="nil"/>
              <w:left w:val="single" w:sz="4" w:space="0" w:color="auto"/>
              <w:bottom w:val="single" w:sz="4" w:space="0" w:color="auto"/>
              <w:right w:val="single" w:sz="4" w:space="0" w:color="auto"/>
            </w:tcBorders>
            <w:noWrap/>
            <w:vAlign w:val="center"/>
          </w:tcPr>
          <w:p w14:paraId="360BEC29" w14:textId="3DD5F609" w:rsidR="0081777F" w:rsidRPr="00B468F6" w:rsidRDefault="0081777F" w:rsidP="00B468F6">
            <w:pPr>
              <w:spacing w:after="0" w:line="240" w:lineRule="auto"/>
              <w:jc w:val="center"/>
              <w:rPr>
                <w:rFonts w:eastAsia="Times New Roman"/>
                <w:spacing w:val="0"/>
                <w:sz w:val="22"/>
                <w:szCs w:val="22"/>
                <w:lang w:val="es-MX" w:eastAsia="es-MX"/>
              </w:rPr>
            </w:pPr>
            <w:r>
              <w:rPr>
                <w:rFonts w:eastAsia="Times New Roman"/>
                <w:spacing w:val="0"/>
                <w:sz w:val="22"/>
                <w:szCs w:val="22"/>
                <w:lang w:val="es-MX" w:eastAsia="es-MX"/>
              </w:rPr>
              <w:t>4</w:t>
            </w:r>
          </w:p>
        </w:tc>
        <w:tc>
          <w:tcPr>
            <w:tcW w:w="3855" w:type="dxa"/>
            <w:tcBorders>
              <w:top w:val="nil"/>
              <w:left w:val="nil"/>
              <w:bottom w:val="single" w:sz="4" w:space="0" w:color="auto"/>
              <w:right w:val="single" w:sz="4" w:space="0" w:color="auto"/>
            </w:tcBorders>
            <w:vAlign w:val="center"/>
          </w:tcPr>
          <w:p w14:paraId="026FA994" w14:textId="317DF2BE" w:rsidR="0081777F" w:rsidRPr="00B468F6" w:rsidRDefault="0081777F" w:rsidP="00B468F6">
            <w:pPr>
              <w:spacing w:after="0" w:line="240" w:lineRule="auto"/>
              <w:rPr>
                <w:rFonts w:eastAsia="Times New Roman"/>
                <w:spacing w:val="0"/>
                <w:sz w:val="22"/>
                <w:szCs w:val="22"/>
                <w:lang w:val="es-MX" w:eastAsia="es-MX"/>
              </w:rPr>
            </w:pPr>
            <w:r w:rsidRPr="0081777F">
              <w:rPr>
                <w:rFonts w:eastAsia="Times New Roman"/>
                <w:spacing w:val="0"/>
                <w:sz w:val="22"/>
                <w:szCs w:val="22"/>
                <w:lang w:val="es-MX" w:eastAsia="es-MX"/>
              </w:rPr>
              <w:t>Participantes Programa Museos en la Comunidad</w:t>
            </w:r>
          </w:p>
        </w:tc>
        <w:tc>
          <w:tcPr>
            <w:tcW w:w="1063" w:type="dxa"/>
            <w:tcBorders>
              <w:top w:val="nil"/>
              <w:left w:val="nil"/>
              <w:bottom w:val="single" w:sz="4" w:space="0" w:color="auto"/>
              <w:right w:val="single" w:sz="4" w:space="0" w:color="auto"/>
            </w:tcBorders>
            <w:noWrap/>
            <w:vAlign w:val="center"/>
          </w:tcPr>
          <w:p w14:paraId="10C94D96" w14:textId="245EF4FE" w:rsidR="0081777F" w:rsidRPr="00B468F6" w:rsidRDefault="0081777F" w:rsidP="00B468F6">
            <w:pPr>
              <w:spacing w:after="0" w:line="240" w:lineRule="auto"/>
              <w:jc w:val="center"/>
              <w:rPr>
                <w:rFonts w:eastAsia="Times New Roman"/>
                <w:spacing w:val="0"/>
                <w:sz w:val="22"/>
                <w:szCs w:val="22"/>
                <w:lang w:val="es-MX" w:eastAsia="es-MX"/>
              </w:rPr>
            </w:pPr>
            <w:r>
              <w:rPr>
                <w:rFonts w:eastAsia="Times New Roman"/>
                <w:spacing w:val="0"/>
                <w:sz w:val="22"/>
                <w:szCs w:val="22"/>
                <w:lang w:val="es-MX" w:eastAsia="es-MX"/>
              </w:rPr>
              <w:t>N/A</w:t>
            </w:r>
          </w:p>
        </w:tc>
        <w:tc>
          <w:tcPr>
            <w:tcW w:w="1020" w:type="dxa"/>
            <w:vMerge/>
            <w:tcBorders>
              <w:left w:val="single" w:sz="4" w:space="0" w:color="auto"/>
              <w:bottom w:val="single" w:sz="4" w:space="0" w:color="auto"/>
              <w:right w:val="single" w:sz="4" w:space="0" w:color="auto"/>
            </w:tcBorders>
            <w:noWrap/>
            <w:vAlign w:val="center"/>
          </w:tcPr>
          <w:p w14:paraId="15B23D87" w14:textId="77777777" w:rsidR="0081777F" w:rsidRPr="00B468F6" w:rsidRDefault="0081777F" w:rsidP="00B468F6">
            <w:pPr>
              <w:spacing w:after="0" w:line="240" w:lineRule="auto"/>
              <w:jc w:val="right"/>
              <w:rPr>
                <w:rFonts w:eastAsia="Times New Roman"/>
                <w:spacing w:val="0"/>
                <w:sz w:val="22"/>
                <w:szCs w:val="22"/>
                <w:lang w:val="es-MX" w:eastAsia="es-MX"/>
              </w:rPr>
            </w:pPr>
          </w:p>
        </w:tc>
        <w:tc>
          <w:tcPr>
            <w:tcW w:w="1107" w:type="dxa"/>
            <w:tcBorders>
              <w:top w:val="nil"/>
              <w:left w:val="nil"/>
              <w:bottom w:val="single" w:sz="4" w:space="0" w:color="auto"/>
              <w:right w:val="single" w:sz="4" w:space="0" w:color="auto"/>
            </w:tcBorders>
            <w:noWrap/>
            <w:vAlign w:val="center"/>
          </w:tcPr>
          <w:p w14:paraId="71EF19D7" w14:textId="1A7F5A2D" w:rsidR="0081777F" w:rsidRPr="00B468F6" w:rsidRDefault="0081777F" w:rsidP="00B468F6">
            <w:pPr>
              <w:spacing w:after="0" w:line="240" w:lineRule="auto"/>
              <w:jc w:val="right"/>
              <w:rPr>
                <w:rFonts w:eastAsia="Times New Roman"/>
                <w:spacing w:val="0"/>
                <w:sz w:val="22"/>
                <w:szCs w:val="22"/>
                <w:lang w:val="es-MX" w:eastAsia="es-MX"/>
              </w:rPr>
            </w:pPr>
            <w:r>
              <w:rPr>
                <w:rFonts w:eastAsia="Times New Roman"/>
                <w:spacing w:val="0"/>
                <w:sz w:val="22"/>
                <w:szCs w:val="22"/>
                <w:lang w:val="es-MX" w:eastAsia="es-MX"/>
              </w:rPr>
              <w:t>2,200</w:t>
            </w:r>
          </w:p>
        </w:tc>
        <w:tc>
          <w:tcPr>
            <w:tcW w:w="751" w:type="dxa"/>
            <w:vMerge/>
            <w:tcBorders>
              <w:left w:val="single" w:sz="4" w:space="0" w:color="auto"/>
              <w:bottom w:val="single" w:sz="4" w:space="0" w:color="auto"/>
              <w:right w:val="single" w:sz="4" w:space="0" w:color="auto"/>
            </w:tcBorders>
            <w:noWrap/>
            <w:vAlign w:val="center"/>
          </w:tcPr>
          <w:p w14:paraId="7CBF36FA" w14:textId="77777777" w:rsidR="0081777F" w:rsidRPr="00B468F6" w:rsidRDefault="0081777F" w:rsidP="00B468F6">
            <w:pPr>
              <w:spacing w:after="0" w:line="240" w:lineRule="auto"/>
              <w:jc w:val="center"/>
              <w:rPr>
                <w:rFonts w:eastAsia="Times New Roman"/>
                <w:spacing w:val="0"/>
                <w:sz w:val="22"/>
                <w:szCs w:val="22"/>
                <w:lang w:val="es-MX" w:eastAsia="es-MX"/>
              </w:rPr>
            </w:pPr>
          </w:p>
        </w:tc>
      </w:tr>
      <w:tr w:rsidR="00B1458A" w:rsidRPr="00B468F6" w14:paraId="33C7C86E" w14:textId="77777777" w:rsidTr="00321494">
        <w:trPr>
          <w:trHeight w:val="276"/>
          <w:jc w:val="center"/>
        </w:trPr>
        <w:tc>
          <w:tcPr>
            <w:tcW w:w="540" w:type="dxa"/>
            <w:tcBorders>
              <w:top w:val="nil"/>
              <w:left w:val="single" w:sz="4" w:space="0" w:color="auto"/>
              <w:bottom w:val="single" w:sz="4" w:space="0" w:color="auto"/>
              <w:right w:val="single" w:sz="4" w:space="0" w:color="auto"/>
            </w:tcBorders>
            <w:noWrap/>
            <w:vAlign w:val="center"/>
            <w:hideMark/>
          </w:tcPr>
          <w:p w14:paraId="3F0DD135" w14:textId="544C80D9" w:rsidR="00B468F6" w:rsidRPr="00B468F6" w:rsidRDefault="0081777F" w:rsidP="00B468F6">
            <w:pPr>
              <w:spacing w:after="0" w:line="240" w:lineRule="auto"/>
              <w:jc w:val="center"/>
              <w:rPr>
                <w:rFonts w:eastAsia="Times New Roman"/>
                <w:spacing w:val="0"/>
                <w:sz w:val="22"/>
                <w:szCs w:val="22"/>
                <w:lang w:val="es-MX" w:eastAsia="es-MX"/>
              </w:rPr>
            </w:pPr>
            <w:r>
              <w:rPr>
                <w:rFonts w:eastAsia="Times New Roman"/>
                <w:spacing w:val="0"/>
                <w:sz w:val="22"/>
                <w:szCs w:val="22"/>
                <w:lang w:val="es-MX" w:eastAsia="es-MX"/>
              </w:rPr>
              <w:t>5</w:t>
            </w:r>
          </w:p>
        </w:tc>
        <w:tc>
          <w:tcPr>
            <w:tcW w:w="3855" w:type="dxa"/>
            <w:tcBorders>
              <w:top w:val="nil"/>
              <w:left w:val="nil"/>
              <w:bottom w:val="single" w:sz="4" w:space="0" w:color="auto"/>
              <w:right w:val="single" w:sz="4" w:space="0" w:color="auto"/>
            </w:tcBorders>
            <w:vAlign w:val="center"/>
            <w:hideMark/>
          </w:tcPr>
          <w:p w14:paraId="101FC223" w14:textId="77777777" w:rsidR="00B468F6" w:rsidRPr="00B468F6" w:rsidRDefault="00B468F6" w:rsidP="00B468F6">
            <w:pPr>
              <w:spacing w:after="0" w:line="240" w:lineRule="auto"/>
              <w:rPr>
                <w:rFonts w:eastAsia="Times New Roman"/>
                <w:spacing w:val="0"/>
                <w:sz w:val="22"/>
                <w:szCs w:val="22"/>
                <w:lang w:val="es-MX" w:eastAsia="es-MX"/>
              </w:rPr>
            </w:pPr>
            <w:r w:rsidRPr="00B468F6">
              <w:rPr>
                <w:rFonts w:eastAsia="Times New Roman"/>
                <w:spacing w:val="0"/>
                <w:sz w:val="22"/>
                <w:szCs w:val="22"/>
                <w:lang w:val="es-MX" w:eastAsia="es-MX"/>
              </w:rPr>
              <w:t>Visitas a otros museos estatales</w:t>
            </w:r>
          </w:p>
        </w:tc>
        <w:tc>
          <w:tcPr>
            <w:tcW w:w="1063" w:type="dxa"/>
            <w:tcBorders>
              <w:top w:val="nil"/>
              <w:left w:val="nil"/>
              <w:bottom w:val="single" w:sz="4" w:space="0" w:color="auto"/>
              <w:right w:val="single" w:sz="4" w:space="0" w:color="auto"/>
            </w:tcBorders>
            <w:noWrap/>
            <w:vAlign w:val="center"/>
            <w:hideMark/>
          </w:tcPr>
          <w:p w14:paraId="2D677110" w14:textId="77777777" w:rsidR="00B468F6" w:rsidRPr="00B468F6" w:rsidRDefault="00B468F6"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7</w:t>
            </w:r>
          </w:p>
        </w:tc>
        <w:tc>
          <w:tcPr>
            <w:tcW w:w="1020" w:type="dxa"/>
            <w:tcBorders>
              <w:top w:val="nil"/>
              <w:left w:val="nil"/>
              <w:bottom w:val="single" w:sz="4" w:space="0" w:color="auto"/>
              <w:right w:val="single" w:sz="4" w:space="0" w:color="auto"/>
            </w:tcBorders>
            <w:noWrap/>
            <w:vAlign w:val="center"/>
            <w:hideMark/>
          </w:tcPr>
          <w:p w14:paraId="74693D10" w14:textId="77777777" w:rsidR="00B468F6" w:rsidRPr="00B468F6" w:rsidRDefault="00B468F6"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71,449</w:t>
            </w:r>
          </w:p>
        </w:tc>
        <w:tc>
          <w:tcPr>
            <w:tcW w:w="1107" w:type="dxa"/>
            <w:tcBorders>
              <w:top w:val="nil"/>
              <w:left w:val="nil"/>
              <w:bottom w:val="single" w:sz="4" w:space="0" w:color="auto"/>
              <w:right w:val="single" w:sz="4" w:space="0" w:color="auto"/>
            </w:tcBorders>
            <w:noWrap/>
            <w:vAlign w:val="center"/>
            <w:hideMark/>
          </w:tcPr>
          <w:p w14:paraId="04588F3E" w14:textId="77777777" w:rsidR="00B468F6" w:rsidRPr="00B468F6" w:rsidRDefault="00B468F6"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96,548</w:t>
            </w:r>
          </w:p>
        </w:tc>
        <w:tc>
          <w:tcPr>
            <w:tcW w:w="751" w:type="dxa"/>
            <w:tcBorders>
              <w:top w:val="nil"/>
              <w:left w:val="nil"/>
              <w:bottom w:val="single" w:sz="4" w:space="0" w:color="auto"/>
              <w:right w:val="single" w:sz="4" w:space="0" w:color="auto"/>
            </w:tcBorders>
            <w:noWrap/>
            <w:vAlign w:val="center"/>
            <w:hideMark/>
          </w:tcPr>
          <w:p w14:paraId="547BFDE3" w14:textId="5E95EAEC" w:rsidR="00B468F6" w:rsidRPr="00B468F6" w:rsidRDefault="00321494" w:rsidP="00B468F6">
            <w:pPr>
              <w:spacing w:after="0" w:line="240" w:lineRule="auto"/>
              <w:jc w:val="center"/>
              <w:rPr>
                <w:rFonts w:eastAsia="Times New Roman"/>
                <w:spacing w:val="0"/>
                <w:sz w:val="22"/>
                <w:szCs w:val="22"/>
                <w:lang w:val="es-MX" w:eastAsia="es-MX"/>
              </w:rPr>
            </w:pPr>
            <w:r>
              <w:rPr>
                <w:rFonts w:eastAsia="Times New Roman"/>
                <w:spacing w:val="0"/>
                <w:sz w:val="22"/>
                <w:szCs w:val="22"/>
                <w:lang w:val="es-MX" w:eastAsia="es-MX"/>
              </w:rPr>
              <w:t>1</w:t>
            </w:r>
            <w:r w:rsidR="00B468F6" w:rsidRPr="00B468F6">
              <w:rPr>
                <w:rFonts w:eastAsia="Times New Roman"/>
                <w:spacing w:val="0"/>
                <w:sz w:val="22"/>
                <w:szCs w:val="22"/>
                <w:lang w:val="es-MX" w:eastAsia="es-MX"/>
              </w:rPr>
              <w:t>35%</w:t>
            </w:r>
          </w:p>
        </w:tc>
      </w:tr>
      <w:tr w:rsidR="00B1458A" w:rsidRPr="00B468F6" w14:paraId="4ABFBAA7" w14:textId="77777777" w:rsidTr="00321494">
        <w:trPr>
          <w:trHeight w:val="288"/>
          <w:jc w:val="center"/>
        </w:trPr>
        <w:tc>
          <w:tcPr>
            <w:tcW w:w="540" w:type="dxa"/>
            <w:tcBorders>
              <w:top w:val="nil"/>
              <w:left w:val="single" w:sz="4" w:space="0" w:color="auto"/>
              <w:bottom w:val="single" w:sz="4" w:space="0" w:color="auto"/>
              <w:right w:val="single" w:sz="4" w:space="0" w:color="auto"/>
            </w:tcBorders>
            <w:noWrap/>
            <w:vAlign w:val="center"/>
            <w:hideMark/>
          </w:tcPr>
          <w:p w14:paraId="1260EB12" w14:textId="63486595" w:rsidR="00B468F6" w:rsidRPr="00B468F6" w:rsidRDefault="0081777F" w:rsidP="00B468F6">
            <w:pPr>
              <w:spacing w:after="0" w:line="240" w:lineRule="auto"/>
              <w:jc w:val="center"/>
              <w:rPr>
                <w:rFonts w:eastAsia="Times New Roman"/>
                <w:spacing w:val="0"/>
                <w:sz w:val="22"/>
                <w:szCs w:val="22"/>
                <w:lang w:val="es-MX" w:eastAsia="es-MX"/>
              </w:rPr>
            </w:pPr>
            <w:r>
              <w:rPr>
                <w:rFonts w:eastAsia="Times New Roman"/>
                <w:spacing w:val="0"/>
                <w:sz w:val="22"/>
                <w:szCs w:val="22"/>
                <w:lang w:val="es-MX" w:eastAsia="es-MX"/>
              </w:rPr>
              <w:t>6</w:t>
            </w:r>
          </w:p>
        </w:tc>
        <w:tc>
          <w:tcPr>
            <w:tcW w:w="3855" w:type="dxa"/>
            <w:tcBorders>
              <w:top w:val="nil"/>
              <w:left w:val="nil"/>
              <w:bottom w:val="single" w:sz="4" w:space="0" w:color="auto"/>
              <w:right w:val="single" w:sz="4" w:space="0" w:color="auto"/>
            </w:tcBorders>
            <w:vAlign w:val="center"/>
            <w:hideMark/>
          </w:tcPr>
          <w:p w14:paraId="2B26D37A" w14:textId="77777777" w:rsidR="00B468F6" w:rsidRPr="00B468F6" w:rsidRDefault="00B468F6" w:rsidP="00B468F6">
            <w:pPr>
              <w:spacing w:after="0" w:line="240" w:lineRule="auto"/>
              <w:rPr>
                <w:rFonts w:eastAsia="Times New Roman"/>
                <w:spacing w:val="0"/>
                <w:sz w:val="22"/>
                <w:szCs w:val="22"/>
                <w:lang w:val="es-MX" w:eastAsia="es-MX"/>
              </w:rPr>
            </w:pPr>
            <w:r w:rsidRPr="00B468F6">
              <w:rPr>
                <w:rFonts w:eastAsia="Times New Roman"/>
                <w:spacing w:val="0"/>
                <w:sz w:val="22"/>
                <w:szCs w:val="22"/>
                <w:lang w:val="es-MX" w:eastAsia="es-MX"/>
              </w:rPr>
              <w:t>Visitas a museos privados</w:t>
            </w:r>
          </w:p>
        </w:tc>
        <w:tc>
          <w:tcPr>
            <w:tcW w:w="1063" w:type="dxa"/>
            <w:tcBorders>
              <w:top w:val="nil"/>
              <w:left w:val="nil"/>
              <w:bottom w:val="single" w:sz="4" w:space="0" w:color="auto"/>
              <w:right w:val="single" w:sz="4" w:space="0" w:color="auto"/>
            </w:tcBorders>
            <w:noWrap/>
            <w:vAlign w:val="center"/>
            <w:hideMark/>
          </w:tcPr>
          <w:p w14:paraId="0B8BC32B" w14:textId="77777777" w:rsidR="00B468F6" w:rsidRPr="00B468F6" w:rsidRDefault="00B468F6" w:rsidP="00B468F6">
            <w:pPr>
              <w:spacing w:after="0" w:line="240" w:lineRule="auto"/>
              <w:jc w:val="center"/>
              <w:rPr>
                <w:rFonts w:eastAsia="Times New Roman"/>
                <w:spacing w:val="0"/>
                <w:sz w:val="22"/>
                <w:szCs w:val="22"/>
                <w:lang w:val="es-MX" w:eastAsia="es-MX"/>
              </w:rPr>
            </w:pPr>
            <w:r w:rsidRPr="00B468F6">
              <w:rPr>
                <w:rFonts w:eastAsia="Times New Roman"/>
                <w:spacing w:val="0"/>
                <w:sz w:val="22"/>
                <w:szCs w:val="22"/>
                <w:lang w:val="es-MX" w:eastAsia="es-MX"/>
              </w:rPr>
              <w:t>30</w:t>
            </w:r>
          </w:p>
        </w:tc>
        <w:tc>
          <w:tcPr>
            <w:tcW w:w="1020" w:type="dxa"/>
            <w:tcBorders>
              <w:top w:val="nil"/>
              <w:left w:val="nil"/>
              <w:bottom w:val="single" w:sz="4" w:space="0" w:color="auto"/>
              <w:right w:val="single" w:sz="4" w:space="0" w:color="auto"/>
            </w:tcBorders>
            <w:noWrap/>
            <w:vAlign w:val="center"/>
            <w:hideMark/>
          </w:tcPr>
          <w:p w14:paraId="0BCB05EA" w14:textId="77777777" w:rsidR="00B468F6" w:rsidRPr="00B468F6" w:rsidRDefault="00B468F6"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364,876</w:t>
            </w:r>
          </w:p>
        </w:tc>
        <w:tc>
          <w:tcPr>
            <w:tcW w:w="1107" w:type="dxa"/>
            <w:tcBorders>
              <w:top w:val="nil"/>
              <w:left w:val="nil"/>
              <w:bottom w:val="single" w:sz="4" w:space="0" w:color="auto"/>
              <w:right w:val="single" w:sz="4" w:space="0" w:color="auto"/>
            </w:tcBorders>
            <w:noWrap/>
            <w:vAlign w:val="center"/>
            <w:hideMark/>
          </w:tcPr>
          <w:p w14:paraId="06AEABD1" w14:textId="77777777" w:rsidR="00B468F6" w:rsidRPr="00B468F6" w:rsidRDefault="00B468F6" w:rsidP="00B468F6">
            <w:pPr>
              <w:spacing w:after="0" w:line="240" w:lineRule="auto"/>
              <w:jc w:val="right"/>
              <w:rPr>
                <w:rFonts w:eastAsia="Times New Roman"/>
                <w:spacing w:val="0"/>
                <w:sz w:val="22"/>
                <w:szCs w:val="22"/>
                <w:lang w:val="es-MX" w:eastAsia="es-MX"/>
              </w:rPr>
            </w:pPr>
            <w:r w:rsidRPr="00B468F6">
              <w:rPr>
                <w:rFonts w:eastAsia="Times New Roman"/>
                <w:spacing w:val="0"/>
                <w:sz w:val="22"/>
                <w:szCs w:val="22"/>
                <w:lang w:val="es-MX" w:eastAsia="es-MX"/>
              </w:rPr>
              <w:t>361,913</w:t>
            </w:r>
          </w:p>
        </w:tc>
        <w:tc>
          <w:tcPr>
            <w:tcW w:w="751" w:type="dxa"/>
            <w:tcBorders>
              <w:top w:val="nil"/>
              <w:left w:val="nil"/>
              <w:bottom w:val="single" w:sz="4" w:space="0" w:color="auto"/>
              <w:right w:val="single" w:sz="4" w:space="0" w:color="auto"/>
            </w:tcBorders>
            <w:noWrap/>
            <w:vAlign w:val="center"/>
            <w:hideMark/>
          </w:tcPr>
          <w:p w14:paraId="7602212D" w14:textId="4BC236D7" w:rsidR="00B468F6" w:rsidRPr="00B468F6" w:rsidRDefault="00321494" w:rsidP="00B468F6">
            <w:pPr>
              <w:spacing w:after="0" w:line="240" w:lineRule="auto"/>
              <w:jc w:val="center"/>
              <w:rPr>
                <w:rFonts w:eastAsia="Times New Roman"/>
                <w:spacing w:val="0"/>
                <w:sz w:val="22"/>
                <w:szCs w:val="22"/>
                <w:lang w:val="es-MX" w:eastAsia="es-MX"/>
              </w:rPr>
            </w:pPr>
            <w:r>
              <w:rPr>
                <w:rFonts w:eastAsia="Times New Roman"/>
                <w:spacing w:val="0"/>
                <w:sz w:val="22"/>
                <w:szCs w:val="22"/>
                <w:lang w:val="es-MX" w:eastAsia="es-MX"/>
              </w:rPr>
              <w:t>99</w:t>
            </w:r>
            <w:r w:rsidR="00B468F6" w:rsidRPr="00B468F6">
              <w:rPr>
                <w:rFonts w:eastAsia="Times New Roman"/>
                <w:spacing w:val="0"/>
                <w:sz w:val="22"/>
                <w:szCs w:val="22"/>
                <w:lang w:val="es-MX" w:eastAsia="es-MX"/>
              </w:rPr>
              <w:t>%</w:t>
            </w:r>
          </w:p>
        </w:tc>
      </w:tr>
      <w:tr w:rsidR="00B1458A" w:rsidRPr="00B468F6" w14:paraId="4743D708" w14:textId="77777777" w:rsidTr="00321494">
        <w:trPr>
          <w:trHeight w:val="288"/>
          <w:jc w:val="center"/>
        </w:trPr>
        <w:tc>
          <w:tcPr>
            <w:tcW w:w="5460" w:type="dxa"/>
            <w:gridSpan w:val="3"/>
            <w:tcBorders>
              <w:top w:val="single" w:sz="8" w:space="0" w:color="595959"/>
              <w:left w:val="nil"/>
              <w:bottom w:val="single" w:sz="8" w:space="0" w:color="595959"/>
              <w:right w:val="single" w:sz="8" w:space="0" w:color="595959"/>
            </w:tcBorders>
            <w:shd w:val="clear" w:color="000000" w:fill="002060"/>
            <w:noWrap/>
            <w:vAlign w:val="center"/>
            <w:hideMark/>
          </w:tcPr>
          <w:p w14:paraId="38686386" w14:textId="77777777" w:rsidR="00B468F6" w:rsidRPr="00B468F6" w:rsidRDefault="00B468F6" w:rsidP="00B468F6">
            <w:pPr>
              <w:spacing w:after="0" w:line="240" w:lineRule="auto"/>
              <w:jc w:val="right"/>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Totales</w:t>
            </w:r>
          </w:p>
        </w:tc>
        <w:tc>
          <w:tcPr>
            <w:tcW w:w="1020" w:type="dxa"/>
            <w:tcBorders>
              <w:top w:val="single" w:sz="8" w:space="0" w:color="595959"/>
              <w:left w:val="nil"/>
              <w:bottom w:val="single" w:sz="8" w:space="0" w:color="595959"/>
              <w:right w:val="single" w:sz="8" w:space="0" w:color="595959"/>
            </w:tcBorders>
            <w:shd w:val="clear" w:color="000000" w:fill="002060"/>
            <w:noWrap/>
            <w:vAlign w:val="center"/>
            <w:hideMark/>
          </w:tcPr>
          <w:p w14:paraId="17BED0C4" w14:textId="77777777" w:rsidR="00B468F6" w:rsidRPr="00B468F6" w:rsidRDefault="00B468F6" w:rsidP="00B468F6">
            <w:pPr>
              <w:spacing w:after="0" w:line="240" w:lineRule="auto"/>
              <w:jc w:val="right"/>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1,625,000</w:t>
            </w:r>
          </w:p>
        </w:tc>
        <w:tc>
          <w:tcPr>
            <w:tcW w:w="1107" w:type="dxa"/>
            <w:tcBorders>
              <w:top w:val="single" w:sz="8" w:space="0" w:color="595959"/>
              <w:left w:val="nil"/>
              <w:bottom w:val="single" w:sz="8" w:space="0" w:color="595959"/>
              <w:right w:val="single" w:sz="8" w:space="0" w:color="595959"/>
            </w:tcBorders>
            <w:shd w:val="clear" w:color="000000" w:fill="002060"/>
            <w:noWrap/>
            <w:vAlign w:val="center"/>
            <w:hideMark/>
          </w:tcPr>
          <w:p w14:paraId="0E5BB4D1" w14:textId="3B761761" w:rsidR="00B468F6" w:rsidRPr="00B468F6" w:rsidRDefault="00B468F6" w:rsidP="00B468F6">
            <w:pPr>
              <w:spacing w:after="0" w:line="240" w:lineRule="auto"/>
              <w:jc w:val="right"/>
              <w:rPr>
                <w:rFonts w:eastAsia="Times New Roman"/>
                <w:b/>
                <w:bCs/>
                <w:color w:val="FFFFFF"/>
                <w:spacing w:val="0"/>
                <w:sz w:val="20"/>
                <w:szCs w:val="20"/>
                <w:lang w:val="es-MX" w:eastAsia="es-MX"/>
              </w:rPr>
            </w:pPr>
            <w:r w:rsidRPr="00B468F6">
              <w:rPr>
                <w:rFonts w:eastAsia="Times New Roman"/>
                <w:b/>
                <w:bCs/>
                <w:color w:val="FFFFFF"/>
                <w:spacing w:val="0"/>
                <w:sz w:val="20"/>
                <w:szCs w:val="20"/>
                <w:lang w:val="es-MX" w:eastAsia="es-MX"/>
              </w:rPr>
              <w:t>1,</w:t>
            </w:r>
            <w:r w:rsidR="00B1458A">
              <w:rPr>
                <w:rFonts w:eastAsia="Times New Roman"/>
                <w:b/>
                <w:bCs/>
                <w:color w:val="FFFFFF"/>
                <w:spacing w:val="0"/>
                <w:sz w:val="20"/>
                <w:szCs w:val="20"/>
                <w:lang w:val="es-MX" w:eastAsia="es-MX"/>
              </w:rPr>
              <w:t>417,740</w:t>
            </w:r>
          </w:p>
        </w:tc>
        <w:tc>
          <w:tcPr>
            <w:tcW w:w="751" w:type="dxa"/>
            <w:tcBorders>
              <w:top w:val="single" w:sz="8" w:space="0" w:color="595959"/>
              <w:left w:val="nil"/>
              <w:bottom w:val="single" w:sz="8" w:space="0" w:color="595959"/>
              <w:right w:val="single" w:sz="8" w:space="0" w:color="595959"/>
            </w:tcBorders>
            <w:shd w:val="clear" w:color="000000" w:fill="002060"/>
            <w:noWrap/>
            <w:vAlign w:val="center"/>
            <w:hideMark/>
          </w:tcPr>
          <w:p w14:paraId="6F345F95" w14:textId="1622E94E" w:rsidR="00B468F6" w:rsidRPr="00B468F6" w:rsidRDefault="00B1458A" w:rsidP="00B468F6">
            <w:pPr>
              <w:spacing w:after="0" w:line="240" w:lineRule="auto"/>
              <w:jc w:val="center"/>
              <w:rPr>
                <w:rFonts w:eastAsia="Times New Roman"/>
                <w:b/>
                <w:bCs/>
                <w:color w:val="FFFFFF"/>
                <w:spacing w:val="0"/>
                <w:sz w:val="20"/>
                <w:szCs w:val="20"/>
                <w:lang w:val="es-MX" w:eastAsia="es-MX"/>
              </w:rPr>
            </w:pPr>
            <w:r>
              <w:rPr>
                <w:rFonts w:eastAsia="Times New Roman"/>
                <w:b/>
                <w:bCs/>
                <w:color w:val="FFFFFF"/>
                <w:spacing w:val="0"/>
                <w:sz w:val="20"/>
                <w:szCs w:val="20"/>
                <w:lang w:val="es-MX" w:eastAsia="es-MX"/>
              </w:rPr>
              <w:t>87</w:t>
            </w:r>
            <w:r w:rsidR="00B468F6" w:rsidRPr="00B468F6">
              <w:rPr>
                <w:rFonts w:eastAsia="Times New Roman"/>
                <w:b/>
                <w:bCs/>
                <w:color w:val="FFFFFF"/>
                <w:spacing w:val="0"/>
                <w:sz w:val="20"/>
                <w:szCs w:val="20"/>
                <w:lang w:val="es-MX" w:eastAsia="es-MX"/>
              </w:rPr>
              <w:t>%</w:t>
            </w:r>
          </w:p>
        </w:tc>
      </w:tr>
    </w:tbl>
    <w:p w14:paraId="2BC914DE" w14:textId="6B71056D" w:rsidR="00B468F6" w:rsidRPr="004565CF" w:rsidRDefault="00025ED1" w:rsidP="00025ED1">
      <w:pPr>
        <w:spacing w:after="0" w:line="240" w:lineRule="auto"/>
        <w:jc w:val="both"/>
        <w:rPr>
          <w:rFonts w:eastAsia="Calibri"/>
          <w:i/>
          <w:iCs/>
          <w:sz w:val="22"/>
          <w:szCs w:val="22"/>
          <w:lang w:val="es-DO"/>
        </w:rPr>
      </w:pPr>
      <w:r w:rsidRPr="004565CF">
        <w:rPr>
          <w:rFonts w:eastAsia="Calibri"/>
          <w:i/>
          <w:iCs/>
          <w:sz w:val="22"/>
          <w:szCs w:val="22"/>
          <w:lang w:val="es-DO"/>
        </w:rPr>
        <w:t>Cuadro 9. Logro alcanzado en cantidad de visitas año 2025. Fuente: Elaboración propia</w:t>
      </w:r>
    </w:p>
    <w:p w14:paraId="136C4D6C" w14:textId="77777777" w:rsidR="00B468F6" w:rsidRDefault="00B468F6" w:rsidP="00B60447">
      <w:pPr>
        <w:spacing w:line="360" w:lineRule="auto"/>
        <w:jc w:val="both"/>
        <w:rPr>
          <w:rFonts w:eastAsia="Calibri"/>
          <w:lang w:val="es-DO"/>
        </w:rPr>
      </w:pPr>
    </w:p>
    <w:p w14:paraId="222F1692" w14:textId="0381B6A2" w:rsidR="00321494" w:rsidRDefault="00321494" w:rsidP="00427D27">
      <w:pPr>
        <w:spacing w:line="360" w:lineRule="auto"/>
        <w:jc w:val="both"/>
        <w:rPr>
          <w:rFonts w:eastAsia="Calibri"/>
          <w:lang w:val="es-DO"/>
        </w:rPr>
      </w:pPr>
      <w:r w:rsidRPr="001A31CE">
        <w:rPr>
          <w:rFonts w:eastAsia="Calibri"/>
          <w:lang w:val="es-DO"/>
        </w:rPr>
        <w:lastRenderedPageBreak/>
        <w:t>En términos relativos, se registra una desviación de -</w:t>
      </w:r>
      <w:r>
        <w:rPr>
          <w:rFonts w:eastAsia="Calibri"/>
          <w:lang w:val="es-DO"/>
        </w:rPr>
        <w:t>13</w:t>
      </w:r>
      <w:r w:rsidRPr="001A31CE">
        <w:rPr>
          <w:rFonts w:eastAsia="Calibri"/>
          <w:lang w:val="es-DO"/>
        </w:rPr>
        <w:t xml:space="preserve">%, equivalente a </w:t>
      </w:r>
      <w:r>
        <w:rPr>
          <w:rFonts w:eastAsia="Calibri"/>
          <w:lang w:val="es-DO"/>
        </w:rPr>
        <w:t>207,260</w:t>
      </w:r>
      <w:r w:rsidRPr="001A31CE">
        <w:rPr>
          <w:rFonts w:eastAsia="Calibri"/>
          <w:lang w:val="es-DO"/>
        </w:rPr>
        <w:t xml:space="preserve"> visitas por debajo de la meta proyectada.</w:t>
      </w:r>
    </w:p>
    <w:p w14:paraId="5802FC43" w14:textId="562B6195" w:rsidR="00CE1776" w:rsidRDefault="004565CF" w:rsidP="00427D27">
      <w:pPr>
        <w:spacing w:line="360" w:lineRule="auto"/>
        <w:jc w:val="both"/>
        <w:rPr>
          <w:rFonts w:eastAsia="Calibri"/>
          <w:lang w:val="es-DO"/>
        </w:rPr>
      </w:pPr>
      <w:r w:rsidRPr="004565CF">
        <w:rPr>
          <w:rFonts w:eastAsia="Calibri"/>
          <w:lang w:val="es-DO"/>
        </w:rPr>
        <w:t xml:space="preserve">Los resultados globales alcanzados al </w:t>
      </w:r>
      <w:r w:rsidR="00321494">
        <w:rPr>
          <w:rFonts w:eastAsia="Calibri"/>
          <w:lang w:val="es-DO"/>
        </w:rPr>
        <w:t>31</w:t>
      </w:r>
      <w:r w:rsidRPr="004565CF">
        <w:rPr>
          <w:rFonts w:eastAsia="Calibri"/>
          <w:lang w:val="es-DO"/>
        </w:rPr>
        <w:t xml:space="preserve"> de diciembre de 2025 ofrecen una visión agregada del desempeño del sistema museístico administrado por la Dirección General de Museos en términos de visitas y participación del público. </w:t>
      </w:r>
    </w:p>
    <w:p w14:paraId="2B893BE9" w14:textId="77777777" w:rsidR="00CE1776" w:rsidRDefault="004565CF" w:rsidP="00427D27">
      <w:pPr>
        <w:spacing w:line="360" w:lineRule="auto"/>
        <w:jc w:val="both"/>
        <w:rPr>
          <w:rFonts w:eastAsia="Calibri"/>
          <w:lang w:val="es-DO"/>
        </w:rPr>
      </w:pPr>
      <w:r w:rsidRPr="004565CF">
        <w:rPr>
          <w:rFonts w:eastAsia="Calibri"/>
          <w:lang w:val="es-DO"/>
        </w:rPr>
        <w:t xml:space="preserve">No obstante, para una comprensión más precisa del comportamiento de este indicador y de los factores que inciden en su desempeño, resulta necesario desagregar la información por tipo de variable, considerando de manera diferenciada las visitas a los museos adscritos, la participación en actividades misionales, las exposiciones itinerantes, así como las visitas a otros museos estatales y museos privados. </w:t>
      </w:r>
    </w:p>
    <w:p w14:paraId="6786761B" w14:textId="05947640" w:rsidR="00B468F6" w:rsidRDefault="004565CF" w:rsidP="00427D27">
      <w:pPr>
        <w:spacing w:line="360" w:lineRule="auto"/>
        <w:jc w:val="both"/>
        <w:rPr>
          <w:rFonts w:eastAsia="Calibri"/>
          <w:lang w:val="es-DO"/>
        </w:rPr>
      </w:pPr>
      <w:r w:rsidRPr="004565CF">
        <w:rPr>
          <w:rFonts w:eastAsia="Calibri"/>
          <w:lang w:val="es-DO"/>
        </w:rPr>
        <w:t>El análisis que se presenta a continuación permite identificar tendencias específicas, niveles de cumplimiento y brechas por componente, aportando elementos clave para la evaluación de resultados y la toma de decisiones en los próximos ciclos de planificación institucional.</w:t>
      </w:r>
    </w:p>
    <w:p w14:paraId="0AB82051" w14:textId="1E128BE7" w:rsidR="00B468F6" w:rsidRDefault="00E37451" w:rsidP="00427D27">
      <w:pPr>
        <w:spacing w:line="360" w:lineRule="auto"/>
        <w:jc w:val="center"/>
        <w:rPr>
          <w:rFonts w:eastAsia="Calibri"/>
          <w:b/>
          <w:bCs/>
          <w:lang w:val="es-DO"/>
        </w:rPr>
      </w:pPr>
      <w:r w:rsidRPr="00E37451">
        <w:rPr>
          <w:rFonts w:eastAsia="Calibri"/>
          <w:b/>
          <w:bCs/>
          <w:lang w:val="es-DO"/>
        </w:rPr>
        <w:t>Visitas a los museos adscritos a la Dirección General de Museos</w:t>
      </w:r>
      <w:r w:rsidR="00CC4657">
        <w:rPr>
          <w:rFonts w:eastAsia="Calibri"/>
          <w:b/>
          <w:bCs/>
          <w:lang w:val="es-DO"/>
        </w:rPr>
        <w:t xml:space="preserve"> y otras actividades misionales</w:t>
      </w:r>
    </w:p>
    <w:p w14:paraId="0A050318" w14:textId="77777777" w:rsidR="00B907CD" w:rsidRDefault="00CC4657" w:rsidP="00427D27">
      <w:pPr>
        <w:spacing w:line="360" w:lineRule="auto"/>
        <w:jc w:val="both"/>
        <w:rPr>
          <w:rFonts w:eastAsia="Calibri"/>
          <w:lang w:val="es-DO"/>
        </w:rPr>
      </w:pPr>
      <w:r w:rsidRPr="00CC4657">
        <w:rPr>
          <w:rFonts w:eastAsia="Calibri"/>
          <w:lang w:val="es-DO"/>
        </w:rPr>
        <w:t xml:space="preserve">Durante el año 2025, catorce (14) museos adscritos a la Dirección General de Museos registraron un total de 644,046 visitas al 15 de diciembre. </w:t>
      </w:r>
    </w:p>
    <w:p w14:paraId="2726C117" w14:textId="77777777" w:rsidR="00B907CD" w:rsidRDefault="00CC4657" w:rsidP="00427D27">
      <w:pPr>
        <w:spacing w:line="360" w:lineRule="auto"/>
        <w:jc w:val="both"/>
        <w:rPr>
          <w:rFonts w:eastAsia="Calibri"/>
          <w:lang w:val="es-DO"/>
        </w:rPr>
      </w:pPr>
      <w:r w:rsidRPr="00CC4657">
        <w:rPr>
          <w:rFonts w:eastAsia="Calibri"/>
          <w:lang w:val="es-DO"/>
        </w:rPr>
        <w:t xml:space="preserve">Este comportamiento evidencia una afluencia significativa de público, aunque inferior a lo programado, lo cual se asocia a factores estructurales y operativos, entre ellos la ejecución de intervenciones de infraestructura, cierres parciales de salas, procesos de adecuación museográfica y la concentración de visitas en determinados períodos del año. </w:t>
      </w:r>
    </w:p>
    <w:p w14:paraId="04C275E2" w14:textId="42F9D8CD" w:rsidR="00CC4657" w:rsidRPr="00CC4657" w:rsidRDefault="00CC4657" w:rsidP="00427D27">
      <w:pPr>
        <w:spacing w:line="360" w:lineRule="auto"/>
        <w:jc w:val="both"/>
        <w:rPr>
          <w:rFonts w:eastAsia="Calibri"/>
          <w:b/>
          <w:bCs/>
          <w:lang w:val="es-MX"/>
        </w:rPr>
      </w:pPr>
      <w:r w:rsidRPr="00CC4657">
        <w:rPr>
          <w:rFonts w:eastAsia="Calibri"/>
          <w:lang w:val="es-DO"/>
        </w:rPr>
        <w:lastRenderedPageBreak/>
        <w:t>No obstante, el volumen alcanzado confirma la vigencia de los museos como espacios de acceso al patrimonio cultural y como componentes clave de la oferta cultural pública.</w:t>
      </w:r>
      <w:r w:rsidR="00B5703F">
        <w:rPr>
          <w:rFonts w:eastAsia="Calibri"/>
          <w:lang w:val="es-DO"/>
        </w:rPr>
        <w:t xml:space="preserve"> </w:t>
      </w:r>
    </w:p>
    <w:p w14:paraId="5A4003FC"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Análisis descriptivo de la afluencia por museo adscrito a la DGM – Año 2025</w:t>
      </w:r>
    </w:p>
    <w:p w14:paraId="64E5C132"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de Arte Moderno</w:t>
      </w:r>
    </w:p>
    <w:p w14:paraId="03D90F9C" w14:textId="77777777" w:rsidR="00B5703F" w:rsidRDefault="00B5703F" w:rsidP="00427D27">
      <w:pPr>
        <w:spacing w:line="360" w:lineRule="auto"/>
        <w:jc w:val="both"/>
        <w:rPr>
          <w:rFonts w:eastAsia="Calibri"/>
          <w:lang w:val="es-DO"/>
        </w:rPr>
      </w:pPr>
      <w:r w:rsidRPr="00B5703F">
        <w:rPr>
          <w:rFonts w:eastAsia="Calibri"/>
          <w:lang w:val="es-DO"/>
        </w:rPr>
        <w:t xml:space="preserve">Durante el año 2025, el Museo de Arte Moderno registró un total de 97,204 visitantes, consolidándose como uno de los espacios culturales de mayor atracción dentro del sistema museístico nacional. </w:t>
      </w:r>
    </w:p>
    <w:p w14:paraId="524200E8" w14:textId="0362E432" w:rsidR="00B5703F" w:rsidRPr="00B5703F" w:rsidRDefault="00B5703F" w:rsidP="00427D27">
      <w:pPr>
        <w:spacing w:line="360" w:lineRule="auto"/>
        <w:jc w:val="both"/>
        <w:rPr>
          <w:rFonts w:eastAsia="Calibri"/>
          <w:lang w:val="es-DO"/>
        </w:rPr>
      </w:pPr>
      <w:r w:rsidRPr="00B5703F">
        <w:rPr>
          <w:rFonts w:eastAsia="Calibri"/>
          <w:lang w:val="es-DO"/>
        </w:rPr>
        <w:t>La afluencia mostró un comportamiento ascendente durante el primer cuatrimestre y un pico significativo en el mes de octubre, asociado a actividades especiales y programación de alto impacto, lo que evidencia la capacidad del museo para movilizar públicos diversos aun en un contexto de ajustes operativos y reprogramación de actividades.</w:t>
      </w:r>
    </w:p>
    <w:p w14:paraId="5EC0449E" w14:textId="64036064" w:rsidR="00B5703F" w:rsidRPr="00B5703F" w:rsidRDefault="00B5703F" w:rsidP="00427D27">
      <w:pPr>
        <w:spacing w:line="360" w:lineRule="auto"/>
        <w:jc w:val="center"/>
        <w:rPr>
          <w:rFonts w:eastAsia="Calibri"/>
          <w:b/>
          <w:bCs/>
          <w:lang w:val="es-DO"/>
        </w:rPr>
      </w:pPr>
      <w:r w:rsidRPr="00B5703F">
        <w:rPr>
          <w:rFonts w:eastAsia="Calibri"/>
          <w:b/>
          <w:bCs/>
          <w:lang w:val="es-DO"/>
        </w:rPr>
        <w:t>Museo Nacional de Historia y Geografía</w:t>
      </w:r>
    </w:p>
    <w:p w14:paraId="7B1D7053" w14:textId="77777777" w:rsidR="00B5703F" w:rsidRPr="00B5703F" w:rsidRDefault="00B5703F" w:rsidP="00427D27">
      <w:pPr>
        <w:spacing w:line="360" w:lineRule="auto"/>
        <w:jc w:val="both"/>
        <w:rPr>
          <w:rFonts w:eastAsia="Calibri"/>
          <w:lang w:val="es-DO"/>
        </w:rPr>
      </w:pPr>
      <w:r w:rsidRPr="00B5703F">
        <w:rPr>
          <w:rFonts w:eastAsia="Calibri"/>
          <w:lang w:val="es-DO"/>
        </w:rPr>
        <w:t>El Museo Nacional de Historia y Geografía alcanzó 3,476 visitas en 2025, concentradas principalmente en el primer trimestre del año. La reducción de afluencia en los meses posteriores responde a procesos de reorganización interna y a la preparación de nuevas propuestas museográficas, lo que incidió directamente en la disponibilidad de salas abiertas al público durante el resto del período.</w:t>
      </w:r>
    </w:p>
    <w:p w14:paraId="2C2D3E31"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del Hombre Dominicano</w:t>
      </w:r>
    </w:p>
    <w:p w14:paraId="466F1E62" w14:textId="77777777" w:rsidR="00B5703F" w:rsidRPr="00B5703F" w:rsidRDefault="00B5703F" w:rsidP="00427D27">
      <w:pPr>
        <w:spacing w:line="360" w:lineRule="auto"/>
        <w:jc w:val="both"/>
        <w:rPr>
          <w:rFonts w:eastAsia="Calibri"/>
          <w:lang w:val="es-DO"/>
        </w:rPr>
      </w:pPr>
      <w:r w:rsidRPr="00B5703F">
        <w:rPr>
          <w:rFonts w:eastAsia="Calibri"/>
          <w:lang w:val="es-DO"/>
        </w:rPr>
        <w:t xml:space="preserve">Con un total de 148,398 visitantes, el Museo del Hombre Dominicano fue el museo con mayor afluencia dentro de la red DGM en 2025. Destacan los meses de septiembre, octubre y noviembre, donde se registraron incrementos sustanciales vinculados a actividades educativas, </w:t>
      </w:r>
      <w:r w:rsidRPr="00B5703F">
        <w:rPr>
          <w:rFonts w:eastAsia="Calibri"/>
          <w:lang w:val="es-DO"/>
        </w:rPr>
        <w:lastRenderedPageBreak/>
        <w:t>exposiciones temporales y eventos conmemorativos, reafirmando su rol como espacio clave para la divulgación de la identidad cultural dominicana.</w:t>
      </w:r>
    </w:p>
    <w:p w14:paraId="42F2F28F"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Alcázar de Colón</w:t>
      </w:r>
    </w:p>
    <w:p w14:paraId="08B282A3" w14:textId="77777777" w:rsidR="00B5703F" w:rsidRPr="00B5703F" w:rsidRDefault="00B5703F" w:rsidP="00427D27">
      <w:pPr>
        <w:spacing w:line="360" w:lineRule="auto"/>
        <w:jc w:val="both"/>
        <w:rPr>
          <w:rFonts w:eastAsia="Calibri"/>
          <w:lang w:val="es-DO"/>
        </w:rPr>
      </w:pPr>
      <w:r w:rsidRPr="00B5703F">
        <w:rPr>
          <w:rFonts w:eastAsia="Calibri"/>
          <w:lang w:val="es-DO"/>
        </w:rPr>
        <w:t>Durante el año 2025, el Museo Alcázar de Colón no registró visitas, debido a que permaneció cerrado al público como parte de un amplio proceso de intervención integral, restauración del monumento y renovación museográfica, enmarcado en proyectos de conservación patrimonial de largo alcance.</w:t>
      </w:r>
    </w:p>
    <w:p w14:paraId="156C56A6"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de las Casas Reales</w:t>
      </w:r>
    </w:p>
    <w:p w14:paraId="06279531" w14:textId="1367B510" w:rsidR="00B5703F" w:rsidRPr="00B5703F" w:rsidRDefault="00B5703F" w:rsidP="00427D27">
      <w:pPr>
        <w:spacing w:line="360" w:lineRule="auto"/>
        <w:jc w:val="both"/>
        <w:rPr>
          <w:rFonts w:eastAsia="Calibri"/>
          <w:lang w:val="es-DO"/>
        </w:rPr>
      </w:pPr>
      <w:r w:rsidRPr="00B5703F">
        <w:rPr>
          <w:rFonts w:eastAsia="Calibri"/>
          <w:lang w:val="es-DO"/>
        </w:rPr>
        <w:t xml:space="preserve">El Museo de las Casas Reales contabilizó 63,246 visitas en 2025, con una alta concentración en el primer cuatrimestre y un repunte en el mes de diciembre. La disminución de visitas a partir de mayo </w:t>
      </w:r>
      <w:r w:rsidR="00321494">
        <w:rPr>
          <w:rFonts w:eastAsia="Calibri"/>
          <w:lang w:val="es-DO"/>
        </w:rPr>
        <w:t xml:space="preserve">es consecuencia del cierre del museo a raíz de los </w:t>
      </w:r>
      <w:r w:rsidRPr="00B5703F">
        <w:rPr>
          <w:rFonts w:eastAsia="Calibri"/>
          <w:lang w:val="es-DO"/>
        </w:rPr>
        <w:t>procesos de preparación para intervenciones de infraestructura y museografía, que requirie</w:t>
      </w:r>
      <w:r w:rsidR="00321494">
        <w:rPr>
          <w:rFonts w:eastAsia="Calibri"/>
          <w:lang w:val="es-DO"/>
        </w:rPr>
        <w:t xml:space="preserve">ren </w:t>
      </w:r>
      <w:r w:rsidRPr="00B5703F">
        <w:rPr>
          <w:rFonts w:eastAsia="Calibri"/>
          <w:lang w:val="es-DO"/>
        </w:rPr>
        <w:t>cierres parciales</w:t>
      </w:r>
      <w:r w:rsidR="00321494">
        <w:rPr>
          <w:rFonts w:eastAsia="Calibri"/>
          <w:lang w:val="es-DO"/>
        </w:rPr>
        <w:t xml:space="preserve"> de áreas de servicios y exhibiciones, así como el </w:t>
      </w:r>
      <w:r w:rsidRPr="00B5703F">
        <w:rPr>
          <w:rFonts w:eastAsia="Calibri"/>
          <w:lang w:val="es-DO"/>
        </w:rPr>
        <w:t>reordenamiento de espacios expositivos.</w:t>
      </w:r>
    </w:p>
    <w:p w14:paraId="21FA09C8"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Fortaleza de Santo Domingo</w:t>
      </w:r>
    </w:p>
    <w:p w14:paraId="4D1EAADE" w14:textId="77777777" w:rsidR="00B5703F" w:rsidRDefault="00B5703F" w:rsidP="00427D27">
      <w:pPr>
        <w:spacing w:line="360" w:lineRule="auto"/>
        <w:jc w:val="both"/>
        <w:rPr>
          <w:rFonts w:eastAsia="Calibri"/>
          <w:lang w:val="es-DO"/>
        </w:rPr>
      </w:pPr>
      <w:r w:rsidRPr="00B5703F">
        <w:rPr>
          <w:rFonts w:eastAsia="Calibri"/>
          <w:lang w:val="es-DO"/>
        </w:rPr>
        <w:t>Con 114,908 visitantes, la Fortaleza de Santo Domingo se mantuvo como uno de los museos más visitados del país. La afluencia fue constante a lo largo del año, destacándose su estabilidad mensual, lo que refleja su posicionamiento como atractivo patrimonial de referencia tanto para público local como para visitantes nacionales e internacionales.</w:t>
      </w:r>
    </w:p>
    <w:p w14:paraId="5948F453"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de las Atarazanas Reales</w:t>
      </w:r>
    </w:p>
    <w:p w14:paraId="2368BA41" w14:textId="77777777" w:rsidR="00D52943" w:rsidRDefault="00B5703F" w:rsidP="00427D27">
      <w:pPr>
        <w:spacing w:line="360" w:lineRule="auto"/>
        <w:jc w:val="both"/>
        <w:rPr>
          <w:rFonts w:eastAsia="Calibri"/>
          <w:lang w:val="es-DO"/>
        </w:rPr>
      </w:pPr>
      <w:r w:rsidRPr="00B5703F">
        <w:rPr>
          <w:rFonts w:eastAsia="Calibri"/>
          <w:lang w:val="es-DO"/>
        </w:rPr>
        <w:t xml:space="preserve">El Museo de las Atarazanas Reales registró 12,781 visitas en 2025. La afluencia, aunque moderada, mostró un comportamiento regular </w:t>
      </w:r>
      <w:r w:rsidR="00D52943">
        <w:rPr>
          <w:rFonts w:eastAsia="Calibri"/>
          <w:lang w:val="es-DO"/>
        </w:rPr>
        <w:t xml:space="preserve">                                                                  </w:t>
      </w:r>
    </w:p>
    <w:p w14:paraId="36A9BAB0" w14:textId="5F7194DD" w:rsidR="00B5703F" w:rsidRPr="00B5703F" w:rsidRDefault="00B5703F" w:rsidP="00427D27">
      <w:pPr>
        <w:spacing w:line="360" w:lineRule="auto"/>
        <w:jc w:val="both"/>
        <w:rPr>
          <w:rFonts w:eastAsia="Calibri"/>
          <w:lang w:val="es-DO"/>
        </w:rPr>
      </w:pPr>
      <w:r w:rsidRPr="00B5703F">
        <w:rPr>
          <w:rFonts w:eastAsia="Calibri"/>
          <w:lang w:val="es-DO"/>
        </w:rPr>
        <w:lastRenderedPageBreak/>
        <w:t>durante el primer semestre, evidenciando el interés sostenido del público por su oferta museográfica especializada, aun en un contexto de limitaciones operativas y ajustes de programación.</w:t>
      </w:r>
    </w:p>
    <w:p w14:paraId="4927F1F7"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de la Familia Dominicana del Siglo XIX</w:t>
      </w:r>
    </w:p>
    <w:p w14:paraId="21EC56F8" w14:textId="77777777" w:rsidR="00B5703F" w:rsidRPr="00B5703F" w:rsidRDefault="00B5703F" w:rsidP="00427D27">
      <w:pPr>
        <w:spacing w:line="360" w:lineRule="auto"/>
        <w:jc w:val="both"/>
        <w:rPr>
          <w:rFonts w:eastAsia="Calibri"/>
          <w:lang w:val="es-DO"/>
        </w:rPr>
      </w:pPr>
      <w:r w:rsidRPr="00B5703F">
        <w:rPr>
          <w:rFonts w:eastAsia="Calibri"/>
          <w:lang w:val="es-DO"/>
        </w:rPr>
        <w:t>Este museo alcanzó 3,791 visitantes en 2025, con mayor presencia de público durante el primer y segundo trimestre. La baja afluencia en la segunda mitad del año se vincula a procesos de adecuación del inmueble y a intervenciones orientadas a la conservación del patrimonio, que limitaron temporalmente el acceso del público.</w:t>
      </w:r>
    </w:p>
    <w:p w14:paraId="2CB96F17"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Faro a Colón</w:t>
      </w:r>
    </w:p>
    <w:p w14:paraId="2E1009A8" w14:textId="77777777" w:rsidR="00B5703F" w:rsidRPr="00B5703F" w:rsidRDefault="00B5703F" w:rsidP="00427D27">
      <w:pPr>
        <w:spacing w:line="360" w:lineRule="auto"/>
        <w:jc w:val="both"/>
        <w:rPr>
          <w:rFonts w:eastAsia="Calibri"/>
          <w:lang w:val="es-DO"/>
        </w:rPr>
      </w:pPr>
      <w:r w:rsidRPr="00B5703F">
        <w:rPr>
          <w:rFonts w:eastAsia="Calibri"/>
          <w:lang w:val="es-DO"/>
        </w:rPr>
        <w:t>El Museo Faro a Colón recibió 34,933 visitantes en 2025, manteniendo una afluencia distribuida de manera relativamente homogénea a lo largo del año. Su comportamiento refleja el impacto de su localización territorial y su condición de espacio emblemático de gran escala, con una oferta cultural complementada por actividades conmemorativas y visitas educativas.</w:t>
      </w:r>
    </w:p>
    <w:p w14:paraId="50645221"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Casa Fuerte Juan Ponce de León</w:t>
      </w:r>
    </w:p>
    <w:p w14:paraId="734D0997" w14:textId="77777777" w:rsidR="00B5703F" w:rsidRPr="00B5703F" w:rsidRDefault="00B5703F" w:rsidP="00427D27">
      <w:pPr>
        <w:spacing w:line="360" w:lineRule="auto"/>
        <w:jc w:val="both"/>
        <w:rPr>
          <w:rFonts w:eastAsia="Calibri"/>
          <w:lang w:val="es-DO"/>
        </w:rPr>
      </w:pPr>
      <w:r w:rsidRPr="00B5703F">
        <w:rPr>
          <w:rFonts w:eastAsia="Calibri"/>
          <w:lang w:val="es-DO"/>
        </w:rPr>
        <w:t>Durante 2025, este museo registró 3,612 visitas, con una participación sostenida mes a mes. El comportamiento de la afluencia responde a su carácter patrimonial especializado y a su integración en circuitos culturales y educativos de alcance local y regional.</w:t>
      </w:r>
    </w:p>
    <w:p w14:paraId="5AE2EEFE"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Monumento a los Héroes de la Restauración</w:t>
      </w:r>
    </w:p>
    <w:p w14:paraId="03238ABA" w14:textId="77777777" w:rsidR="00B5703F" w:rsidRPr="00B5703F" w:rsidRDefault="00B5703F" w:rsidP="00427D27">
      <w:pPr>
        <w:spacing w:line="360" w:lineRule="auto"/>
        <w:jc w:val="both"/>
        <w:rPr>
          <w:rFonts w:eastAsia="Calibri"/>
          <w:lang w:val="es-DO"/>
        </w:rPr>
      </w:pPr>
      <w:r w:rsidRPr="00B5703F">
        <w:rPr>
          <w:rFonts w:eastAsia="Calibri"/>
          <w:lang w:val="es-DO"/>
        </w:rPr>
        <w:t xml:space="preserve">El museo alcanzó 60,251 visitantes en 2025, destacándose los meses del primer cuatrimestre y un incremento relevante en noviembre. La afluencia estuvo condicionada por la ejecución de múltiples proyectos de infraestructura y museografía, lo que implicó ajustes en la apertura de espacios, sin impedir su posicionamiento como </w:t>
      </w:r>
      <w:r w:rsidRPr="00B5703F">
        <w:rPr>
          <w:rFonts w:eastAsia="Calibri"/>
          <w:lang w:val="es-DO"/>
        </w:rPr>
        <w:lastRenderedPageBreak/>
        <w:t>referente cultural de la región norte.</w:t>
      </w:r>
    </w:p>
    <w:p w14:paraId="2ACE835C"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Centro Cultural y Museo Horacio Vásquez</w:t>
      </w:r>
    </w:p>
    <w:p w14:paraId="35844C8D" w14:textId="77777777" w:rsidR="00B5703F" w:rsidRPr="00B5703F" w:rsidRDefault="00B5703F" w:rsidP="00427D27">
      <w:pPr>
        <w:spacing w:line="360" w:lineRule="auto"/>
        <w:jc w:val="both"/>
        <w:rPr>
          <w:rFonts w:eastAsia="Calibri"/>
          <w:lang w:val="es-DO"/>
        </w:rPr>
      </w:pPr>
      <w:r w:rsidRPr="00B5703F">
        <w:rPr>
          <w:rFonts w:eastAsia="Calibri"/>
          <w:lang w:val="es-DO"/>
        </w:rPr>
        <w:t>Incorporado recientemente a la administración de la DGM, este museo registró 1,629 visitantes en 2025. La afluencia, aunque aún incipiente, refleja un proceso de posicionamiento progresivo del espacio dentro de la oferta cultural local, con potencial de crecimiento a partir del fortalecimiento de su programación y difusión.</w:t>
      </w:r>
    </w:p>
    <w:p w14:paraId="6407509E"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26 de Julio</w:t>
      </w:r>
    </w:p>
    <w:p w14:paraId="034CAFAC" w14:textId="77777777" w:rsidR="00B5703F" w:rsidRPr="00B5703F" w:rsidRDefault="00B5703F" w:rsidP="00427D27">
      <w:pPr>
        <w:spacing w:line="360" w:lineRule="auto"/>
        <w:jc w:val="both"/>
        <w:rPr>
          <w:rFonts w:eastAsia="Calibri"/>
          <w:lang w:val="es-DO"/>
        </w:rPr>
      </w:pPr>
      <w:r w:rsidRPr="00B5703F">
        <w:rPr>
          <w:rFonts w:eastAsia="Calibri"/>
          <w:lang w:val="es-DO"/>
        </w:rPr>
        <w:t>El Museo 26 de Julio contabilizó 9,987 visitantes durante el año, con un comportamiento estable y un incremento notable en noviembre, asociado a actividades conmemorativas y programación cultural específica, lo que evidencia su importancia como espacio de memoria histórica a nivel local.</w:t>
      </w:r>
    </w:p>
    <w:p w14:paraId="73A9A99E" w14:textId="77777777" w:rsidR="00B5703F" w:rsidRPr="00B5703F" w:rsidRDefault="00B5703F" w:rsidP="00427D27">
      <w:pPr>
        <w:spacing w:line="360" w:lineRule="auto"/>
        <w:jc w:val="center"/>
        <w:rPr>
          <w:rFonts w:eastAsia="Calibri"/>
          <w:b/>
          <w:bCs/>
          <w:lang w:val="es-DO"/>
        </w:rPr>
      </w:pPr>
      <w:r w:rsidRPr="00B5703F">
        <w:rPr>
          <w:rFonts w:eastAsia="Calibri"/>
          <w:b/>
          <w:bCs/>
          <w:lang w:val="es-DO"/>
        </w:rPr>
        <w:t>Museo Fortaleza San Felipe</w:t>
      </w:r>
    </w:p>
    <w:p w14:paraId="0EB59703" w14:textId="77777777" w:rsidR="00B5703F" w:rsidRPr="00B5703F" w:rsidRDefault="00B5703F" w:rsidP="00427D27">
      <w:pPr>
        <w:spacing w:line="360" w:lineRule="auto"/>
        <w:jc w:val="both"/>
        <w:rPr>
          <w:rFonts w:eastAsia="Calibri"/>
          <w:lang w:val="es-DO"/>
        </w:rPr>
      </w:pPr>
      <w:r w:rsidRPr="00B5703F">
        <w:rPr>
          <w:rFonts w:eastAsia="Calibri"/>
          <w:lang w:val="es-DO"/>
        </w:rPr>
        <w:t>Con 89,830 visitantes, la Fortaleza San Felipe se consolidó como uno de los museos de mayor afluencia fuera del Distrito Nacional. La distribución mensual refleja una demanda constante, influenciada por su valor histórico, su ubicación estratégica y su integración a la dinámica turística de Puerto Plata.</w:t>
      </w:r>
    </w:p>
    <w:p w14:paraId="5BF6BB6D" w14:textId="058CA964" w:rsidR="00B468F6" w:rsidRDefault="00B5703F" w:rsidP="00427D27">
      <w:pPr>
        <w:spacing w:line="360" w:lineRule="auto"/>
        <w:jc w:val="both"/>
        <w:rPr>
          <w:rFonts w:eastAsia="Calibri"/>
          <w:lang w:val="es-DO"/>
        </w:rPr>
      </w:pPr>
      <w:r w:rsidRPr="00B5703F">
        <w:rPr>
          <w:rFonts w:eastAsia="Calibri"/>
          <w:lang w:val="es-DO"/>
        </w:rPr>
        <w:t>Estos resultados deben interpretarse considerando los procesos simultáneos de intervención de infraestructura, conservación patrimonial y renovación museográfica desarrollados durante 2025, los cuales incidieron en la disponibilidad operativa de varios museos, sin menoscabar el impacto global de la gestión museística de la DGM.</w:t>
      </w:r>
    </w:p>
    <w:p w14:paraId="2CF38ABC" w14:textId="77777777" w:rsidR="00D52943" w:rsidRDefault="00D52943" w:rsidP="00427D27">
      <w:pPr>
        <w:spacing w:line="360" w:lineRule="auto"/>
        <w:jc w:val="center"/>
        <w:rPr>
          <w:rFonts w:eastAsia="Calibri"/>
          <w:b/>
          <w:bCs/>
          <w:lang w:val="es-DO"/>
        </w:rPr>
      </w:pPr>
    </w:p>
    <w:p w14:paraId="1AD1BC9A" w14:textId="77777777" w:rsidR="00D52943" w:rsidRDefault="00D52943" w:rsidP="00427D27">
      <w:pPr>
        <w:spacing w:line="360" w:lineRule="auto"/>
        <w:jc w:val="center"/>
        <w:rPr>
          <w:rFonts w:eastAsia="Calibri"/>
          <w:b/>
          <w:bCs/>
          <w:lang w:val="es-DO"/>
        </w:rPr>
      </w:pPr>
    </w:p>
    <w:p w14:paraId="50457E73" w14:textId="161E1329" w:rsidR="004F0DFA" w:rsidRPr="004F0DFA" w:rsidRDefault="004F0DFA" w:rsidP="00427D27">
      <w:pPr>
        <w:spacing w:line="360" w:lineRule="auto"/>
        <w:jc w:val="center"/>
        <w:rPr>
          <w:rFonts w:eastAsia="Calibri"/>
          <w:b/>
          <w:bCs/>
          <w:lang w:val="es-DO"/>
        </w:rPr>
      </w:pPr>
      <w:r w:rsidRPr="004F0DFA">
        <w:rPr>
          <w:rFonts w:eastAsia="Calibri"/>
          <w:b/>
          <w:bCs/>
          <w:lang w:val="es-DO"/>
        </w:rPr>
        <w:lastRenderedPageBreak/>
        <w:t>Participantes en actividades misionales de los museos de la DGM</w:t>
      </w:r>
    </w:p>
    <w:p w14:paraId="693D291C" w14:textId="77777777" w:rsidR="001601C5" w:rsidRDefault="001601C5" w:rsidP="00427D27">
      <w:pPr>
        <w:spacing w:line="360" w:lineRule="auto"/>
        <w:jc w:val="both"/>
        <w:rPr>
          <w:rFonts w:eastAsia="Calibri"/>
          <w:lang w:val="es-DO"/>
        </w:rPr>
      </w:pPr>
      <w:r w:rsidRPr="001601C5">
        <w:rPr>
          <w:rFonts w:eastAsia="Calibri"/>
          <w:lang w:val="es-DO"/>
        </w:rPr>
        <w:t xml:space="preserve">Durante el año 2025, los museos adscritos a la Dirección General de Museos registraron un total de 249,638 participantes en actividades misionales, evidenciando el peso estratégico de la función educativa, formativa y social de la red museística estatal. </w:t>
      </w:r>
    </w:p>
    <w:p w14:paraId="59B23658" w14:textId="77777777" w:rsidR="001601C5" w:rsidRDefault="001601C5" w:rsidP="00427D27">
      <w:pPr>
        <w:spacing w:line="360" w:lineRule="auto"/>
        <w:jc w:val="both"/>
        <w:rPr>
          <w:rFonts w:eastAsia="Calibri"/>
          <w:lang w:val="es-DO"/>
        </w:rPr>
      </w:pPr>
      <w:r w:rsidRPr="001601C5">
        <w:rPr>
          <w:rFonts w:eastAsia="Calibri"/>
          <w:lang w:val="es-DO"/>
        </w:rPr>
        <w:t xml:space="preserve">Estas acciones incluyeron talleres educativos, charlas temáticas, conferencias, visitas guiadas especializadas, campamentos de verano, programas de mediación cultural y actividades inclusivas, desarrolladas tanto de manera presencial como híbrida. </w:t>
      </w:r>
    </w:p>
    <w:p w14:paraId="51A7B35E" w14:textId="77777777" w:rsidR="001601C5" w:rsidRDefault="001601C5" w:rsidP="00427D27">
      <w:pPr>
        <w:spacing w:line="360" w:lineRule="auto"/>
        <w:jc w:val="both"/>
        <w:rPr>
          <w:rFonts w:eastAsia="Calibri"/>
          <w:lang w:val="es-DO"/>
        </w:rPr>
      </w:pPr>
      <w:r>
        <w:rPr>
          <w:rFonts w:eastAsia="Calibri"/>
          <w:lang w:val="es-DO"/>
        </w:rPr>
        <w:t>D</w:t>
      </w:r>
      <w:r w:rsidRPr="001601C5">
        <w:rPr>
          <w:rFonts w:eastAsia="Calibri"/>
          <w:lang w:val="es-DO"/>
        </w:rPr>
        <w:t>ichas iniciativas estuvieron alineadas con las líneas estratégicas de difusión cultural, vinculación comunitaria, inclusión y accesibilidad, así como con la formación de públicos diversos, incluyendo niños, jóvenes, personas con discapacidad y comunidades educativas.</w:t>
      </w:r>
    </w:p>
    <w:p w14:paraId="5FC8C303" w14:textId="2999091F" w:rsidR="00CE1776" w:rsidRDefault="001601C5" w:rsidP="00427D27">
      <w:pPr>
        <w:spacing w:line="360" w:lineRule="auto"/>
        <w:jc w:val="both"/>
        <w:rPr>
          <w:rFonts w:eastAsia="Calibri"/>
          <w:lang w:val="es-DO"/>
        </w:rPr>
      </w:pPr>
      <w:r w:rsidRPr="001601C5">
        <w:rPr>
          <w:rFonts w:eastAsia="Calibri"/>
          <w:lang w:val="es-DO"/>
        </w:rPr>
        <w:t>El volumen de participación alcanzado refleja una gestión activa del componente misional, incluso en contextos donde algunos museos enfrentaron cierres temporales o restricciones operativas, lo que obligó a trasladar actividades a espacios alternativos o comunitarios</w:t>
      </w:r>
    </w:p>
    <w:p w14:paraId="48CE83D7" w14:textId="133DCEA9" w:rsidR="009E43F5" w:rsidRPr="009E43F5" w:rsidRDefault="009E43F5" w:rsidP="00427D27">
      <w:pPr>
        <w:spacing w:line="360" w:lineRule="auto"/>
        <w:jc w:val="center"/>
        <w:rPr>
          <w:rFonts w:eastAsia="Calibri"/>
          <w:b/>
          <w:bCs/>
          <w:lang w:val="es-DO"/>
        </w:rPr>
      </w:pPr>
      <w:r w:rsidRPr="009E43F5">
        <w:rPr>
          <w:rFonts w:eastAsia="Calibri"/>
          <w:b/>
          <w:bCs/>
          <w:lang w:val="es-DO"/>
        </w:rPr>
        <w:t xml:space="preserve">Visitas a exposiciones itinerantes organizadas por los museos </w:t>
      </w:r>
      <w:r w:rsidR="00321494">
        <w:rPr>
          <w:rFonts w:eastAsia="Calibri"/>
          <w:b/>
          <w:bCs/>
          <w:lang w:val="es-DO"/>
        </w:rPr>
        <w:t>bajo la administración de</w:t>
      </w:r>
      <w:r w:rsidRPr="009E43F5">
        <w:rPr>
          <w:rFonts w:eastAsia="Calibri"/>
          <w:b/>
          <w:bCs/>
          <w:lang w:val="es-DO"/>
        </w:rPr>
        <w:t xml:space="preserve"> la DGM</w:t>
      </w:r>
    </w:p>
    <w:p w14:paraId="34C5CD96" w14:textId="77777777" w:rsidR="009E43F5" w:rsidRDefault="009E43F5" w:rsidP="00427D27">
      <w:pPr>
        <w:spacing w:line="360" w:lineRule="auto"/>
        <w:jc w:val="both"/>
        <w:rPr>
          <w:rFonts w:eastAsia="Calibri"/>
          <w:lang w:val="es-DO"/>
        </w:rPr>
      </w:pPr>
      <w:r w:rsidRPr="009E43F5">
        <w:rPr>
          <w:rFonts w:eastAsia="Calibri"/>
          <w:lang w:val="es-DO"/>
        </w:rPr>
        <w:t xml:space="preserve">Las exposiciones itinerantes organizadas por los museos de la DGM alcanzaron un total de 63,395 visitas durante 2025, consolidándose como una herramienta clave para la desconcentración territorial del acceso al patrimonio cultural. </w:t>
      </w:r>
    </w:p>
    <w:p w14:paraId="3E1A8DF7" w14:textId="77777777" w:rsidR="009E43F5" w:rsidRDefault="009E43F5" w:rsidP="00427D27">
      <w:pPr>
        <w:spacing w:line="360" w:lineRule="auto"/>
        <w:jc w:val="both"/>
        <w:rPr>
          <w:rFonts w:eastAsia="Calibri"/>
          <w:lang w:val="es-DO"/>
        </w:rPr>
      </w:pPr>
      <w:r>
        <w:rPr>
          <w:rFonts w:eastAsia="Calibri"/>
          <w:lang w:val="es-DO"/>
        </w:rPr>
        <w:t>E</w:t>
      </w:r>
      <w:r w:rsidRPr="009E43F5">
        <w:rPr>
          <w:rFonts w:eastAsia="Calibri"/>
          <w:lang w:val="es-DO"/>
        </w:rPr>
        <w:t xml:space="preserve">stas exposiciones permitieron llevar contenidos históricos, artísticos y patrimoniales a parques, centros educativos, espacios públicos y museos aliados, ampliando el alcance geográfico y social de la acción museística. Destacan iniciativas como la exposición itinerante “La Época de Ruina del Alcázar de Colón”, presentada en </w:t>
      </w:r>
      <w:r w:rsidRPr="009E43F5">
        <w:rPr>
          <w:rFonts w:eastAsia="Calibri"/>
          <w:lang w:val="es-DO"/>
        </w:rPr>
        <w:lastRenderedPageBreak/>
        <w:t xml:space="preserve">distintos puntos de la Ciudad Colonial, así como la continuidad de muestras itinerantes desarrolladas por museos emblemáticos como el Museo Monumento a los Héroes de la Restauración, que incorporó nuevas sedes en distintas provincias del país. </w:t>
      </w:r>
    </w:p>
    <w:p w14:paraId="52B429D2" w14:textId="33B83D75" w:rsidR="00CE1776" w:rsidRDefault="009E43F5" w:rsidP="00427D27">
      <w:pPr>
        <w:spacing w:line="360" w:lineRule="auto"/>
        <w:jc w:val="both"/>
        <w:rPr>
          <w:rFonts w:eastAsia="Calibri"/>
          <w:lang w:val="es-DO"/>
        </w:rPr>
      </w:pPr>
      <w:r w:rsidRPr="009E43F5">
        <w:rPr>
          <w:rFonts w:eastAsia="Calibri"/>
          <w:lang w:val="es-DO"/>
        </w:rPr>
        <w:t>Este desempeño reafirma la itinerancia como una estrategia complementaria a la oferta museográfica permanente, particularmente relevante en períodos de restauración de inmuebles o limitaciones de acceso físico a las sedes museales</w:t>
      </w:r>
    </w:p>
    <w:p w14:paraId="4A66EB9B" w14:textId="6D9F5D0E" w:rsidR="00FB031B" w:rsidRPr="00FB031B" w:rsidRDefault="00FB031B" w:rsidP="00427D27">
      <w:pPr>
        <w:spacing w:line="360" w:lineRule="auto"/>
        <w:jc w:val="center"/>
        <w:rPr>
          <w:rFonts w:eastAsia="Calibri"/>
          <w:b/>
          <w:bCs/>
          <w:lang w:val="es-DO"/>
        </w:rPr>
      </w:pPr>
      <w:r w:rsidRPr="00FB031B">
        <w:rPr>
          <w:rFonts w:eastAsia="Calibri"/>
          <w:b/>
          <w:bCs/>
          <w:lang w:val="es-DO"/>
        </w:rPr>
        <w:t>Actividades de vinculación con la comunidad</w:t>
      </w:r>
      <w:r w:rsidR="009A1B5B">
        <w:rPr>
          <w:rFonts w:eastAsia="Calibri"/>
          <w:b/>
          <w:bCs/>
          <w:lang w:val="es-DO"/>
        </w:rPr>
        <w:t xml:space="preserve">: </w:t>
      </w:r>
      <w:r w:rsidRPr="00FB031B">
        <w:rPr>
          <w:rFonts w:eastAsia="Calibri"/>
          <w:b/>
          <w:bCs/>
          <w:lang w:val="es-DO"/>
        </w:rPr>
        <w:t>Programa Museos y Comunidad</w:t>
      </w:r>
    </w:p>
    <w:p w14:paraId="13032491" w14:textId="77777777" w:rsidR="00FB031B" w:rsidRDefault="00FB031B" w:rsidP="00427D27">
      <w:pPr>
        <w:spacing w:line="360" w:lineRule="auto"/>
        <w:jc w:val="both"/>
        <w:rPr>
          <w:rFonts w:eastAsia="Calibri"/>
          <w:lang w:val="es-DO"/>
        </w:rPr>
      </w:pPr>
      <w:r w:rsidRPr="00FB031B">
        <w:rPr>
          <w:rFonts w:eastAsia="Calibri"/>
          <w:lang w:val="es-DO"/>
        </w:rPr>
        <w:t xml:space="preserve">En el marco del programa Museos y Comunidad, durante el año 2025 se impactó directamente a 2,200 personas, mediante actividades orientadas a la participación comunitaria, el reconocimiento del patrimonio cultural inmaterial y la inclusión social. </w:t>
      </w:r>
    </w:p>
    <w:p w14:paraId="0C4E17AC" w14:textId="55896561" w:rsidR="00FB031B" w:rsidRPr="00FB031B" w:rsidRDefault="00FB031B" w:rsidP="00427D27">
      <w:pPr>
        <w:spacing w:line="360" w:lineRule="auto"/>
        <w:jc w:val="both"/>
        <w:rPr>
          <w:rFonts w:eastAsia="Calibri"/>
          <w:lang w:val="es-DO"/>
        </w:rPr>
      </w:pPr>
      <w:r w:rsidRPr="00FB031B">
        <w:rPr>
          <w:rFonts w:eastAsia="Calibri"/>
          <w:lang w:val="es-DO"/>
        </w:rPr>
        <w:t>Estas acciones se desarrollaron en estrecha articulación con líderes comunitarios, portadores de tradición, gestores culturales y organizaciones locales, reafirmando el enfoque territorial de la política museística de la DGM.</w:t>
      </w:r>
    </w:p>
    <w:p w14:paraId="2C811486" w14:textId="77777777" w:rsidR="00FB031B" w:rsidRDefault="00FB031B" w:rsidP="00427D27">
      <w:pPr>
        <w:spacing w:line="360" w:lineRule="auto"/>
        <w:jc w:val="both"/>
        <w:rPr>
          <w:rFonts w:eastAsia="Calibri"/>
          <w:lang w:val="es-DO"/>
        </w:rPr>
      </w:pPr>
      <w:r w:rsidRPr="00FB031B">
        <w:rPr>
          <w:rFonts w:eastAsia="Calibri"/>
          <w:lang w:val="es-DO"/>
        </w:rPr>
        <w:t xml:space="preserve">Entre las experiencias más relevantes se encuentra la participación institucional en la celebración tradicional a San Miguel, realizada en Villa Mella, dentro del Espacio Cultural de los Congos del Espíritu Santo, inscrito en la Lista Representativa del Patrimonio Cultural Inmaterial de la Humanidad de la UNESCO. </w:t>
      </w:r>
    </w:p>
    <w:p w14:paraId="7180A382" w14:textId="77777777" w:rsidR="00D52943" w:rsidRDefault="00FB031B" w:rsidP="00427D27">
      <w:pPr>
        <w:spacing w:line="360" w:lineRule="auto"/>
        <w:jc w:val="both"/>
        <w:rPr>
          <w:rFonts w:eastAsia="Calibri"/>
          <w:lang w:val="es-DO"/>
        </w:rPr>
      </w:pPr>
      <w:r w:rsidRPr="00FB031B">
        <w:rPr>
          <w:rFonts w:eastAsia="Calibri"/>
          <w:lang w:val="es-DO"/>
        </w:rPr>
        <w:t xml:space="preserve">Esta actividad congregó aproximadamente 450 personas, y se caracterizó por su carácter abierto, gratuito e inclusivo, reforzando el rol del museo como aliado de los portadores de tradición. De igual manera, la intervención en el Festival de Atabales de </w:t>
      </w:r>
      <w:proofErr w:type="spellStart"/>
      <w:r w:rsidRPr="00FB031B">
        <w:rPr>
          <w:rFonts w:eastAsia="Calibri"/>
          <w:lang w:val="es-DO"/>
        </w:rPr>
        <w:t>Sainaguá</w:t>
      </w:r>
      <w:proofErr w:type="spellEnd"/>
      <w:r w:rsidRPr="00FB031B">
        <w:rPr>
          <w:rFonts w:eastAsia="Calibri"/>
          <w:lang w:val="es-DO"/>
        </w:rPr>
        <w:t xml:space="preserve"> permitió articular expresiones musicales, exhibiciones patrimoniales</w:t>
      </w:r>
    </w:p>
    <w:p w14:paraId="18866DDA" w14:textId="7B3D15F7" w:rsidR="00CE1776" w:rsidRDefault="00FB031B" w:rsidP="00427D27">
      <w:pPr>
        <w:spacing w:line="360" w:lineRule="auto"/>
        <w:jc w:val="both"/>
        <w:rPr>
          <w:rFonts w:eastAsia="Calibri"/>
          <w:lang w:val="es-DO"/>
        </w:rPr>
      </w:pPr>
      <w:r w:rsidRPr="00FB031B">
        <w:rPr>
          <w:rFonts w:eastAsia="Calibri"/>
          <w:lang w:val="es-DO"/>
        </w:rPr>
        <w:lastRenderedPageBreak/>
        <w:t xml:space="preserve"> y acciones pedagógicas, con la participación de 57 agrupaciones artísticas, 29 ponentes y un público presencial estimado de 1,800 asistentes. Estas iniciativas evidencian la consolidación del museo como actor comunitario activo, más allá de sus espacios físicos tradicionales.</w:t>
      </w:r>
    </w:p>
    <w:p w14:paraId="2316F138" w14:textId="77777777" w:rsidR="00980BF8" w:rsidRPr="00980BF8" w:rsidRDefault="00980BF8" w:rsidP="00427D27">
      <w:pPr>
        <w:spacing w:line="360" w:lineRule="auto"/>
        <w:jc w:val="center"/>
        <w:rPr>
          <w:rFonts w:eastAsia="Calibri"/>
          <w:b/>
          <w:bCs/>
          <w:lang w:val="es-DO"/>
        </w:rPr>
      </w:pPr>
      <w:r w:rsidRPr="00980BF8">
        <w:rPr>
          <w:rFonts w:eastAsia="Calibri"/>
          <w:b/>
          <w:bCs/>
          <w:lang w:val="es-DO"/>
        </w:rPr>
        <w:t>Visitas a otros museos estatales</w:t>
      </w:r>
    </w:p>
    <w:p w14:paraId="3496E1D4" w14:textId="77777777" w:rsidR="00980BF8" w:rsidRDefault="00980BF8" w:rsidP="00427D27">
      <w:pPr>
        <w:spacing w:line="360" w:lineRule="auto"/>
        <w:jc w:val="both"/>
        <w:rPr>
          <w:rFonts w:eastAsia="Calibri"/>
          <w:lang w:val="es-DO"/>
        </w:rPr>
      </w:pPr>
      <w:r w:rsidRPr="00980BF8">
        <w:rPr>
          <w:rFonts w:eastAsia="Calibri"/>
          <w:lang w:val="es-DO"/>
        </w:rPr>
        <w:t xml:space="preserve">Durante el año 2025, la Dirección General de Museos dio seguimiento a la afluencia de visitantes en otros museos estatales que, si bien no se encuentran bajo su administración directa, forman parte del ecosistema museístico nacional. A través del sistema de monitoreo de visitas implementado por la DGM, se registraron 96,548 visitas en un conjunto de siete (7) museos estatales, superando en un 35 % la meta programada para el período. </w:t>
      </w:r>
    </w:p>
    <w:p w14:paraId="52D9892B" w14:textId="14484BF6" w:rsidR="00A358F5" w:rsidRDefault="00980BF8" w:rsidP="00427D27">
      <w:pPr>
        <w:spacing w:line="360" w:lineRule="auto"/>
        <w:jc w:val="both"/>
        <w:rPr>
          <w:rFonts w:eastAsia="Calibri"/>
          <w:lang w:val="es-DO"/>
        </w:rPr>
      </w:pPr>
      <w:r w:rsidRPr="00980BF8">
        <w:rPr>
          <w:rFonts w:eastAsia="Calibri"/>
          <w:lang w:val="es-DO"/>
        </w:rPr>
        <w:t>Este resultado evidencia un comportamiento positivo de la demanda cultural en espacios museísticos gestionados por otras dependencias del Estado, así como la utilidad del sistema de registro unificado como herramienta para la observación del desempeño sectorial. La información recabada contribuye a una visión integral del acceso ciudadano al patrimonio cultural estatal y fortalece la capacidad del Ministerio de Cultura para la toma de decisiones basadas en evidencia.</w:t>
      </w:r>
    </w:p>
    <w:p w14:paraId="4F923239" w14:textId="77777777" w:rsidR="00980BF8" w:rsidRPr="00980BF8" w:rsidRDefault="00980BF8" w:rsidP="00427D27">
      <w:pPr>
        <w:spacing w:line="360" w:lineRule="auto"/>
        <w:jc w:val="center"/>
        <w:rPr>
          <w:rFonts w:eastAsia="Calibri"/>
          <w:b/>
          <w:bCs/>
          <w:lang w:val="es-DO"/>
        </w:rPr>
      </w:pPr>
      <w:r w:rsidRPr="00980BF8">
        <w:rPr>
          <w:rFonts w:eastAsia="Calibri"/>
          <w:b/>
          <w:bCs/>
          <w:lang w:val="es-DO"/>
        </w:rPr>
        <w:t>Visitas a museos privados</w:t>
      </w:r>
    </w:p>
    <w:p w14:paraId="5E45C908" w14:textId="77777777" w:rsidR="00980BF8" w:rsidRDefault="00980BF8" w:rsidP="00427D27">
      <w:pPr>
        <w:spacing w:line="360" w:lineRule="auto"/>
        <w:jc w:val="both"/>
        <w:rPr>
          <w:rFonts w:eastAsia="Calibri"/>
          <w:lang w:val="es-DO"/>
        </w:rPr>
      </w:pPr>
      <w:r w:rsidRPr="00980BF8">
        <w:rPr>
          <w:rFonts w:eastAsia="Calibri"/>
          <w:lang w:val="es-DO"/>
        </w:rPr>
        <w:t xml:space="preserve">En relación con los museos privados, durante el año 2025 se registraron 361,913 visitas en un total de treinta (30) museos, alcanzando prácticamente la meta establecida, con una desviación mínima de -1 %. </w:t>
      </w:r>
    </w:p>
    <w:p w14:paraId="06191F9D" w14:textId="77777777" w:rsidR="00980BF8" w:rsidRDefault="00980BF8" w:rsidP="00427D27">
      <w:pPr>
        <w:spacing w:line="360" w:lineRule="auto"/>
        <w:jc w:val="both"/>
        <w:rPr>
          <w:rFonts w:eastAsia="Calibri"/>
          <w:lang w:val="es-DO"/>
        </w:rPr>
      </w:pPr>
      <w:r w:rsidRPr="00980BF8">
        <w:rPr>
          <w:rFonts w:eastAsia="Calibri"/>
          <w:lang w:val="es-DO"/>
        </w:rPr>
        <w:t xml:space="preserve">Estos datos fueron levantados en el marco del sistema de monitoreo de visitas coordinado por la Dirección General de Museos, en </w:t>
      </w:r>
      <w:r w:rsidRPr="00980BF8">
        <w:rPr>
          <w:rFonts w:eastAsia="Calibri"/>
          <w:lang w:val="es-DO"/>
        </w:rPr>
        <w:lastRenderedPageBreak/>
        <w:t xml:space="preserve">articulación con los gestores de espacios museísticos privados y comunitarios. </w:t>
      </w:r>
    </w:p>
    <w:p w14:paraId="501A09E6" w14:textId="77777777" w:rsidR="00980BF8" w:rsidRDefault="00980BF8" w:rsidP="00427D27">
      <w:pPr>
        <w:spacing w:line="360" w:lineRule="auto"/>
        <w:jc w:val="both"/>
        <w:rPr>
          <w:rFonts w:eastAsia="Calibri"/>
          <w:lang w:val="es-DO"/>
        </w:rPr>
      </w:pPr>
      <w:r w:rsidRPr="00980BF8">
        <w:rPr>
          <w:rFonts w:eastAsia="Calibri"/>
          <w:lang w:val="es-DO"/>
        </w:rPr>
        <w:t xml:space="preserve">El comportamiento observado confirma el papel relevante que desempeñan los museos privados en la oferta cultural del país, especialmente en términos de diversidad temática, descentralización territorial y complementariedad con la red estatal. </w:t>
      </w:r>
    </w:p>
    <w:p w14:paraId="2BEF53A5" w14:textId="0CDE8827" w:rsidR="00A358F5" w:rsidRDefault="00980BF8" w:rsidP="00427D27">
      <w:pPr>
        <w:spacing w:line="360" w:lineRule="auto"/>
        <w:jc w:val="both"/>
        <w:rPr>
          <w:rFonts w:eastAsia="Calibri"/>
          <w:lang w:val="es-DO"/>
        </w:rPr>
      </w:pPr>
      <w:r w:rsidRPr="00980BF8">
        <w:rPr>
          <w:rFonts w:eastAsia="Calibri"/>
          <w:lang w:val="es-DO"/>
        </w:rPr>
        <w:t>Asimismo, la incorporación de estos datos al sistema de monitoreo permite avanzar hacia una lectura más completa del impacto del sector museístico en su conjunto, fortaleciendo los procesos de planificación cultural, evaluación de políticas públicas y diseño de estrategias de articulación público–privada.</w:t>
      </w:r>
    </w:p>
    <w:p w14:paraId="194A133F" w14:textId="77777777" w:rsidR="000B30E8" w:rsidRDefault="00BA6147" w:rsidP="000B30E8">
      <w:pPr>
        <w:spacing w:line="360" w:lineRule="auto"/>
        <w:jc w:val="center"/>
        <w:rPr>
          <w:rFonts w:eastAsia="Calibri"/>
          <w:b/>
          <w:bCs/>
          <w:lang w:val="es-MX"/>
        </w:rPr>
      </w:pPr>
      <w:r w:rsidRPr="00BA6147">
        <w:rPr>
          <w:rFonts w:eastAsia="Calibri"/>
          <w:b/>
          <w:bCs/>
          <w:lang w:val="es-MX"/>
        </w:rPr>
        <w:t>Actividades</w:t>
      </w:r>
      <w:r w:rsidR="000B30E8">
        <w:rPr>
          <w:rFonts w:eastAsia="Calibri"/>
          <w:b/>
          <w:bCs/>
          <w:lang w:val="es-MX"/>
        </w:rPr>
        <w:t xml:space="preserve"> centrales</w:t>
      </w:r>
      <w:r w:rsidRPr="00BA6147">
        <w:rPr>
          <w:rFonts w:eastAsia="Calibri"/>
          <w:b/>
          <w:bCs/>
          <w:lang w:val="es-MX"/>
        </w:rPr>
        <w:t xml:space="preserve"> de difusión </w:t>
      </w:r>
      <w:r w:rsidR="000B30E8">
        <w:rPr>
          <w:rFonts w:eastAsia="Calibri"/>
          <w:b/>
          <w:bCs/>
          <w:lang w:val="es-MX"/>
        </w:rPr>
        <w:t xml:space="preserve">cultural </w:t>
      </w:r>
    </w:p>
    <w:p w14:paraId="4255475D" w14:textId="4DFA6038" w:rsidR="00BA6147" w:rsidRDefault="00BA6147" w:rsidP="000B30E8">
      <w:pPr>
        <w:spacing w:line="360" w:lineRule="auto"/>
        <w:rPr>
          <w:rFonts w:eastAsia="Calibri"/>
          <w:b/>
          <w:bCs/>
          <w:lang w:val="es-MX"/>
        </w:rPr>
      </w:pPr>
      <w:r>
        <w:rPr>
          <w:rFonts w:eastAsia="Calibri"/>
          <w:b/>
          <w:bCs/>
          <w:lang w:val="es-MX"/>
        </w:rPr>
        <w:t>La Noche Larga de los Museos</w:t>
      </w:r>
    </w:p>
    <w:p w14:paraId="49651D16" w14:textId="77777777" w:rsidR="000B30E8" w:rsidRDefault="000B30E8" w:rsidP="000B30E8">
      <w:pPr>
        <w:spacing w:line="360" w:lineRule="auto"/>
        <w:jc w:val="both"/>
        <w:rPr>
          <w:rFonts w:eastAsia="Calibri"/>
          <w:lang w:val="es-MX"/>
        </w:rPr>
      </w:pPr>
      <w:r w:rsidRPr="000B30E8">
        <w:rPr>
          <w:rFonts w:eastAsia="Calibri"/>
          <w:lang w:val="es-MX"/>
        </w:rPr>
        <w:t xml:space="preserve">Durante el año 2025, la Noche Larga de los Museos se consolidó como una de las actividades culturales más destacadas del calendario anual, organizada por la Dirección General de Museos en torno a la conmemoración del Día Internacional de los Museos. </w:t>
      </w:r>
    </w:p>
    <w:p w14:paraId="005F0BE2" w14:textId="3A046FA2" w:rsidR="000B30E8" w:rsidRPr="000B30E8" w:rsidRDefault="000B30E8" w:rsidP="000B30E8">
      <w:pPr>
        <w:spacing w:line="360" w:lineRule="auto"/>
        <w:jc w:val="both"/>
        <w:rPr>
          <w:rFonts w:eastAsia="Calibri"/>
          <w:lang w:val="es-MX"/>
        </w:rPr>
      </w:pPr>
      <w:r w:rsidRPr="000B30E8">
        <w:rPr>
          <w:rFonts w:eastAsia="Calibri"/>
          <w:lang w:val="es-MX"/>
        </w:rPr>
        <w:t xml:space="preserve">Bajo el lema “Ahora por la Equidad”, este evento se celebró del 16 al 18 de mayo con acceso gratuito a más de 30 museos y centros culturales estatales y </w:t>
      </w:r>
      <w:r>
        <w:rPr>
          <w:rFonts w:eastAsia="Calibri"/>
          <w:lang w:val="es-MX"/>
        </w:rPr>
        <w:t xml:space="preserve">miembros de la Red Nacional de Museos, </w:t>
      </w:r>
      <w:r w:rsidRPr="000B30E8">
        <w:rPr>
          <w:rFonts w:eastAsia="Calibri"/>
          <w:lang w:val="es-MX"/>
        </w:rPr>
        <w:t xml:space="preserve">distribuidos en Santo Domingo, Santiago, La Vega, Moca, Puerto Plata, La Romana, San Rafael del Yuma y otras localidades del país, consolidando la territorialización de las experiencias culturales. </w:t>
      </w:r>
    </w:p>
    <w:p w14:paraId="59BF7AB7" w14:textId="77777777" w:rsidR="000B30E8" w:rsidRPr="000B30E8" w:rsidRDefault="000B30E8" w:rsidP="000B30E8">
      <w:pPr>
        <w:spacing w:line="360" w:lineRule="auto"/>
        <w:jc w:val="both"/>
        <w:rPr>
          <w:rFonts w:eastAsia="Calibri"/>
          <w:lang w:val="es-MX"/>
        </w:rPr>
      </w:pPr>
      <w:r w:rsidRPr="000B30E8">
        <w:rPr>
          <w:rFonts w:eastAsia="Calibri"/>
          <w:lang w:val="es-MX"/>
        </w:rPr>
        <w:t xml:space="preserve">La programación incluyó una diversidad de actividades diseñadas para públicos de todas las edades, tales como recorridos guiados, visitas especiales a colecciones, experiencias sensoriales y narrativas, talleres y actividades educativas para niños y jóvenes, intervenciones artísticas, presentaciones de música en vivo, </w:t>
      </w:r>
      <w:r w:rsidRPr="000B30E8">
        <w:rPr>
          <w:rFonts w:eastAsia="Calibri"/>
          <w:lang w:val="es-MX"/>
        </w:rPr>
        <w:lastRenderedPageBreak/>
        <w:t xml:space="preserve">narraciones y performances que contextualizaron el patrimonio histórico y cultural de cada museo participante. Esta oferta cultural se articuló con iniciativas locales en cada región, promoviendo la participación comunitaria y generando espacios de reflexión, aprendizaje y encuentro social. </w:t>
      </w:r>
    </w:p>
    <w:p w14:paraId="079CA147" w14:textId="77777777" w:rsidR="000B30E8" w:rsidRDefault="000B30E8" w:rsidP="000B30E8">
      <w:pPr>
        <w:spacing w:line="360" w:lineRule="auto"/>
        <w:jc w:val="both"/>
        <w:rPr>
          <w:rFonts w:eastAsia="Calibri"/>
          <w:lang w:val="es-MX"/>
        </w:rPr>
      </w:pPr>
      <w:r w:rsidRPr="000B30E8">
        <w:rPr>
          <w:rFonts w:eastAsia="Calibri"/>
          <w:lang w:val="es-MX"/>
        </w:rPr>
        <w:t xml:space="preserve">El impacto de esta jornada cultural se tradujo en una afluencia total de 23,392 visitantes, cifra que refleja la amplia acogida ciudadana y la efectividad de la iniciativa para atraer a diversos segmentos de la población hacia los espacios museísticos. La actividad implicó una inversión estimada de RD$2,410,500, destinada a la logística operativa, producción de programas culturales, comunicación y adecuaciones técnicas necesarias para garantizar la fluidez y calidad de la experiencia museística durante las horas extendidas de apertura. </w:t>
      </w:r>
    </w:p>
    <w:p w14:paraId="53628D77" w14:textId="201CB01A" w:rsidR="000B30E8" w:rsidRPr="000B30E8" w:rsidRDefault="000B30E8" w:rsidP="000B30E8">
      <w:pPr>
        <w:spacing w:line="360" w:lineRule="auto"/>
        <w:jc w:val="both"/>
        <w:rPr>
          <w:rFonts w:eastAsia="Calibri"/>
          <w:lang w:val="es-MX"/>
        </w:rPr>
      </w:pPr>
      <w:r w:rsidRPr="000B30E8">
        <w:rPr>
          <w:rFonts w:eastAsia="Calibri"/>
          <w:lang w:val="es-MX"/>
        </w:rPr>
        <w:t>Estos recursos permitieron articular los esfuerzos institucionales con las capacidades y oportunidades de cada museo, potenciando su presencia y vocación de mediación cultural.</w:t>
      </w:r>
    </w:p>
    <w:p w14:paraId="244AB8A3" w14:textId="77777777" w:rsidR="000B30E8" w:rsidRDefault="000B30E8" w:rsidP="000B30E8">
      <w:pPr>
        <w:spacing w:line="360" w:lineRule="auto"/>
        <w:jc w:val="both"/>
        <w:rPr>
          <w:rFonts w:eastAsia="Calibri"/>
          <w:lang w:val="es-MX"/>
        </w:rPr>
      </w:pPr>
      <w:r w:rsidRPr="000B30E8">
        <w:rPr>
          <w:rFonts w:eastAsia="Calibri"/>
          <w:lang w:val="es-MX"/>
        </w:rPr>
        <w:t xml:space="preserve">La Noche Larga de los Museos 2025 reafirmó el papel de los museos como plazas culturales vivas, invitando a la población a reconectar con la historia, el arte y las expresiones patrimoniales desde una perspectiva inclusiva y participativa. </w:t>
      </w:r>
    </w:p>
    <w:p w14:paraId="4FB54DCB" w14:textId="1EE3CD61" w:rsidR="00BA6147" w:rsidRDefault="000B30E8" w:rsidP="000B30E8">
      <w:pPr>
        <w:spacing w:line="360" w:lineRule="auto"/>
        <w:jc w:val="both"/>
        <w:rPr>
          <w:rFonts w:eastAsia="Calibri"/>
          <w:lang w:val="es-MX"/>
        </w:rPr>
      </w:pPr>
      <w:r w:rsidRPr="000B30E8">
        <w:rPr>
          <w:rFonts w:eastAsia="Calibri"/>
          <w:lang w:val="es-MX"/>
        </w:rPr>
        <w:t>Esta jornada se ha consolidado como una plataforma de promoción de la cultura que no sólo amplía la visibilidad de las instituciones museísticas, sino que también fortalece el sentido de pertenencia y el acceso equitativo a los bienes culturales, alineándose con las metas de democratización cultural y cohesión social promovidas por la DGM y las políticas públicas del sector.</w:t>
      </w:r>
    </w:p>
    <w:p w14:paraId="33F6B010" w14:textId="77777777" w:rsidR="00810413" w:rsidRDefault="00810413" w:rsidP="000B30E8">
      <w:pPr>
        <w:spacing w:line="360" w:lineRule="auto"/>
        <w:jc w:val="both"/>
        <w:rPr>
          <w:rFonts w:eastAsia="Calibri"/>
          <w:lang w:val="es-MX"/>
        </w:rPr>
      </w:pPr>
    </w:p>
    <w:p w14:paraId="6D82042B" w14:textId="77777777" w:rsidR="00810413" w:rsidRPr="000B30E8" w:rsidRDefault="00810413" w:rsidP="000B30E8">
      <w:pPr>
        <w:spacing w:line="360" w:lineRule="auto"/>
        <w:jc w:val="both"/>
        <w:rPr>
          <w:rFonts w:eastAsia="Calibri"/>
          <w:lang w:val="es-MX"/>
        </w:rPr>
      </w:pPr>
    </w:p>
    <w:p w14:paraId="6F636863" w14:textId="5020547E" w:rsidR="009A1B5B" w:rsidRDefault="009A1B5B" w:rsidP="009A1B5B">
      <w:pPr>
        <w:spacing w:line="360" w:lineRule="auto"/>
        <w:rPr>
          <w:rFonts w:eastAsia="Calibri"/>
          <w:b/>
          <w:bCs/>
          <w:lang w:val="es-MX"/>
        </w:rPr>
      </w:pPr>
      <w:r>
        <w:rPr>
          <w:rFonts w:eastAsia="Calibri"/>
          <w:b/>
          <w:bCs/>
          <w:lang w:val="es-MX"/>
        </w:rPr>
        <w:lastRenderedPageBreak/>
        <w:t>Talleres de Verano</w:t>
      </w:r>
    </w:p>
    <w:p w14:paraId="2E819485" w14:textId="77777777" w:rsidR="00810413" w:rsidRDefault="00810413" w:rsidP="00810413">
      <w:pPr>
        <w:spacing w:line="360" w:lineRule="auto"/>
        <w:jc w:val="both"/>
        <w:rPr>
          <w:rFonts w:eastAsia="Calibri"/>
          <w:lang w:val="es-MX"/>
        </w:rPr>
      </w:pPr>
      <w:r w:rsidRPr="00810413">
        <w:rPr>
          <w:rFonts w:eastAsia="Calibri"/>
          <w:lang w:val="es-MX"/>
        </w:rPr>
        <w:t xml:space="preserve">Durante el año 2025, los museos adscritos a la Dirección General de Museos desarrollaron una programación sostenida de talleres educativos y campamentos culturales, orientados a niños, niñas y adolescentes, como parte de su estrategia de mediación, formación temprana y apropiación social del patrimonio. </w:t>
      </w:r>
    </w:p>
    <w:p w14:paraId="6F712493" w14:textId="502B7703" w:rsidR="00810413" w:rsidRPr="00810413" w:rsidRDefault="00810413" w:rsidP="00810413">
      <w:pPr>
        <w:spacing w:line="360" w:lineRule="auto"/>
        <w:jc w:val="both"/>
        <w:rPr>
          <w:rFonts w:eastAsia="Calibri"/>
          <w:lang w:val="es-MX"/>
        </w:rPr>
      </w:pPr>
      <w:r w:rsidRPr="00810413">
        <w:rPr>
          <w:rFonts w:eastAsia="Calibri"/>
          <w:lang w:val="es-MX"/>
        </w:rPr>
        <w:t>Estas actividades se concibieron como espacios de aprendizaje activo, creatividad y encuentro, integrando contenidos históricos, artísticos y patrimoniales mediante metodologías lúdicas y participativas, en coherencia con el enfoque de los museos como espacios educativos no formales al servicio de la comunidad.</w:t>
      </w:r>
    </w:p>
    <w:p w14:paraId="012EC871" w14:textId="77777777" w:rsidR="00810413" w:rsidRDefault="00810413" w:rsidP="00810413">
      <w:pPr>
        <w:spacing w:line="360" w:lineRule="auto"/>
        <w:jc w:val="both"/>
        <w:rPr>
          <w:rFonts w:eastAsia="Calibri"/>
          <w:lang w:val="es-MX"/>
        </w:rPr>
      </w:pPr>
      <w:r w:rsidRPr="00810413">
        <w:rPr>
          <w:rFonts w:eastAsia="Calibri"/>
          <w:lang w:val="es-MX"/>
        </w:rPr>
        <w:t>En términos de alcance, los talleres y campamentos realizados durante 2025 beneficiaron a aproximadamente 350 niños y adolescentes, provenientes de divers</w:t>
      </w:r>
      <w:r>
        <w:rPr>
          <w:rFonts w:eastAsia="Calibri"/>
          <w:lang w:val="es-MX"/>
        </w:rPr>
        <w:t>a</w:t>
      </w:r>
      <w:r w:rsidRPr="00810413">
        <w:rPr>
          <w:rFonts w:eastAsia="Calibri"/>
          <w:lang w:val="es-MX"/>
        </w:rPr>
        <w:t xml:space="preserve">s comunidades, con una inversión total estimada de RD$385,900, destinada a materiales didácticos, facilitadores, logística y adecuación de espacios. </w:t>
      </w:r>
    </w:p>
    <w:p w14:paraId="0CC40179" w14:textId="5FF97C9F" w:rsidR="00810413" w:rsidRPr="00810413" w:rsidRDefault="00810413" w:rsidP="00810413">
      <w:pPr>
        <w:spacing w:line="360" w:lineRule="auto"/>
        <w:jc w:val="both"/>
        <w:rPr>
          <w:rFonts w:eastAsia="Calibri"/>
          <w:lang w:val="es-MX"/>
        </w:rPr>
      </w:pPr>
      <w:r w:rsidRPr="00810413">
        <w:rPr>
          <w:rFonts w:eastAsia="Calibri"/>
          <w:lang w:val="es-MX"/>
        </w:rPr>
        <w:t>Estas acciones contribuyeron a fortalecer competencias culturales, estimular el pensamiento crítico y fomentar el vínculo temprano de las nuevas generaciones con los museos y el patrimonio cultural nacional.</w:t>
      </w:r>
    </w:p>
    <w:p w14:paraId="08E6DF25" w14:textId="77777777" w:rsidR="00810413" w:rsidRDefault="00810413" w:rsidP="00810413">
      <w:pPr>
        <w:spacing w:line="360" w:lineRule="auto"/>
        <w:jc w:val="both"/>
        <w:rPr>
          <w:rFonts w:eastAsia="Calibri"/>
          <w:lang w:val="es-MX"/>
        </w:rPr>
      </w:pPr>
      <w:r w:rsidRPr="00810413">
        <w:rPr>
          <w:rFonts w:eastAsia="Calibri"/>
          <w:lang w:val="es-MX"/>
        </w:rPr>
        <w:t>De manera destacada, el campamento de verano del Museo Alcázar de Colón se consolidó como una de las experiencias educativas más emblemáticas del año, integrando actividades de historia, arte, lectura, expresión creativa y recorridos guiados adaptados a públicos infantiles, en un entorno patrimonial de alto valor histórico.</w:t>
      </w:r>
    </w:p>
    <w:p w14:paraId="005A577A" w14:textId="1C0B3F5F" w:rsidR="00810413" w:rsidRPr="00810413" w:rsidRDefault="00810413" w:rsidP="00810413">
      <w:pPr>
        <w:spacing w:line="360" w:lineRule="auto"/>
        <w:jc w:val="both"/>
        <w:rPr>
          <w:rFonts w:eastAsia="Calibri"/>
          <w:lang w:val="es-MX"/>
        </w:rPr>
      </w:pPr>
      <w:r w:rsidRPr="00810413">
        <w:rPr>
          <w:rFonts w:eastAsia="Calibri"/>
          <w:lang w:val="es-MX"/>
        </w:rPr>
        <w:t xml:space="preserve">De igual modo, el Museo Fortaleza de Santo Domingo desarrolló talleres y jornadas educativas que aprovecharon las particularidades del inmueble y su narrativa histórica para promover el aprendizaje </w:t>
      </w:r>
      <w:r w:rsidRPr="00810413">
        <w:rPr>
          <w:rFonts w:eastAsia="Calibri"/>
          <w:lang w:val="es-MX"/>
        </w:rPr>
        <w:lastRenderedPageBreak/>
        <w:t>vivencial y el contacto directo con el patrimonio material.</w:t>
      </w:r>
    </w:p>
    <w:p w14:paraId="1F5D3580" w14:textId="71B537D2" w:rsidR="009A1B5B" w:rsidRPr="00810413" w:rsidRDefault="00810413" w:rsidP="00810413">
      <w:pPr>
        <w:spacing w:line="360" w:lineRule="auto"/>
        <w:jc w:val="both"/>
        <w:rPr>
          <w:rFonts w:eastAsia="Calibri"/>
          <w:lang w:val="es-MX"/>
        </w:rPr>
      </w:pPr>
      <w:r w:rsidRPr="00810413">
        <w:rPr>
          <w:rFonts w:eastAsia="Calibri"/>
          <w:lang w:val="es-MX"/>
        </w:rPr>
        <w:t>En conjunto, los talleres y campamentos realizados en 2025 evidencian el compromiso de la Dirección General de Museos con la formación cultural de la niñez y la adolescencia, la ampliación de públicos y la construcción de una relación sostenible entre los museos y la sociedad, sentando bases sólidas para el desarrollo de audiencias futuras y la transmisión intergeneracional de la memoria y la identidad cultural dominicana.</w:t>
      </w:r>
    </w:p>
    <w:p w14:paraId="31452B67" w14:textId="7B1832E0" w:rsidR="009A1B5B" w:rsidRDefault="009A1B5B" w:rsidP="009A1B5B">
      <w:pPr>
        <w:spacing w:line="360" w:lineRule="auto"/>
        <w:rPr>
          <w:rFonts w:eastAsia="Calibri"/>
          <w:b/>
          <w:bCs/>
          <w:lang w:val="es-MX"/>
        </w:rPr>
      </w:pPr>
      <w:r>
        <w:rPr>
          <w:rFonts w:eastAsia="Calibri"/>
          <w:b/>
          <w:bCs/>
          <w:lang w:val="es-MX"/>
        </w:rPr>
        <w:t>Noches de Navidad en los Museos</w:t>
      </w:r>
    </w:p>
    <w:p w14:paraId="0FFC5F9C" w14:textId="77777777" w:rsidR="000B30E8" w:rsidRDefault="009A1B5B" w:rsidP="009A1B5B">
      <w:pPr>
        <w:spacing w:line="360" w:lineRule="auto"/>
        <w:jc w:val="both"/>
        <w:rPr>
          <w:rFonts w:eastAsia="Calibri"/>
          <w:lang w:val="es-MX"/>
        </w:rPr>
      </w:pPr>
      <w:r w:rsidRPr="009A1B5B">
        <w:rPr>
          <w:rFonts w:eastAsia="Calibri"/>
          <w:lang w:val="es-MX"/>
        </w:rPr>
        <w:t xml:space="preserve">Durante el año 2025, la iniciativa “Noches de Navidad en los Museos” se consolidó como una de las principales acciones de programación cultural estacional impulsadas por la Dirección General de Museos (DGM), orientada a fortalecer el acceso ciudadano a los museos, dinamizar los espacios culturales y promover la apropiación social del patrimonio durante el período navideño. </w:t>
      </w:r>
    </w:p>
    <w:p w14:paraId="19F26EC6" w14:textId="7DDFDBB3" w:rsidR="009A1B5B" w:rsidRPr="009A1B5B" w:rsidRDefault="009A1B5B" w:rsidP="009A1B5B">
      <w:pPr>
        <w:spacing w:line="360" w:lineRule="auto"/>
        <w:jc w:val="both"/>
        <w:rPr>
          <w:rFonts w:eastAsia="Calibri"/>
          <w:lang w:val="es-MX"/>
        </w:rPr>
      </w:pPr>
      <w:r w:rsidRPr="009A1B5B">
        <w:rPr>
          <w:rFonts w:eastAsia="Calibri"/>
          <w:lang w:val="es-MX"/>
        </w:rPr>
        <w:t>Esta iniciativa se desarrolló de manera articulada en museos administrados por la DGM, integrando propuestas museográficas, artísticas y educativas adaptadas al contexto festivo y a públicos diversos.</w:t>
      </w:r>
    </w:p>
    <w:p w14:paraId="31DE07E1" w14:textId="77777777" w:rsidR="000B30E8" w:rsidRDefault="009A1B5B" w:rsidP="009A1B5B">
      <w:pPr>
        <w:spacing w:line="360" w:lineRule="auto"/>
        <w:jc w:val="both"/>
        <w:rPr>
          <w:rFonts w:eastAsia="Calibri"/>
          <w:lang w:val="es-MX"/>
        </w:rPr>
      </w:pPr>
      <w:r w:rsidRPr="009A1B5B">
        <w:rPr>
          <w:rFonts w:eastAsia="Calibri"/>
          <w:lang w:val="es-MX"/>
        </w:rPr>
        <w:t>Las Noches de Navidad en los Museos 2025</w:t>
      </w:r>
      <w:r w:rsidR="000B30E8">
        <w:rPr>
          <w:rFonts w:eastAsia="Calibri"/>
          <w:lang w:val="es-MX"/>
        </w:rPr>
        <w:t xml:space="preserve">, realizadas los días 12, 13 y 14 de diciembre, </w:t>
      </w:r>
      <w:r w:rsidRPr="009A1B5B">
        <w:rPr>
          <w:rFonts w:eastAsia="Calibri"/>
          <w:lang w:val="es-MX"/>
        </w:rPr>
        <w:t xml:space="preserve">incluyeron aperturas nocturnas extendidas, exposiciones temporales temáticas, presentaciones artísticas, conciertos corales, actividades familiares, talleres infantiles, recorridos guiados especiales y experiencias de mediación cultural diseñadas para públicos intergeneracionales. </w:t>
      </w:r>
    </w:p>
    <w:p w14:paraId="3B5BF637" w14:textId="1D1B0D68" w:rsidR="00BA6147" w:rsidRDefault="009A1B5B" w:rsidP="009A1B5B">
      <w:pPr>
        <w:spacing w:line="360" w:lineRule="auto"/>
        <w:jc w:val="both"/>
        <w:rPr>
          <w:rFonts w:eastAsia="Calibri"/>
          <w:lang w:val="es-MX"/>
        </w:rPr>
      </w:pPr>
      <w:r w:rsidRPr="009A1B5B">
        <w:rPr>
          <w:rFonts w:eastAsia="Calibri"/>
          <w:lang w:val="es-MX"/>
        </w:rPr>
        <w:t>Estas acciones permitieron resignificar los museos como espacios vivos de encuentro comunitario, diálogo cultural y celebración de las tradiciones, reforzando su rol como infraestructuras culturales abiertas e inclusivas.</w:t>
      </w:r>
    </w:p>
    <w:p w14:paraId="33E8E038" w14:textId="77777777" w:rsidR="000B30E8" w:rsidRDefault="009A1B5B" w:rsidP="009A1B5B">
      <w:pPr>
        <w:spacing w:line="360" w:lineRule="auto"/>
        <w:jc w:val="both"/>
        <w:rPr>
          <w:rFonts w:eastAsia="Calibri"/>
          <w:lang w:val="es-MX"/>
        </w:rPr>
      </w:pPr>
      <w:r w:rsidRPr="009A1B5B">
        <w:rPr>
          <w:rFonts w:eastAsia="Calibri"/>
          <w:lang w:val="es-MX"/>
        </w:rPr>
        <w:lastRenderedPageBreak/>
        <w:t xml:space="preserve">Durante la iniciativa Noches de Navidad en los Museos 2025, </w:t>
      </w:r>
      <w:r w:rsidR="000B30E8">
        <w:rPr>
          <w:rFonts w:eastAsia="Calibri"/>
          <w:lang w:val="es-MX"/>
        </w:rPr>
        <w:t xml:space="preserve">con </w:t>
      </w:r>
      <w:r w:rsidR="000B30E8" w:rsidRPr="009A1B5B">
        <w:rPr>
          <w:rFonts w:eastAsia="Calibri"/>
          <w:lang w:val="es-MX"/>
        </w:rPr>
        <w:t>una inversión total de RD$1,217,046</w:t>
      </w:r>
      <w:r w:rsidR="000B30E8">
        <w:rPr>
          <w:rFonts w:eastAsia="Calibri"/>
          <w:lang w:val="es-MX"/>
        </w:rPr>
        <w:t xml:space="preserve">, </w:t>
      </w:r>
      <w:r w:rsidRPr="009A1B5B">
        <w:rPr>
          <w:rFonts w:eastAsia="Calibri"/>
          <w:lang w:val="es-MX"/>
        </w:rPr>
        <w:t xml:space="preserve">se registró una afluencia total de 15,200 visitantes, evidenciando el alto interés ciudadano por las actividades culturales asociadas a las celebraciones navideñas y el rol de los museos como espacios de encuentro, disfrute y apropiación del patrimonio. </w:t>
      </w:r>
    </w:p>
    <w:p w14:paraId="181760F5" w14:textId="7330D85A" w:rsidR="009A1B5B" w:rsidRDefault="009A1B5B" w:rsidP="009A1B5B">
      <w:pPr>
        <w:spacing w:line="360" w:lineRule="auto"/>
        <w:jc w:val="both"/>
        <w:rPr>
          <w:rFonts w:eastAsia="Calibri"/>
          <w:lang w:val="es-MX"/>
        </w:rPr>
      </w:pPr>
      <w:r w:rsidRPr="009A1B5B">
        <w:rPr>
          <w:rFonts w:eastAsia="Calibri"/>
          <w:lang w:val="es-MX"/>
        </w:rPr>
        <w:t>Estos resultados reflejan el impacto positivo de las acciones de extensión cultural en períodos festivos y la capacidad de los museos de integrarse a la vida cultural y social del país.</w:t>
      </w:r>
    </w:p>
    <w:p w14:paraId="5FAE234A" w14:textId="3EA65DA9" w:rsidR="009A1B5B" w:rsidRPr="009A1B5B" w:rsidRDefault="009A1B5B" w:rsidP="009A1B5B">
      <w:pPr>
        <w:spacing w:line="360" w:lineRule="auto"/>
        <w:jc w:val="both"/>
        <w:rPr>
          <w:rFonts w:eastAsia="Calibri"/>
          <w:lang w:val="es-MX"/>
        </w:rPr>
      </w:pPr>
      <w:r w:rsidRPr="009A1B5B">
        <w:rPr>
          <w:rFonts w:eastAsia="Calibri"/>
          <w:lang w:val="es-MX"/>
        </w:rPr>
        <w:t xml:space="preserve">En conjunto, las </w:t>
      </w:r>
      <w:r w:rsidRPr="009A1B5B">
        <w:rPr>
          <w:rFonts w:eastAsia="Calibri"/>
          <w:b/>
          <w:bCs/>
          <w:lang w:val="es-MX"/>
        </w:rPr>
        <w:t>Noches de Navidad en los Museos 2025</w:t>
      </w:r>
      <w:r w:rsidRPr="009A1B5B">
        <w:rPr>
          <w:rFonts w:eastAsia="Calibri"/>
          <w:lang w:val="es-MX"/>
        </w:rPr>
        <w:t xml:space="preserve"> reafirmaron la importancia de las programaciones especiales como herramientas estratégicas para ampliar el acceso a la cultura, fortalecer la relación entre los museos y sus comunidades, y posicionar a los museos como espacios centrales de la vida cultural en fechas de alta significación social. Esta experiencia aporta aprendizajes relevantes para el diseño de futuras acciones de mediación cultural, programación estacional y gestión de públicos en el sistema museístico nacional.</w:t>
      </w:r>
    </w:p>
    <w:p w14:paraId="606D31AC" w14:textId="3C58AB5B" w:rsidR="00D62B6F" w:rsidRPr="00D62B6F" w:rsidRDefault="00D62B6F" w:rsidP="00427D27">
      <w:pPr>
        <w:spacing w:line="360" w:lineRule="auto"/>
        <w:jc w:val="both"/>
        <w:rPr>
          <w:rFonts w:eastAsia="Calibri"/>
          <w:b/>
          <w:bCs/>
          <w:sz w:val="28"/>
          <w:szCs w:val="40"/>
          <w:lang w:val="es-DO"/>
        </w:rPr>
      </w:pPr>
      <w:r w:rsidRPr="00D62B6F">
        <w:rPr>
          <w:rFonts w:eastAsia="Calibri"/>
          <w:b/>
          <w:bCs/>
          <w:sz w:val="28"/>
          <w:szCs w:val="40"/>
          <w:lang w:val="es-DO"/>
        </w:rPr>
        <w:t>3.</w:t>
      </w:r>
      <w:r w:rsidR="000D6846">
        <w:rPr>
          <w:rFonts w:eastAsia="Calibri"/>
          <w:b/>
          <w:bCs/>
          <w:sz w:val="28"/>
          <w:szCs w:val="40"/>
          <w:lang w:val="es-DO"/>
        </w:rPr>
        <w:t>3</w:t>
      </w:r>
      <w:r w:rsidRPr="00D62B6F">
        <w:rPr>
          <w:rFonts w:eastAsia="Calibri"/>
          <w:b/>
          <w:bCs/>
          <w:sz w:val="28"/>
          <w:szCs w:val="40"/>
          <w:lang w:val="es-DO"/>
        </w:rPr>
        <w:t xml:space="preserve"> Red Nacional de Museos</w:t>
      </w:r>
    </w:p>
    <w:p w14:paraId="24E56559" w14:textId="6CA34EBE" w:rsidR="00D62B6F" w:rsidRPr="00742B0E" w:rsidRDefault="00D62B6F" w:rsidP="00427D27">
      <w:pPr>
        <w:spacing w:line="360" w:lineRule="auto"/>
        <w:jc w:val="both"/>
        <w:rPr>
          <w:rFonts w:eastAsia="Calibri"/>
          <w:szCs w:val="36"/>
          <w:lang w:val="es-DO"/>
        </w:rPr>
      </w:pPr>
      <w:r w:rsidRPr="00742B0E">
        <w:rPr>
          <w:rFonts w:eastAsia="Calibri"/>
          <w:szCs w:val="36"/>
          <w:lang w:val="es-DO"/>
        </w:rPr>
        <w:t>Un aspecto importante dentro de la misión y las funciones propias de la Dirección General de Museos es el fortalecimiento de la Red Nacional de Museos (en adelante, la RED), establecida en la ley 41-00.</w:t>
      </w:r>
    </w:p>
    <w:p w14:paraId="0F6DC8E6" w14:textId="77777777" w:rsidR="00D62B6F" w:rsidRPr="00742B0E" w:rsidRDefault="00D62B6F" w:rsidP="00427D27">
      <w:pPr>
        <w:spacing w:line="360" w:lineRule="auto"/>
        <w:jc w:val="both"/>
        <w:rPr>
          <w:rFonts w:eastAsia="Calibri"/>
          <w:szCs w:val="36"/>
          <w:lang w:val="es-DO"/>
        </w:rPr>
      </w:pPr>
      <w:r w:rsidRPr="00742B0E">
        <w:rPr>
          <w:rFonts w:eastAsia="Calibri"/>
          <w:szCs w:val="36"/>
          <w:lang w:val="es-DO"/>
        </w:rPr>
        <w:t>La RED tiene como objetivo principal agrupar y promover la colaboración entre los museos estatales y no estatales de la República Dominicana, con el objetivo de trabajar en conjunto para fortalecer la preservación y difusión del patrimonio cultural de sus colecciones a través de exposiciones, actividades educativas, investigaciones y programas especiales.</w:t>
      </w:r>
    </w:p>
    <w:p w14:paraId="01C0D090" w14:textId="080B76C7" w:rsidR="00D62B6F" w:rsidRDefault="00D62B6F" w:rsidP="00427D27">
      <w:pPr>
        <w:spacing w:line="360" w:lineRule="auto"/>
        <w:jc w:val="both"/>
        <w:rPr>
          <w:rFonts w:eastAsia="Calibri"/>
          <w:szCs w:val="36"/>
          <w:lang w:val="es-DO"/>
        </w:rPr>
      </w:pPr>
      <w:r w:rsidRPr="00742B0E">
        <w:rPr>
          <w:rFonts w:eastAsia="Calibri"/>
          <w:szCs w:val="36"/>
          <w:lang w:val="es-DO"/>
        </w:rPr>
        <w:lastRenderedPageBreak/>
        <w:t>Dentro de estas actividades tienen vital importancia las siguientes:</w:t>
      </w:r>
    </w:p>
    <w:p w14:paraId="75EB7FC3" w14:textId="77777777" w:rsidR="00D62B6F" w:rsidRPr="00742B0E" w:rsidRDefault="00D62B6F" w:rsidP="00427D27">
      <w:pPr>
        <w:spacing w:line="360" w:lineRule="auto"/>
        <w:jc w:val="center"/>
        <w:rPr>
          <w:rFonts w:eastAsia="Calibri"/>
          <w:b/>
          <w:bCs/>
          <w:szCs w:val="36"/>
          <w:lang w:val="es-DO"/>
        </w:rPr>
      </w:pPr>
      <w:r w:rsidRPr="00742B0E">
        <w:rPr>
          <w:rFonts w:eastAsia="Calibri"/>
          <w:b/>
          <w:bCs/>
          <w:szCs w:val="36"/>
          <w:lang w:val="es-DO"/>
        </w:rPr>
        <w:t>Actualización del Reglamento de la RED</w:t>
      </w:r>
    </w:p>
    <w:p w14:paraId="66915B11" w14:textId="6F3ECE2D" w:rsidR="00D62B6F" w:rsidRPr="00742B0E" w:rsidRDefault="00D62B6F" w:rsidP="00427D27">
      <w:pPr>
        <w:spacing w:line="360" w:lineRule="auto"/>
        <w:jc w:val="both"/>
        <w:rPr>
          <w:rFonts w:eastAsia="Calibri"/>
          <w:szCs w:val="36"/>
          <w:lang w:val="es-DO"/>
        </w:rPr>
      </w:pPr>
      <w:r w:rsidRPr="00742B0E">
        <w:rPr>
          <w:rFonts w:eastAsia="Calibri"/>
          <w:szCs w:val="36"/>
          <w:lang w:val="es-DO"/>
        </w:rPr>
        <w:t>Durante el año 202</w:t>
      </w:r>
      <w:r w:rsidR="006F2FE0">
        <w:rPr>
          <w:rFonts w:eastAsia="Calibri"/>
          <w:szCs w:val="36"/>
          <w:lang w:val="es-DO"/>
        </w:rPr>
        <w:t>5</w:t>
      </w:r>
      <w:r w:rsidRPr="00742B0E">
        <w:rPr>
          <w:rFonts w:eastAsia="Calibri"/>
          <w:szCs w:val="36"/>
          <w:lang w:val="es-DO"/>
        </w:rPr>
        <w:t>, la Dirección General de Museos concluyó con el proceso de actualización de la Red Nacional de Museos, correspondiente a la revisión de los aspectos técnicos del mismo por parte de la Comisión Revisora.</w:t>
      </w:r>
    </w:p>
    <w:p w14:paraId="715F857F" w14:textId="77777777" w:rsidR="00D62B6F" w:rsidRPr="00742B0E" w:rsidRDefault="00D62B6F" w:rsidP="00427D27">
      <w:pPr>
        <w:spacing w:line="360" w:lineRule="auto"/>
        <w:jc w:val="both"/>
        <w:rPr>
          <w:rFonts w:eastAsia="Calibri"/>
          <w:szCs w:val="36"/>
          <w:lang w:val="es-DO"/>
        </w:rPr>
      </w:pPr>
      <w:r w:rsidRPr="00742B0E">
        <w:rPr>
          <w:rFonts w:eastAsia="Calibri"/>
          <w:szCs w:val="36"/>
          <w:lang w:val="es-DO"/>
        </w:rPr>
        <w:t xml:space="preserve">Como producto final de este proceso, a finales de mayo se remitió el borrador final del </w:t>
      </w:r>
      <w:r w:rsidRPr="00742B0E">
        <w:rPr>
          <w:rFonts w:eastAsia="Calibri"/>
          <w:b/>
          <w:bCs/>
          <w:szCs w:val="36"/>
          <w:lang w:val="es-DO"/>
        </w:rPr>
        <w:t>Reglamento Orgánico de la Red Nacional de Museos</w:t>
      </w:r>
      <w:r w:rsidRPr="00742B0E">
        <w:rPr>
          <w:rFonts w:eastAsia="Calibri"/>
          <w:szCs w:val="36"/>
          <w:lang w:val="es-DO"/>
        </w:rPr>
        <w:t xml:space="preserve"> y las primeras </w:t>
      </w:r>
      <w:r w:rsidRPr="00742B0E">
        <w:rPr>
          <w:rFonts w:eastAsia="Calibri"/>
          <w:b/>
          <w:bCs/>
          <w:szCs w:val="36"/>
          <w:lang w:val="es-DO"/>
        </w:rPr>
        <w:t>Normas Técnicas para Museos</w:t>
      </w:r>
      <w:r w:rsidRPr="00742B0E">
        <w:rPr>
          <w:rFonts w:eastAsia="Calibri"/>
          <w:szCs w:val="36"/>
          <w:lang w:val="es-DO"/>
        </w:rPr>
        <w:t>, con los cuales se sientan las bases para iniciar la estandarización, reglamentación y monitoreo por parte del Estado de las actividades realizadas por los museos.</w:t>
      </w:r>
    </w:p>
    <w:p w14:paraId="78914FAC" w14:textId="16942654" w:rsidR="00D62B6F" w:rsidRDefault="00D62B6F" w:rsidP="00427D27">
      <w:pPr>
        <w:spacing w:line="360" w:lineRule="auto"/>
        <w:jc w:val="both"/>
        <w:rPr>
          <w:rFonts w:eastAsia="Calibri"/>
          <w:szCs w:val="36"/>
          <w:lang w:val="es-DO"/>
        </w:rPr>
      </w:pPr>
      <w:r w:rsidRPr="00742B0E">
        <w:rPr>
          <w:rFonts w:eastAsia="Calibri"/>
          <w:szCs w:val="36"/>
          <w:lang w:val="es-DO"/>
        </w:rPr>
        <w:t>Como parte de las propuestas del nuevo Reglamento, se incluye la creación del Registro Nacional de Museos y se establece una clasificación de las entidades museales a nivel nacional</w:t>
      </w:r>
      <w:r w:rsidR="00F4703B" w:rsidRPr="00742B0E">
        <w:rPr>
          <w:rFonts w:eastAsia="Calibri"/>
          <w:szCs w:val="36"/>
          <w:lang w:val="es-DO"/>
        </w:rPr>
        <w:t>, acorde a las normativas del ICOM y otras instituciones internacionales del área con las cuales se mantiene</w:t>
      </w:r>
      <w:r w:rsidR="005871B2" w:rsidRPr="00742B0E">
        <w:rPr>
          <w:rFonts w:eastAsia="Calibri"/>
          <w:szCs w:val="36"/>
          <w:lang w:val="es-DO"/>
        </w:rPr>
        <w:t>n vínculos, como lo son la UNESCO e Ibermuseos.</w:t>
      </w:r>
    </w:p>
    <w:p w14:paraId="185C511B" w14:textId="08B00D55" w:rsidR="00D62B6F" w:rsidRPr="00742B0E" w:rsidRDefault="00D62B6F" w:rsidP="00427D27">
      <w:pPr>
        <w:spacing w:line="360" w:lineRule="auto"/>
        <w:jc w:val="center"/>
        <w:rPr>
          <w:rFonts w:eastAsia="Calibri"/>
          <w:b/>
          <w:bCs/>
          <w:szCs w:val="36"/>
          <w:lang w:val="es-DO"/>
        </w:rPr>
      </w:pPr>
      <w:r w:rsidRPr="00742B0E">
        <w:rPr>
          <w:rFonts w:eastAsia="Calibri"/>
          <w:b/>
          <w:bCs/>
          <w:szCs w:val="36"/>
          <w:lang w:val="es-DO"/>
        </w:rPr>
        <w:t>Actualización Base de Datos Red Nacional de Museos</w:t>
      </w:r>
    </w:p>
    <w:p w14:paraId="28A03BDF" w14:textId="2F970BB9" w:rsidR="00D62B6F" w:rsidRPr="00742B0E" w:rsidRDefault="00D62B6F" w:rsidP="00427D27">
      <w:pPr>
        <w:spacing w:line="360" w:lineRule="auto"/>
        <w:jc w:val="both"/>
        <w:rPr>
          <w:rFonts w:eastAsia="Calibri"/>
          <w:szCs w:val="36"/>
          <w:lang w:val="es-DO"/>
        </w:rPr>
      </w:pPr>
      <w:r w:rsidRPr="00742B0E">
        <w:rPr>
          <w:rFonts w:eastAsia="Calibri"/>
          <w:szCs w:val="36"/>
          <w:lang w:val="es-DO"/>
        </w:rPr>
        <w:t xml:space="preserve">Como parte del proyecto de desterritorialización de los museos nacionales, durante el </w:t>
      </w:r>
      <w:r w:rsidR="005871B2" w:rsidRPr="00742B0E">
        <w:rPr>
          <w:rFonts w:eastAsia="Calibri"/>
          <w:szCs w:val="36"/>
          <w:lang w:val="es-DO"/>
        </w:rPr>
        <w:t xml:space="preserve">año </w:t>
      </w:r>
      <w:r w:rsidRPr="00742B0E">
        <w:rPr>
          <w:rFonts w:eastAsia="Calibri"/>
          <w:szCs w:val="36"/>
          <w:lang w:val="es-DO"/>
        </w:rPr>
        <w:t>202</w:t>
      </w:r>
      <w:r w:rsidR="00D127E7">
        <w:rPr>
          <w:rFonts w:eastAsia="Calibri"/>
          <w:szCs w:val="36"/>
          <w:lang w:val="es-DO"/>
        </w:rPr>
        <w:t>5</w:t>
      </w:r>
      <w:r w:rsidRPr="00742B0E">
        <w:rPr>
          <w:rFonts w:eastAsia="Calibri"/>
          <w:szCs w:val="36"/>
          <w:lang w:val="es-DO"/>
        </w:rPr>
        <w:t xml:space="preserve"> se continuaron los trabajos de actualización y sistematización de la base de datos de la Red Nacional de Museos, mediante la realización de levantamiento de información sobre los museos estatales y privados.</w:t>
      </w:r>
    </w:p>
    <w:p w14:paraId="0CF64074" w14:textId="5702F249" w:rsidR="00D62B6F" w:rsidRDefault="00D62B6F" w:rsidP="00427D27">
      <w:pPr>
        <w:spacing w:line="360" w:lineRule="auto"/>
        <w:jc w:val="both"/>
        <w:rPr>
          <w:rFonts w:eastAsia="Calibri"/>
          <w:szCs w:val="36"/>
          <w:lang w:val="es-DO"/>
        </w:rPr>
      </w:pPr>
      <w:r w:rsidRPr="00742B0E">
        <w:rPr>
          <w:rFonts w:eastAsia="Calibri"/>
          <w:szCs w:val="36"/>
          <w:lang w:val="es-DO"/>
        </w:rPr>
        <w:t>Esta base de datos incluye información sobre geo referenciación, características arquitectónicas y de infraestructura, accesibilidad, servicios, tipologías de las colecciones, aspectos legales de titularidad y gestión, entre otros.</w:t>
      </w:r>
    </w:p>
    <w:p w14:paraId="59276B3C" w14:textId="191BDE6F" w:rsidR="0039704A" w:rsidRPr="00742B0E" w:rsidRDefault="0039704A" w:rsidP="00427D27">
      <w:pPr>
        <w:spacing w:line="360" w:lineRule="auto"/>
        <w:jc w:val="center"/>
        <w:rPr>
          <w:rFonts w:eastAsia="Calibri"/>
          <w:b/>
          <w:bCs/>
          <w:szCs w:val="36"/>
          <w:lang w:val="es-DO"/>
        </w:rPr>
      </w:pPr>
      <w:r w:rsidRPr="00742B0E">
        <w:rPr>
          <w:rFonts w:eastAsia="Calibri"/>
          <w:b/>
          <w:bCs/>
          <w:szCs w:val="36"/>
          <w:lang w:val="es-DO"/>
        </w:rPr>
        <w:lastRenderedPageBreak/>
        <w:t>Promoción de la Red Nacional de Museos</w:t>
      </w:r>
    </w:p>
    <w:p w14:paraId="19900104" w14:textId="14D32258" w:rsidR="00130A30" w:rsidRDefault="0039704A" w:rsidP="00427D27">
      <w:pPr>
        <w:spacing w:line="360" w:lineRule="auto"/>
        <w:jc w:val="both"/>
        <w:rPr>
          <w:rFonts w:eastAsia="Calibri"/>
          <w:noProof/>
          <w:lang w:val="es-DO"/>
        </w:rPr>
      </w:pPr>
      <w:r w:rsidRPr="00742B0E">
        <w:rPr>
          <w:rFonts w:eastAsia="Calibri"/>
          <w:noProof/>
          <w:lang w:val="es-DO"/>
        </w:rPr>
        <w:t>Durante el año 202</w:t>
      </w:r>
      <w:r w:rsidR="00D127E7">
        <w:rPr>
          <w:rFonts w:eastAsia="Calibri"/>
          <w:noProof/>
          <w:lang w:val="es-DO"/>
        </w:rPr>
        <w:t>5</w:t>
      </w:r>
      <w:r w:rsidRPr="00742B0E">
        <w:rPr>
          <w:rFonts w:eastAsia="Calibri"/>
          <w:noProof/>
          <w:lang w:val="es-DO"/>
        </w:rPr>
        <w:t xml:space="preserve"> se realizaron varias jornadas de </w:t>
      </w:r>
      <w:r w:rsidR="00130A30" w:rsidRPr="00742B0E">
        <w:rPr>
          <w:rFonts w:eastAsia="Calibri"/>
          <w:noProof/>
          <w:lang w:val="es-DO"/>
        </w:rPr>
        <w:t>socializacion para dar a conocer la Red Nacional de Museos y motivar a las entidades museal</w:t>
      </w:r>
      <w:r w:rsidR="00B841B0" w:rsidRPr="00742B0E">
        <w:rPr>
          <w:rFonts w:eastAsia="Calibri"/>
          <w:noProof/>
          <w:lang w:val="es-DO"/>
        </w:rPr>
        <w:t>e</w:t>
      </w:r>
      <w:r w:rsidR="00130A30" w:rsidRPr="00742B0E">
        <w:rPr>
          <w:rFonts w:eastAsia="Calibri"/>
          <w:noProof/>
          <w:lang w:val="es-DO"/>
        </w:rPr>
        <w:t xml:space="preserve">s nacionales, tanto públicas como privadas, a incorporarse a esta.  Estas jornadas permitieron agotar una agenda donde se contactaron más quince </w:t>
      </w:r>
      <w:r w:rsidR="00701CD1" w:rsidRPr="00742B0E">
        <w:rPr>
          <w:rFonts w:eastAsia="Calibri"/>
          <w:noProof/>
          <w:lang w:val="es-DO"/>
        </w:rPr>
        <w:t>instituciones, mostrando los beneficios de la membresia, tanto de forma individual como a nivel de la comunidad museistica nacional</w:t>
      </w:r>
      <w:r w:rsidR="00DF5FCF" w:rsidRPr="00742B0E">
        <w:rPr>
          <w:rFonts w:eastAsia="Calibri"/>
          <w:noProof/>
          <w:lang w:val="es-DO"/>
        </w:rPr>
        <w:t>.</w:t>
      </w:r>
    </w:p>
    <w:p w14:paraId="5E134B33" w14:textId="77777777" w:rsidR="00D62B6F" w:rsidRPr="00742B0E" w:rsidRDefault="00D62B6F" w:rsidP="00427D27">
      <w:pPr>
        <w:spacing w:line="360" w:lineRule="auto"/>
        <w:jc w:val="center"/>
        <w:rPr>
          <w:rFonts w:eastAsia="Calibri"/>
          <w:b/>
          <w:bCs/>
          <w:szCs w:val="36"/>
          <w:lang w:val="es-DO"/>
        </w:rPr>
      </w:pPr>
      <w:r w:rsidRPr="00742B0E">
        <w:rPr>
          <w:rFonts w:eastAsia="Calibri"/>
          <w:b/>
          <w:bCs/>
          <w:szCs w:val="36"/>
          <w:lang w:val="es-DO"/>
        </w:rPr>
        <w:t>Promoción nuevos museos e innovación museográfica</w:t>
      </w:r>
    </w:p>
    <w:p w14:paraId="2538D20C" w14:textId="77777777" w:rsidR="00D62B6F" w:rsidRPr="00742B0E" w:rsidRDefault="00D62B6F" w:rsidP="00427D27">
      <w:pPr>
        <w:spacing w:line="360" w:lineRule="auto"/>
        <w:jc w:val="both"/>
        <w:rPr>
          <w:rFonts w:eastAsia="Calibri"/>
          <w:noProof/>
          <w:lang w:val="es-DO"/>
        </w:rPr>
      </w:pPr>
      <w:r w:rsidRPr="00742B0E">
        <w:rPr>
          <w:rFonts w:eastAsia="Calibri"/>
          <w:noProof/>
          <w:lang w:val="es-DO"/>
        </w:rPr>
        <w:t>En cumplimiento con las disposiciones establecidas en la ley 41-00 y el decreto de desconcentración 521-22; la DGM promueve la creación de nuevos museos, atendiendo a la diversidad y riqueza cultural de la población, y garantizando una distribución en toda la geografía nacional.</w:t>
      </w:r>
    </w:p>
    <w:p w14:paraId="0FDEED21" w14:textId="77777777" w:rsidR="00D62B6F" w:rsidRPr="00742B0E" w:rsidRDefault="00D62B6F" w:rsidP="00427D27">
      <w:pPr>
        <w:spacing w:line="360" w:lineRule="auto"/>
        <w:jc w:val="both"/>
        <w:rPr>
          <w:rFonts w:eastAsia="Calibri"/>
          <w:szCs w:val="36"/>
          <w:lang w:val="es-DO"/>
        </w:rPr>
      </w:pPr>
      <w:r w:rsidRPr="00742B0E">
        <w:rPr>
          <w:rFonts w:eastAsia="Calibri"/>
          <w:szCs w:val="36"/>
          <w:lang w:val="es-DO"/>
        </w:rPr>
        <w:t>En ese aspecto, la DGM concentra sus iniciativas en dos ámbitos principales: diseño e implementación de nuevos museos y asesoría técnica especializada a las instituciones y organizaciones interesadas en crear o mejorar museos públicos o privados en el territorio nacional.</w:t>
      </w:r>
    </w:p>
    <w:p w14:paraId="6389DC4D" w14:textId="64983EC1" w:rsidR="007C6699" w:rsidRPr="00742B0E" w:rsidRDefault="00D62B6F" w:rsidP="00427D27">
      <w:pPr>
        <w:tabs>
          <w:tab w:val="left" w:pos="6120"/>
        </w:tabs>
        <w:spacing w:line="360" w:lineRule="auto"/>
        <w:jc w:val="both"/>
        <w:rPr>
          <w:rFonts w:eastAsia="Calibri"/>
          <w:szCs w:val="36"/>
          <w:lang w:val="es-DO"/>
        </w:rPr>
      </w:pPr>
      <w:r w:rsidRPr="00742B0E">
        <w:rPr>
          <w:rFonts w:eastAsia="Calibri"/>
          <w:szCs w:val="36"/>
          <w:lang w:val="es-DO"/>
        </w:rPr>
        <w:t>Durante el año 202</w:t>
      </w:r>
      <w:r w:rsidR="00D127E7">
        <w:rPr>
          <w:rFonts w:eastAsia="Calibri"/>
          <w:szCs w:val="36"/>
          <w:lang w:val="es-DO"/>
        </w:rPr>
        <w:t>5</w:t>
      </w:r>
      <w:r w:rsidRPr="00742B0E">
        <w:rPr>
          <w:rFonts w:eastAsia="Calibri"/>
          <w:szCs w:val="36"/>
          <w:lang w:val="es-DO"/>
        </w:rPr>
        <w:t xml:space="preserve"> se conformaron las comisiones de trabajo interinstitucionales para</w:t>
      </w:r>
      <w:r w:rsidR="00CD08EE" w:rsidRPr="00742B0E">
        <w:rPr>
          <w:rFonts w:eastAsia="Calibri"/>
          <w:szCs w:val="36"/>
          <w:lang w:val="es-DO"/>
        </w:rPr>
        <w:t xml:space="preserve"> el diseño y</w:t>
      </w:r>
      <w:r w:rsidR="002C2E76" w:rsidRPr="00742B0E">
        <w:rPr>
          <w:rFonts w:eastAsia="Calibri"/>
          <w:szCs w:val="36"/>
          <w:lang w:val="es-DO"/>
        </w:rPr>
        <w:t>/o</w:t>
      </w:r>
      <w:r w:rsidR="00CD08EE" w:rsidRPr="00742B0E">
        <w:rPr>
          <w:rFonts w:eastAsia="Calibri"/>
          <w:szCs w:val="36"/>
          <w:lang w:val="es-DO"/>
        </w:rPr>
        <w:t xml:space="preserve"> ejecución </w:t>
      </w:r>
      <w:r w:rsidRPr="00742B0E">
        <w:rPr>
          <w:rFonts w:eastAsia="Calibri"/>
          <w:szCs w:val="36"/>
          <w:lang w:val="es-DO"/>
        </w:rPr>
        <w:t xml:space="preserve">de </w:t>
      </w:r>
      <w:r w:rsidR="00E966D7" w:rsidRPr="00742B0E">
        <w:rPr>
          <w:rFonts w:eastAsia="Calibri"/>
          <w:szCs w:val="36"/>
          <w:lang w:val="es-DO"/>
        </w:rPr>
        <w:t>2</w:t>
      </w:r>
      <w:r w:rsidR="00DD5361" w:rsidRPr="00742B0E">
        <w:rPr>
          <w:rFonts w:eastAsia="Calibri"/>
          <w:szCs w:val="36"/>
          <w:lang w:val="es-DO"/>
        </w:rPr>
        <w:t>7</w:t>
      </w:r>
      <w:r w:rsidR="00E966D7" w:rsidRPr="00742B0E">
        <w:rPr>
          <w:rFonts w:eastAsia="Calibri"/>
          <w:szCs w:val="36"/>
          <w:lang w:val="es-DO"/>
        </w:rPr>
        <w:t xml:space="preserve"> </w:t>
      </w:r>
      <w:r w:rsidRPr="00742B0E">
        <w:rPr>
          <w:rFonts w:eastAsia="Calibri"/>
          <w:szCs w:val="36"/>
          <w:lang w:val="es-DO"/>
        </w:rPr>
        <w:t>proyectos</w:t>
      </w:r>
      <w:r w:rsidR="00E966D7" w:rsidRPr="00742B0E">
        <w:rPr>
          <w:rFonts w:eastAsia="Calibri"/>
          <w:szCs w:val="36"/>
          <w:lang w:val="es-DO"/>
        </w:rPr>
        <w:t>, de los cuales 15 corresponden a iniciativas</w:t>
      </w:r>
      <w:r w:rsidR="00595FD6" w:rsidRPr="00742B0E">
        <w:rPr>
          <w:rFonts w:eastAsia="Calibri"/>
          <w:szCs w:val="36"/>
          <w:lang w:val="es-DO"/>
        </w:rPr>
        <w:t xml:space="preserve"> nuevos museos</w:t>
      </w:r>
      <w:r w:rsidR="00F64047" w:rsidRPr="00742B0E">
        <w:rPr>
          <w:rFonts w:eastAsia="Calibri"/>
          <w:szCs w:val="36"/>
          <w:lang w:val="es-DO"/>
        </w:rPr>
        <w:t xml:space="preserve"> y </w:t>
      </w:r>
      <w:r w:rsidR="00E966D7" w:rsidRPr="00742B0E">
        <w:rPr>
          <w:rFonts w:eastAsia="Calibri"/>
          <w:szCs w:val="36"/>
          <w:lang w:val="es-DO"/>
        </w:rPr>
        <w:t xml:space="preserve">12 </w:t>
      </w:r>
      <w:r w:rsidR="008A3CBE" w:rsidRPr="00742B0E">
        <w:rPr>
          <w:rFonts w:eastAsia="Calibri"/>
          <w:szCs w:val="36"/>
          <w:lang w:val="es-DO"/>
        </w:rPr>
        <w:t xml:space="preserve">son intervenciones en museos existentes, mediante los cuales se </w:t>
      </w:r>
      <w:r w:rsidR="007C6699" w:rsidRPr="00742B0E">
        <w:rPr>
          <w:rFonts w:eastAsia="Calibri"/>
          <w:szCs w:val="36"/>
          <w:lang w:val="es-DO"/>
        </w:rPr>
        <w:t>readecuarán</w:t>
      </w:r>
      <w:r w:rsidR="008A3CBE" w:rsidRPr="00742B0E">
        <w:rPr>
          <w:rFonts w:eastAsia="Calibri"/>
          <w:szCs w:val="36"/>
          <w:lang w:val="es-DO"/>
        </w:rPr>
        <w:t xml:space="preserve"> los espacios</w:t>
      </w:r>
      <w:r w:rsidR="00057DDB" w:rsidRPr="00742B0E">
        <w:rPr>
          <w:rFonts w:eastAsia="Calibri"/>
          <w:szCs w:val="36"/>
          <w:lang w:val="es-DO"/>
        </w:rPr>
        <w:t xml:space="preserve"> para crear cafeterías, mediatecas, auditorios, y se </w:t>
      </w:r>
      <w:r w:rsidR="00F64047" w:rsidRPr="00742B0E">
        <w:rPr>
          <w:rFonts w:eastAsia="Calibri"/>
          <w:szCs w:val="36"/>
          <w:lang w:val="es-DO"/>
        </w:rPr>
        <w:t>innova</w:t>
      </w:r>
      <w:r w:rsidR="00057DDB" w:rsidRPr="00742B0E">
        <w:rPr>
          <w:rFonts w:eastAsia="Calibri"/>
          <w:szCs w:val="36"/>
          <w:lang w:val="es-DO"/>
        </w:rPr>
        <w:t xml:space="preserve">rá la </w:t>
      </w:r>
      <w:r w:rsidR="00F64047" w:rsidRPr="00742B0E">
        <w:rPr>
          <w:rFonts w:eastAsia="Calibri"/>
          <w:szCs w:val="36"/>
          <w:lang w:val="es-DO"/>
        </w:rPr>
        <w:t>museografí</w:t>
      </w:r>
      <w:r w:rsidR="00057DDB" w:rsidRPr="00742B0E">
        <w:rPr>
          <w:rFonts w:eastAsia="Calibri"/>
          <w:szCs w:val="36"/>
          <w:lang w:val="es-DO"/>
        </w:rPr>
        <w:t>a</w:t>
      </w:r>
      <w:r w:rsidR="007C6699" w:rsidRPr="00742B0E">
        <w:rPr>
          <w:rFonts w:eastAsia="Calibri"/>
          <w:szCs w:val="36"/>
          <w:lang w:val="es-DO"/>
        </w:rPr>
        <w:t>.</w:t>
      </w:r>
    </w:p>
    <w:p w14:paraId="763BCB80" w14:textId="04CA22D3" w:rsidR="00D62B6F" w:rsidRPr="00742B0E" w:rsidRDefault="007C6699" w:rsidP="00427D27">
      <w:pPr>
        <w:tabs>
          <w:tab w:val="left" w:pos="6120"/>
        </w:tabs>
        <w:spacing w:line="360" w:lineRule="auto"/>
        <w:jc w:val="both"/>
        <w:rPr>
          <w:rFonts w:eastAsia="Calibri"/>
          <w:szCs w:val="36"/>
          <w:lang w:val="es-DO"/>
        </w:rPr>
      </w:pPr>
      <w:r w:rsidRPr="00742B0E">
        <w:rPr>
          <w:rFonts w:eastAsia="Calibri"/>
          <w:szCs w:val="36"/>
          <w:lang w:val="es-DO"/>
        </w:rPr>
        <w:t>En la tabla siguiente se muestran los proyectos indicados, acorde al tipo de intervención prevista.</w:t>
      </w:r>
    </w:p>
    <w:tbl>
      <w:tblPr>
        <w:tblW w:w="7820" w:type="dxa"/>
        <w:tblCellMar>
          <w:left w:w="70" w:type="dxa"/>
          <w:right w:w="70" w:type="dxa"/>
        </w:tblCellMar>
        <w:tblLook w:val="04A0" w:firstRow="1" w:lastRow="0" w:firstColumn="1" w:lastColumn="0" w:noHBand="0" w:noVBand="1"/>
      </w:tblPr>
      <w:tblGrid>
        <w:gridCol w:w="540"/>
        <w:gridCol w:w="2960"/>
        <w:gridCol w:w="1890"/>
        <w:gridCol w:w="2430"/>
      </w:tblGrid>
      <w:tr w:rsidR="00A52DDB" w:rsidRPr="00A52DDB" w14:paraId="390D7CFC" w14:textId="77777777" w:rsidTr="00A52DDB">
        <w:trPr>
          <w:trHeight w:val="300"/>
          <w:tblHeader/>
        </w:trPr>
        <w:tc>
          <w:tcPr>
            <w:tcW w:w="540" w:type="dxa"/>
            <w:tcBorders>
              <w:top w:val="single" w:sz="8" w:space="0" w:color="595959"/>
              <w:left w:val="single" w:sz="8" w:space="0" w:color="595959"/>
              <w:bottom w:val="single" w:sz="8" w:space="0" w:color="595959"/>
              <w:right w:val="single" w:sz="8" w:space="0" w:color="595959"/>
            </w:tcBorders>
            <w:shd w:val="clear" w:color="000000" w:fill="002060"/>
            <w:noWrap/>
            <w:vAlign w:val="center"/>
            <w:hideMark/>
          </w:tcPr>
          <w:p w14:paraId="61F21897"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lastRenderedPageBreak/>
              <w:t>Ítem</w:t>
            </w:r>
          </w:p>
        </w:tc>
        <w:tc>
          <w:tcPr>
            <w:tcW w:w="2960" w:type="dxa"/>
            <w:tcBorders>
              <w:top w:val="single" w:sz="8" w:space="0" w:color="595959"/>
              <w:left w:val="nil"/>
              <w:bottom w:val="single" w:sz="8" w:space="0" w:color="595959"/>
              <w:right w:val="single" w:sz="8" w:space="0" w:color="595959"/>
            </w:tcBorders>
            <w:shd w:val="clear" w:color="000000" w:fill="002060"/>
            <w:noWrap/>
            <w:vAlign w:val="center"/>
            <w:hideMark/>
          </w:tcPr>
          <w:p w14:paraId="1FA645E1"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t>Nombre del Proyecto</w:t>
            </w:r>
          </w:p>
        </w:tc>
        <w:tc>
          <w:tcPr>
            <w:tcW w:w="1890" w:type="dxa"/>
            <w:tcBorders>
              <w:top w:val="single" w:sz="8" w:space="0" w:color="595959"/>
              <w:left w:val="nil"/>
              <w:bottom w:val="single" w:sz="8" w:space="0" w:color="595959"/>
              <w:right w:val="single" w:sz="8" w:space="0" w:color="595959"/>
            </w:tcBorders>
            <w:shd w:val="clear" w:color="000000" w:fill="002060"/>
            <w:noWrap/>
            <w:vAlign w:val="center"/>
            <w:hideMark/>
          </w:tcPr>
          <w:p w14:paraId="48D3873A"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t>Provincia</w:t>
            </w:r>
          </w:p>
        </w:tc>
        <w:tc>
          <w:tcPr>
            <w:tcW w:w="2430" w:type="dxa"/>
            <w:tcBorders>
              <w:top w:val="single" w:sz="8" w:space="0" w:color="595959"/>
              <w:left w:val="nil"/>
              <w:bottom w:val="single" w:sz="8" w:space="0" w:color="595959"/>
              <w:right w:val="single" w:sz="8" w:space="0" w:color="595959"/>
            </w:tcBorders>
            <w:shd w:val="clear" w:color="000000" w:fill="002060"/>
            <w:vAlign w:val="center"/>
            <w:hideMark/>
          </w:tcPr>
          <w:p w14:paraId="75F7A8A3"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t>Tipo de intervención</w:t>
            </w:r>
          </w:p>
        </w:tc>
      </w:tr>
      <w:tr w:rsidR="00A52DDB" w:rsidRPr="00A52DDB" w14:paraId="1B1EA29E"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hideMark/>
          </w:tcPr>
          <w:p w14:paraId="5580AE7B"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w:t>
            </w:r>
          </w:p>
        </w:tc>
        <w:tc>
          <w:tcPr>
            <w:tcW w:w="2960" w:type="dxa"/>
            <w:tcBorders>
              <w:top w:val="nil"/>
              <w:left w:val="nil"/>
              <w:bottom w:val="single" w:sz="8" w:space="0" w:color="595959"/>
              <w:right w:val="single" w:sz="8" w:space="0" w:color="595959"/>
            </w:tcBorders>
            <w:noWrap/>
            <w:vAlign w:val="center"/>
            <w:hideMark/>
          </w:tcPr>
          <w:p w14:paraId="44B283D8"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Freddy Cabral</w:t>
            </w:r>
          </w:p>
        </w:tc>
        <w:tc>
          <w:tcPr>
            <w:tcW w:w="1890" w:type="dxa"/>
            <w:tcBorders>
              <w:top w:val="nil"/>
              <w:left w:val="nil"/>
              <w:bottom w:val="single" w:sz="8" w:space="0" w:color="595959"/>
              <w:right w:val="single" w:sz="8" w:space="0" w:color="595959"/>
            </w:tcBorders>
            <w:noWrap/>
            <w:vAlign w:val="center"/>
            <w:hideMark/>
          </w:tcPr>
          <w:p w14:paraId="0F78C32C"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26E43053" w14:textId="2D41F635" w:rsidR="00A52DDB" w:rsidRPr="00A52DDB" w:rsidRDefault="00321494"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A52DDB" w:rsidRPr="00A52DDB" w14:paraId="37205E7E"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hideMark/>
          </w:tcPr>
          <w:p w14:paraId="01513F4D"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w:t>
            </w:r>
          </w:p>
        </w:tc>
        <w:tc>
          <w:tcPr>
            <w:tcW w:w="2960" w:type="dxa"/>
            <w:tcBorders>
              <w:top w:val="nil"/>
              <w:left w:val="nil"/>
              <w:bottom w:val="single" w:sz="8" w:space="0" w:color="595959"/>
              <w:right w:val="single" w:sz="8" w:space="0" w:color="595959"/>
            </w:tcBorders>
            <w:noWrap/>
            <w:vAlign w:val="center"/>
            <w:hideMark/>
          </w:tcPr>
          <w:p w14:paraId="24F60D6B"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la Familia Dominicana del S.XIX</w:t>
            </w:r>
          </w:p>
        </w:tc>
        <w:tc>
          <w:tcPr>
            <w:tcW w:w="1890" w:type="dxa"/>
            <w:tcBorders>
              <w:top w:val="nil"/>
              <w:left w:val="nil"/>
              <w:bottom w:val="single" w:sz="8" w:space="0" w:color="595959"/>
              <w:right w:val="single" w:sz="8" w:space="0" w:color="595959"/>
            </w:tcBorders>
            <w:noWrap/>
            <w:vAlign w:val="center"/>
            <w:hideMark/>
          </w:tcPr>
          <w:p w14:paraId="0E6D8E4D"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1BF8E97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A52DDB" w:rsidRPr="00EE47D5" w14:paraId="6F9F73C7" w14:textId="77777777" w:rsidTr="00A52DDB">
        <w:trPr>
          <w:trHeight w:val="540"/>
        </w:trPr>
        <w:tc>
          <w:tcPr>
            <w:tcW w:w="540" w:type="dxa"/>
            <w:tcBorders>
              <w:top w:val="nil"/>
              <w:left w:val="single" w:sz="8" w:space="0" w:color="595959"/>
              <w:bottom w:val="single" w:sz="8" w:space="0" w:color="595959"/>
              <w:right w:val="single" w:sz="8" w:space="0" w:color="595959"/>
            </w:tcBorders>
            <w:noWrap/>
            <w:vAlign w:val="center"/>
            <w:hideMark/>
          </w:tcPr>
          <w:p w14:paraId="6FD5E013"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3</w:t>
            </w:r>
          </w:p>
        </w:tc>
        <w:tc>
          <w:tcPr>
            <w:tcW w:w="2960" w:type="dxa"/>
            <w:tcBorders>
              <w:top w:val="nil"/>
              <w:left w:val="nil"/>
              <w:bottom w:val="single" w:sz="8" w:space="0" w:color="595959"/>
              <w:right w:val="single" w:sz="8" w:space="0" w:color="595959"/>
            </w:tcBorders>
            <w:noWrap/>
            <w:vAlign w:val="center"/>
            <w:hideMark/>
          </w:tcPr>
          <w:p w14:paraId="7B022864"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Nacional de Historia y Geografía</w:t>
            </w:r>
          </w:p>
        </w:tc>
        <w:tc>
          <w:tcPr>
            <w:tcW w:w="1890" w:type="dxa"/>
            <w:tcBorders>
              <w:top w:val="nil"/>
              <w:left w:val="nil"/>
              <w:bottom w:val="single" w:sz="8" w:space="0" w:color="595959"/>
              <w:right w:val="single" w:sz="8" w:space="0" w:color="595959"/>
            </w:tcBorders>
            <w:noWrap/>
            <w:vAlign w:val="center"/>
            <w:hideMark/>
          </w:tcPr>
          <w:p w14:paraId="1CD48F53"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218B1488"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Readecuación de espacios e innovación museográfica</w:t>
            </w:r>
          </w:p>
        </w:tc>
      </w:tr>
      <w:tr w:rsidR="00A52DDB" w:rsidRPr="00EE47D5" w14:paraId="0F7759ED" w14:textId="77777777" w:rsidTr="00A52DDB">
        <w:trPr>
          <w:trHeight w:val="540"/>
        </w:trPr>
        <w:tc>
          <w:tcPr>
            <w:tcW w:w="540" w:type="dxa"/>
            <w:tcBorders>
              <w:top w:val="nil"/>
              <w:left w:val="single" w:sz="8" w:space="0" w:color="595959"/>
              <w:bottom w:val="single" w:sz="8" w:space="0" w:color="595959"/>
              <w:right w:val="single" w:sz="8" w:space="0" w:color="595959"/>
            </w:tcBorders>
            <w:noWrap/>
            <w:vAlign w:val="center"/>
            <w:hideMark/>
          </w:tcPr>
          <w:p w14:paraId="53299958"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4</w:t>
            </w:r>
          </w:p>
        </w:tc>
        <w:tc>
          <w:tcPr>
            <w:tcW w:w="2960" w:type="dxa"/>
            <w:tcBorders>
              <w:top w:val="nil"/>
              <w:left w:val="nil"/>
              <w:bottom w:val="single" w:sz="8" w:space="0" w:color="595959"/>
              <w:right w:val="single" w:sz="8" w:space="0" w:color="595959"/>
            </w:tcBorders>
            <w:noWrap/>
            <w:vAlign w:val="center"/>
            <w:hideMark/>
          </w:tcPr>
          <w:p w14:paraId="7DECAF24"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del Hombre Dominicano</w:t>
            </w:r>
          </w:p>
        </w:tc>
        <w:tc>
          <w:tcPr>
            <w:tcW w:w="1890" w:type="dxa"/>
            <w:tcBorders>
              <w:top w:val="nil"/>
              <w:left w:val="nil"/>
              <w:bottom w:val="single" w:sz="8" w:space="0" w:color="595959"/>
              <w:right w:val="single" w:sz="8" w:space="0" w:color="595959"/>
            </w:tcBorders>
            <w:noWrap/>
            <w:vAlign w:val="center"/>
            <w:hideMark/>
          </w:tcPr>
          <w:p w14:paraId="7C07E0AD"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55433C9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Readecuación de espacios e innovación museográfica</w:t>
            </w:r>
          </w:p>
        </w:tc>
      </w:tr>
      <w:tr w:rsidR="00A52DDB" w:rsidRPr="00A52DDB" w14:paraId="0298A956"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hideMark/>
          </w:tcPr>
          <w:p w14:paraId="70C18501"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5</w:t>
            </w:r>
          </w:p>
        </w:tc>
        <w:tc>
          <w:tcPr>
            <w:tcW w:w="2960" w:type="dxa"/>
            <w:tcBorders>
              <w:top w:val="nil"/>
              <w:left w:val="nil"/>
              <w:bottom w:val="single" w:sz="8" w:space="0" w:color="595959"/>
              <w:right w:val="single" w:sz="8" w:space="0" w:color="595959"/>
            </w:tcBorders>
            <w:noWrap/>
            <w:vAlign w:val="center"/>
            <w:hideMark/>
          </w:tcPr>
          <w:p w14:paraId="4B186223"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la Ciencia y la Tecnología</w:t>
            </w:r>
          </w:p>
        </w:tc>
        <w:tc>
          <w:tcPr>
            <w:tcW w:w="1890" w:type="dxa"/>
            <w:tcBorders>
              <w:top w:val="nil"/>
              <w:left w:val="nil"/>
              <w:bottom w:val="single" w:sz="8" w:space="0" w:color="595959"/>
              <w:right w:val="single" w:sz="8" w:space="0" w:color="595959"/>
            </w:tcBorders>
            <w:noWrap/>
            <w:vAlign w:val="center"/>
            <w:hideMark/>
          </w:tcPr>
          <w:p w14:paraId="0179AC6A"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33D80DDD"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A52DDB" w:rsidRPr="00A52DDB" w14:paraId="01BF2C11"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hideMark/>
          </w:tcPr>
          <w:p w14:paraId="35A50340"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6</w:t>
            </w:r>
          </w:p>
        </w:tc>
        <w:tc>
          <w:tcPr>
            <w:tcW w:w="2960" w:type="dxa"/>
            <w:tcBorders>
              <w:top w:val="nil"/>
              <w:left w:val="nil"/>
              <w:bottom w:val="single" w:sz="8" w:space="0" w:color="595959"/>
              <w:right w:val="single" w:sz="8" w:space="0" w:color="595959"/>
            </w:tcBorders>
            <w:noWrap/>
            <w:vAlign w:val="center"/>
            <w:hideMark/>
          </w:tcPr>
          <w:p w14:paraId="167A7686"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Postal Dominicano</w:t>
            </w:r>
          </w:p>
        </w:tc>
        <w:tc>
          <w:tcPr>
            <w:tcW w:w="1890" w:type="dxa"/>
            <w:tcBorders>
              <w:top w:val="nil"/>
              <w:left w:val="nil"/>
              <w:bottom w:val="single" w:sz="8" w:space="0" w:color="595959"/>
              <w:right w:val="single" w:sz="8" w:space="0" w:color="595959"/>
            </w:tcBorders>
            <w:noWrap/>
            <w:vAlign w:val="center"/>
            <w:hideMark/>
          </w:tcPr>
          <w:p w14:paraId="7321B15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6E9C6AEE"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A52DDB" w:rsidRPr="00A52DDB" w14:paraId="6790E2F0"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hideMark/>
          </w:tcPr>
          <w:p w14:paraId="1E0A488B"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7</w:t>
            </w:r>
          </w:p>
        </w:tc>
        <w:tc>
          <w:tcPr>
            <w:tcW w:w="2960" w:type="dxa"/>
            <w:tcBorders>
              <w:top w:val="nil"/>
              <w:left w:val="nil"/>
              <w:bottom w:val="single" w:sz="8" w:space="0" w:color="595959"/>
              <w:right w:val="single" w:sz="8" w:space="0" w:color="595959"/>
            </w:tcBorders>
            <w:noWrap/>
            <w:vAlign w:val="center"/>
            <w:hideMark/>
          </w:tcPr>
          <w:p w14:paraId="0B8DB11A"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Mediateca Museo de Arte Moderno</w:t>
            </w:r>
          </w:p>
        </w:tc>
        <w:tc>
          <w:tcPr>
            <w:tcW w:w="1890" w:type="dxa"/>
            <w:tcBorders>
              <w:top w:val="nil"/>
              <w:left w:val="nil"/>
              <w:bottom w:val="single" w:sz="8" w:space="0" w:color="595959"/>
              <w:right w:val="single" w:sz="8" w:space="0" w:color="595959"/>
            </w:tcBorders>
            <w:noWrap/>
            <w:vAlign w:val="center"/>
            <w:hideMark/>
          </w:tcPr>
          <w:p w14:paraId="55CFEA3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24583909"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Readecuación de Espacios</w:t>
            </w:r>
          </w:p>
        </w:tc>
      </w:tr>
      <w:tr w:rsidR="00A52DDB" w:rsidRPr="00A52DDB" w14:paraId="046F5E63"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hideMark/>
          </w:tcPr>
          <w:p w14:paraId="3C5EF4C5"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8</w:t>
            </w:r>
          </w:p>
        </w:tc>
        <w:tc>
          <w:tcPr>
            <w:tcW w:w="2960" w:type="dxa"/>
            <w:tcBorders>
              <w:top w:val="nil"/>
              <w:left w:val="nil"/>
              <w:bottom w:val="single" w:sz="8" w:space="0" w:color="595959"/>
              <w:right w:val="single" w:sz="8" w:space="0" w:color="595959"/>
            </w:tcBorders>
            <w:noWrap/>
            <w:vAlign w:val="center"/>
            <w:hideMark/>
          </w:tcPr>
          <w:p w14:paraId="21E0EC68"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Juan Bosch</w:t>
            </w:r>
          </w:p>
        </w:tc>
        <w:tc>
          <w:tcPr>
            <w:tcW w:w="1890" w:type="dxa"/>
            <w:tcBorders>
              <w:top w:val="nil"/>
              <w:left w:val="nil"/>
              <w:bottom w:val="single" w:sz="8" w:space="0" w:color="595959"/>
              <w:right w:val="single" w:sz="8" w:space="0" w:color="595959"/>
            </w:tcBorders>
            <w:noWrap/>
            <w:vAlign w:val="center"/>
            <w:hideMark/>
          </w:tcPr>
          <w:p w14:paraId="4CDA0628"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632B0518"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A52DDB" w:rsidRPr="00A52DDB" w14:paraId="272E14E6"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hideMark/>
          </w:tcPr>
          <w:p w14:paraId="3F84A853"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9</w:t>
            </w:r>
          </w:p>
        </w:tc>
        <w:tc>
          <w:tcPr>
            <w:tcW w:w="2960" w:type="dxa"/>
            <w:tcBorders>
              <w:top w:val="nil"/>
              <w:left w:val="nil"/>
              <w:bottom w:val="single" w:sz="8" w:space="0" w:color="595959"/>
              <w:right w:val="single" w:sz="8" w:space="0" w:color="595959"/>
            </w:tcBorders>
            <w:noWrap/>
            <w:vAlign w:val="center"/>
            <w:hideMark/>
          </w:tcPr>
          <w:p w14:paraId="5F3A4002"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Joaquín Balaguer</w:t>
            </w:r>
          </w:p>
        </w:tc>
        <w:tc>
          <w:tcPr>
            <w:tcW w:w="1890" w:type="dxa"/>
            <w:tcBorders>
              <w:top w:val="nil"/>
              <w:left w:val="nil"/>
              <w:bottom w:val="single" w:sz="8" w:space="0" w:color="595959"/>
              <w:right w:val="single" w:sz="8" w:space="0" w:color="595959"/>
            </w:tcBorders>
            <w:noWrap/>
            <w:vAlign w:val="center"/>
            <w:hideMark/>
          </w:tcPr>
          <w:p w14:paraId="58B66DFB"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hideMark/>
          </w:tcPr>
          <w:p w14:paraId="69A62D8B"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7997B160" w14:textId="77777777" w:rsidTr="00A52DDB">
        <w:trPr>
          <w:trHeight w:val="300"/>
        </w:trPr>
        <w:tc>
          <w:tcPr>
            <w:tcW w:w="540" w:type="dxa"/>
            <w:tcBorders>
              <w:top w:val="nil"/>
              <w:left w:val="single" w:sz="8" w:space="0" w:color="595959"/>
              <w:bottom w:val="single" w:sz="8" w:space="0" w:color="595959"/>
              <w:right w:val="single" w:sz="8" w:space="0" w:color="595959"/>
            </w:tcBorders>
            <w:noWrap/>
            <w:vAlign w:val="center"/>
          </w:tcPr>
          <w:p w14:paraId="40AF86DE" w14:textId="45BD6D99"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10</w:t>
            </w:r>
          </w:p>
        </w:tc>
        <w:tc>
          <w:tcPr>
            <w:tcW w:w="2960" w:type="dxa"/>
            <w:tcBorders>
              <w:top w:val="nil"/>
              <w:left w:val="nil"/>
              <w:bottom w:val="single" w:sz="8" w:space="0" w:color="595959"/>
              <w:right w:val="single" w:sz="8" w:space="0" w:color="595959"/>
            </w:tcBorders>
            <w:noWrap/>
            <w:vAlign w:val="center"/>
          </w:tcPr>
          <w:p w14:paraId="28D5BA82" w14:textId="275C5579" w:rsidR="00DD5361" w:rsidRPr="00A52DDB" w:rsidRDefault="00DD5361" w:rsidP="00DD5361">
            <w:pPr>
              <w:spacing w:after="0" w:line="240" w:lineRule="auto"/>
              <w:jc w:val="both"/>
              <w:rPr>
                <w:rFonts w:eastAsia="Times New Roman"/>
                <w:spacing w:val="0"/>
                <w:sz w:val="20"/>
                <w:szCs w:val="20"/>
                <w:lang w:val="es-DO" w:eastAsia="es-DO"/>
              </w:rPr>
            </w:pPr>
            <w:r>
              <w:rPr>
                <w:rFonts w:eastAsia="Times New Roman"/>
                <w:spacing w:val="0"/>
                <w:sz w:val="20"/>
                <w:szCs w:val="20"/>
                <w:lang w:val="es-DO" w:eastAsia="es-DO"/>
              </w:rPr>
              <w:t>Museo Faro a Colón</w:t>
            </w:r>
          </w:p>
        </w:tc>
        <w:tc>
          <w:tcPr>
            <w:tcW w:w="1890" w:type="dxa"/>
            <w:tcBorders>
              <w:top w:val="nil"/>
              <w:left w:val="nil"/>
              <w:bottom w:val="single" w:sz="8" w:space="0" w:color="595959"/>
              <w:right w:val="single" w:sz="8" w:space="0" w:color="595959"/>
            </w:tcBorders>
            <w:noWrap/>
            <w:vAlign w:val="center"/>
          </w:tcPr>
          <w:p w14:paraId="2A60C81F" w14:textId="2C5E0250"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vAlign w:val="center"/>
          </w:tcPr>
          <w:p w14:paraId="5DEA1E42" w14:textId="2D8B873D"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731D35AF"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2DE48882" w14:textId="0F22551C"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11</w:t>
            </w:r>
          </w:p>
        </w:tc>
        <w:tc>
          <w:tcPr>
            <w:tcW w:w="2960" w:type="dxa"/>
            <w:tcBorders>
              <w:top w:val="nil"/>
              <w:left w:val="nil"/>
              <w:bottom w:val="single" w:sz="8" w:space="0" w:color="595959"/>
              <w:right w:val="single" w:sz="8" w:space="0" w:color="595959"/>
            </w:tcBorders>
            <w:noWrap/>
            <w:vAlign w:val="center"/>
            <w:hideMark/>
          </w:tcPr>
          <w:p w14:paraId="3355AB9C"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los Congos de Villa Mella</w:t>
            </w:r>
          </w:p>
        </w:tc>
        <w:tc>
          <w:tcPr>
            <w:tcW w:w="1890" w:type="dxa"/>
            <w:tcBorders>
              <w:top w:val="nil"/>
              <w:left w:val="nil"/>
              <w:bottom w:val="single" w:sz="8" w:space="0" w:color="595959"/>
              <w:right w:val="single" w:sz="8" w:space="0" w:color="595959"/>
            </w:tcBorders>
            <w:noWrap/>
            <w:vAlign w:val="center"/>
            <w:hideMark/>
          </w:tcPr>
          <w:p w14:paraId="78A544F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Santo Domingo Norte</w:t>
            </w:r>
          </w:p>
        </w:tc>
        <w:tc>
          <w:tcPr>
            <w:tcW w:w="2430" w:type="dxa"/>
            <w:tcBorders>
              <w:top w:val="nil"/>
              <w:left w:val="nil"/>
              <w:bottom w:val="single" w:sz="8" w:space="0" w:color="595959"/>
              <w:right w:val="single" w:sz="8" w:space="0" w:color="595959"/>
            </w:tcBorders>
            <w:vAlign w:val="center"/>
            <w:hideMark/>
          </w:tcPr>
          <w:p w14:paraId="77542BB2"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35C604CB"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42A17BAD" w14:textId="3327D46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12</w:t>
            </w:r>
          </w:p>
        </w:tc>
        <w:tc>
          <w:tcPr>
            <w:tcW w:w="2960" w:type="dxa"/>
            <w:tcBorders>
              <w:top w:val="nil"/>
              <w:left w:val="nil"/>
              <w:bottom w:val="single" w:sz="8" w:space="0" w:color="595959"/>
              <w:right w:val="single" w:sz="8" w:space="0" w:color="595959"/>
            </w:tcBorders>
            <w:noWrap/>
            <w:vAlign w:val="center"/>
            <w:hideMark/>
          </w:tcPr>
          <w:p w14:paraId="4812747D"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 xml:space="preserve">Museo </w:t>
            </w:r>
            <w:proofErr w:type="spellStart"/>
            <w:r w:rsidRPr="00A52DDB">
              <w:rPr>
                <w:rFonts w:eastAsia="Times New Roman"/>
                <w:spacing w:val="0"/>
                <w:sz w:val="20"/>
                <w:szCs w:val="20"/>
                <w:lang w:val="es-DO" w:eastAsia="es-DO"/>
              </w:rPr>
              <w:t>Mayobanex</w:t>
            </w:r>
            <w:proofErr w:type="spellEnd"/>
            <w:r w:rsidRPr="00A52DDB">
              <w:rPr>
                <w:rFonts w:eastAsia="Times New Roman"/>
                <w:spacing w:val="0"/>
                <w:sz w:val="20"/>
                <w:szCs w:val="20"/>
                <w:lang w:val="es-DO" w:eastAsia="es-DO"/>
              </w:rPr>
              <w:t xml:space="preserve"> Vargas</w:t>
            </w:r>
          </w:p>
        </w:tc>
        <w:tc>
          <w:tcPr>
            <w:tcW w:w="1890" w:type="dxa"/>
            <w:tcBorders>
              <w:top w:val="nil"/>
              <w:left w:val="nil"/>
              <w:bottom w:val="single" w:sz="8" w:space="0" w:color="595959"/>
              <w:right w:val="single" w:sz="8" w:space="0" w:color="595959"/>
            </w:tcBorders>
            <w:noWrap/>
            <w:vAlign w:val="center"/>
            <w:hideMark/>
          </w:tcPr>
          <w:p w14:paraId="070BB4AF"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Monseñor Nouel</w:t>
            </w:r>
          </w:p>
        </w:tc>
        <w:tc>
          <w:tcPr>
            <w:tcW w:w="2430" w:type="dxa"/>
            <w:tcBorders>
              <w:top w:val="nil"/>
              <w:left w:val="nil"/>
              <w:bottom w:val="single" w:sz="8" w:space="0" w:color="595959"/>
              <w:right w:val="single" w:sz="8" w:space="0" w:color="595959"/>
            </w:tcBorders>
            <w:vAlign w:val="center"/>
            <w:hideMark/>
          </w:tcPr>
          <w:p w14:paraId="671F45CF" w14:textId="77777777"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Innovación museográfica</w:t>
            </w:r>
          </w:p>
        </w:tc>
      </w:tr>
      <w:tr w:rsidR="00DD5361" w:rsidRPr="00A52DDB" w14:paraId="0954EB5A"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08B2BD7C" w14:textId="1A0D882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13</w:t>
            </w:r>
          </w:p>
        </w:tc>
        <w:tc>
          <w:tcPr>
            <w:tcW w:w="2960" w:type="dxa"/>
            <w:tcBorders>
              <w:top w:val="nil"/>
              <w:left w:val="nil"/>
              <w:bottom w:val="single" w:sz="8" w:space="0" w:color="595959"/>
              <w:right w:val="single" w:sz="8" w:space="0" w:color="595959"/>
            </w:tcBorders>
            <w:noWrap/>
            <w:vAlign w:val="center"/>
            <w:hideMark/>
          </w:tcPr>
          <w:p w14:paraId="4C1BFA70"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Piedra Blanca</w:t>
            </w:r>
          </w:p>
        </w:tc>
        <w:tc>
          <w:tcPr>
            <w:tcW w:w="1890" w:type="dxa"/>
            <w:tcBorders>
              <w:top w:val="nil"/>
              <w:left w:val="nil"/>
              <w:bottom w:val="single" w:sz="8" w:space="0" w:color="595959"/>
              <w:right w:val="single" w:sz="8" w:space="0" w:color="595959"/>
            </w:tcBorders>
            <w:noWrap/>
            <w:vAlign w:val="center"/>
            <w:hideMark/>
          </w:tcPr>
          <w:p w14:paraId="686383F6"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Monseñor Nouel</w:t>
            </w:r>
          </w:p>
        </w:tc>
        <w:tc>
          <w:tcPr>
            <w:tcW w:w="2430" w:type="dxa"/>
            <w:tcBorders>
              <w:top w:val="nil"/>
              <w:left w:val="nil"/>
              <w:bottom w:val="single" w:sz="8" w:space="0" w:color="595959"/>
              <w:right w:val="single" w:sz="8" w:space="0" w:color="595959"/>
            </w:tcBorders>
            <w:vAlign w:val="center"/>
            <w:hideMark/>
          </w:tcPr>
          <w:p w14:paraId="4CCA5613"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642B8BA3"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19D58402" w14:textId="142E2F18"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14</w:t>
            </w:r>
          </w:p>
        </w:tc>
        <w:tc>
          <w:tcPr>
            <w:tcW w:w="2960" w:type="dxa"/>
            <w:tcBorders>
              <w:top w:val="nil"/>
              <w:left w:val="nil"/>
              <w:bottom w:val="single" w:sz="8" w:space="0" w:color="595959"/>
              <w:right w:val="single" w:sz="8" w:space="0" w:color="595959"/>
            </w:tcBorders>
            <w:noWrap/>
            <w:vAlign w:val="center"/>
            <w:hideMark/>
          </w:tcPr>
          <w:p w14:paraId="2F360FED"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Santiago</w:t>
            </w:r>
          </w:p>
        </w:tc>
        <w:tc>
          <w:tcPr>
            <w:tcW w:w="1890" w:type="dxa"/>
            <w:tcBorders>
              <w:top w:val="nil"/>
              <w:left w:val="nil"/>
              <w:bottom w:val="single" w:sz="8" w:space="0" w:color="595959"/>
              <w:right w:val="single" w:sz="8" w:space="0" w:color="595959"/>
            </w:tcBorders>
            <w:noWrap/>
            <w:vAlign w:val="center"/>
            <w:hideMark/>
          </w:tcPr>
          <w:p w14:paraId="480DD0B6"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Santiago</w:t>
            </w:r>
          </w:p>
        </w:tc>
        <w:tc>
          <w:tcPr>
            <w:tcW w:w="2430" w:type="dxa"/>
            <w:tcBorders>
              <w:top w:val="nil"/>
              <w:left w:val="nil"/>
              <w:bottom w:val="single" w:sz="8" w:space="0" w:color="595959"/>
              <w:right w:val="single" w:sz="8" w:space="0" w:color="595959"/>
            </w:tcBorders>
            <w:vAlign w:val="center"/>
            <w:hideMark/>
          </w:tcPr>
          <w:p w14:paraId="550CB93F"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0D5D5A54"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7598DFAD" w14:textId="4AD17227"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15</w:t>
            </w:r>
          </w:p>
        </w:tc>
        <w:tc>
          <w:tcPr>
            <w:tcW w:w="2960" w:type="dxa"/>
            <w:tcBorders>
              <w:top w:val="nil"/>
              <w:left w:val="nil"/>
              <w:bottom w:val="single" w:sz="8" w:space="0" w:color="595959"/>
              <w:right w:val="single" w:sz="8" w:space="0" w:color="595959"/>
            </w:tcBorders>
            <w:noWrap/>
            <w:vAlign w:val="center"/>
            <w:hideMark/>
          </w:tcPr>
          <w:p w14:paraId="04C9EC88"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 xml:space="preserve">Museo Sacro </w:t>
            </w:r>
          </w:p>
        </w:tc>
        <w:tc>
          <w:tcPr>
            <w:tcW w:w="1890" w:type="dxa"/>
            <w:tcBorders>
              <w:top w:val="nil"/>
              <w:left w:val="nil"/>
              <w:bottom w:val="single" w:sz="8" w:space="0" w:color="595959"/>
              <w:right w:val="single" w:sz="8" w:space="0" w:color="595959"/>
            </w:tcBorders>
            <w:noWrap/>
            <w:vAlign w:val="center"/>
            <w:hideMark/>
          </w:tcPr>
          <w:p w14:paraId="5183DA79"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Santiago</w:t>
            </w:r>
          </w:p>
        </w:tc>
        <w:tc>
          <w:tcPr>
            <w:tcW w:w="2430" w:type="dxa"/>
            <w:tcBorders>
              <w:top w:val="nil"/>
              <w:left w:val="nil"/>
              <w:bottom w:val="single" w:sz="8" w:space="0" w:color="595959"/>
              <w:right w:val="single" w:sz="8" w:space="0" w:color="595959"/>
            </w:tcBorders>
            <w:vAlign w:val="center"/>
            <w:hideMark/>
          </w:tcPr>
          <w:p w14:paraId="4A612F38"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620C841A" w14:textId="77777777" w:rsidTr="00DD5361">
        <w:trPr>
          <w:trHeight w:val="540"/>
        </w:trPr>
        <w:tc>
          <w:tcPr>
            <w:tcW w:w="540" w:type="dxa"/>
            <w:tcBorders>
              <w:top w:val="nil"/>
              <w:left w:val="single" w:sz="8" w:space="0" w:color="595959"/>
              <w:bottom w:val="single" w:sz="8" w:space="0" w:color="595959"/>
              <w:right w:val="single" w:sz="8" w:space="0" w:color="595959"/>
            </w:tcBorders>
            <w:noWrap/>
            <w:vAlign w:val="center"/>
          </w:tcPr>
          <w:p w14:paraId="515EF9F8" w14:textId="6015121D"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16</w:t>
            </w:r>
          </w:p>
        </w:tc>
        <w:tc>
          <w:tcPr>
            <w:tcW w:w="2960" w:type="dxa"/>
            <w:tcBorders>
              <w:top w:val="nil"/>
              <w:left w:val="nil"/>
              <w:bottom w:val="single" w:sz="8" w:space="0" w:color="595959"/>
              <w:right w:val="single" w:sz="8" w:space="0" w:color="595959"/>
            </w:tcBorders>
            <w:noWrap/>
            <w:vAlign w:val="center"/>
            <w:hideMark/>
          </w:tcPr>
          <w:p w14:paraId="43A87470"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Centro Cultural y Museo Horacio Vásquez (Etapa II)</w:t>
            </w:r>
          </w:p>
        </w:tc>
        <w:tc>
          <w:tcPr>
            <w:tcW w:w="1890" w:type="dxa"/>
            <w:tcBorders>
              <w:top w:val="nil"/>
              <w:left w:val="nil"/>
              <w:bottom w:val="single" w:sz="8" w:space="0" w:color="595959"/>
              <w:right w:val="single" w:sz="8" w:space="0" w:color="595959"/>
            </w:tcBorders>
            <w:noWrap/>
            <w:vAlign w:val="center"/>
            <w:hideMark/>
          </w:tcPr>
          <w:p w14:paraId="3087C242"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Santiago</w:t>
            </w:r>
          </w:p>
        </w:tc>
        <w:tc>
          <w:tcPr>
            <w:tcW w:w="2430" w:type="dxa"/>
            <w:tcBorders>
              <w:top w:val="nil"/>
              <w:left w:val="nil"/>
              <w:bottom w:val="single" w:sz="8" w:space="0" w:color="595959"/>
              <w:right w:val="single" w:sz="8" w:space="0" w:color="595959"/>
            </w:tcBorders>
            <w:vAlign w:val="center"/>
            <w:hideMark/>
          </w:tcPr>
          <w:p w14:paraId="63342216"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Ampliación e innovación museográfica</w:t>
            </w:r>
          </w:p>
        </w:tc>
      </w:tr>
      <w:tr w:rsidR="00DD5361" w:rsidRPr="00A52DDB" w14:paraId="67599EDC"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1534B8AF" w14:textId="2364DB79"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17</w:t>
            </w:r>
          </w:p>
        </w:tc>
        <w:tc>
          <w:tcPr>
            <w:tcW w:w="2960" w:type="dxa"/>
            <w:tcBorders>
              <w:top w:val="nil"/>
              <w:left w:val="nil"/>
              <w:bottom w:val="single" w:sz="8" w:space="0" w:color="595959"/>
              <w:right w:val="single" w:sz="8" w:space="0" w:color="595959"/>
            </w:tcBorders>
            <w:noWrap/>
            <w:vAlign w:val="center"/>
            <w:hideMark/>
          </w:tcPr>
          <w:p w14:paraId="229DBFE2"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26 de Julio</w:t>
            </w:r>
          </w:p>
        </w:tc>
        <w:tc>
          <w:tcPr>
            <w:tcW w:w="1890" w:type="dxa"/>
            <w:tcBorders>
              <w:top w:val="nil"/>
              <w:left w:val="nil"/>
              <w:bottom w:val="single" w:sz="8" w:space="0" w:color="595959"/>
              <w:right w:val="single" w:sz="8" w:space="0" w:color="595959"/>
            </w:tcBorders>
            <w:noWrap/>
            <w:vAlign w:val="center"/>
            <w:hideMark/>
          </w:tcPr>
          <w:p w14:paraId="18D6FE52"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Espaillat</w:t>
            </w:r>
          </w:p>
        </w:tc>
        <w:tc>
          <w:tcPr>
            <w:tcW w:w="2430" w:type="dxa"/>
            <w:tcBorders>
              <w:top w:val="nil"/>
              <w:left w:val="nil"/>
              <w:bottom w:val="single" w:sz="8" w:space="0" w:color="595959"/>
              <w:right w:val="single" w:sz="8" w:space="0" w:color="595959"/>
            </w:tcBorders>
            <w:vAlign w:val="center"/>
            <w:hideMark/>
          </w:tcPr>
          <w:p w14:paraId="0AE752A1"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Ampliación e innovación museográfica</w:t>
            </w:r>
          </w:p>
        </w:tc>
      </w:tr>
      <w:tr w:rsidR="00DD5361" w:rsidRPr="00A52DDB" w14:paraId="434B0350"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74305CD9" w14:textId="6F446AE0"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18</w:t>
            </w:r>
          </w:p>
        </w:tc>
        <w:tc>
          <w:tcPr>
            <w:tcW w:w="2960" w:type="dxa"/>
            <w:tcBorders>
              <w:top w:val="nil"/>
              <w:left w:val="nil"/>
              <w:bottom w:val="single" w:sz="8" w:space="0" w:color="595959"/>
              <w:right w:val="single" w:sz="8" w:space="0" w:color="595959"/>
            </w:tcBorders>
            <w:noWrap/>
            <w:vAlign w:val="center"/>
            <w:hideMark/>
          </w:tcPr>
          <w:p w14:paraId="7E66E57E"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del Oro y la Plata</w:t>
            </w:r>
          </w:p>
        </w:tc>
        <w:tc>
          <w:tcPr>
            <w:tcW w:w="1890" w:type="dxa"/>
            <w:tcBorders>
              <w:top w:val="nil"/>
              <w:left w:val="nil"/>
              <w:bottom w:val="single" w:sz="8" w:space="0" w:color="595959"/>
              <w:right w:val="single" w:sz="8" w:space="0" w:color="595959"/>
            </w:tcBorders>
            <w:noWrap/>
            <w:vAlign w:val="center"/>
            <w:hideMark/>
          </w:tcPr>
          <w:p w14:paraId="4C7F0BEF"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Sánchez Ramírez</w:t>
            </w:r>
          </w:p>
        </w:tc>
        <w:tc>
          <w:tcPr>
            <w:tcW w:w="2430" w:type="dxa"/>
            <w:tcBorders>
              <w:top w:val="nil"/>
              <w:left w:val="nil"/>
              <w:bottom w:val="single" w:sz="8" w:space="0" w:color="595959"/>
              <w:right w:val="single" w:sz="8" w:space="0" w:color="595959"/>
            </w:tcBorders>
            <w:vAlign w:val="center"/>
            <w:hideMark/>
          </w:tcPr>
          <w:p w14:paraId="40F99EB9"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498B234C"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2FCAE151" w14:textId="2EC4FCE0"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19</w:t>
            </w:r>
          </w:p>
        </w:tc>
        <w:tc>
          <w:tcPr>
            <w:tcW w:w="2960" w:type="dxa"/>
            <w:tcBorders>
              <w:top w:val="nil"/>
              <w:left w:val="nil"/>
              <w:bottom w:val="single" w:sz="8" w:space="0" w:color="595959"/>
              <w:right w:val="single" w:sz="8" w:space="0" w:color="595959"/>
            </w:tcBorders>
            <w:noWrap/>
            <w:vAlign w:val="center"/>
            <w:hideMark/>
          </w:tcPr>
          <w:p w14:paraId="15329E52"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Montecristi</w:t>
            </w:r>
          </w:p>
        </w:tc>
        <w:tc>
          <w:tcPr>
            <w:tcW w:w="1890" w:type="dxa"/>
            <w:tcBorders>
              <w:top w:val="nil"/>
              <w:left w:val="nil"/>
              <w:bottom w:val="single" w:sz="8" w:space="0" w:color="595959"/>
              <w:right w:val="single" w:sz="8" w:space="0" w:color="595959"/>
            </w:tcBorders>
            <w:noWrap/>
            <w:vAlign w:val="center"/>
            <w:hideMark/>
          </w:tcPr>
          <w:p w14:paraId="51F0649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Montecristi</w:t>
            </w:r>
          </w:p>
        </w:tc>
        <w:tc>
          <w:tcPr>
            <w:tcW w:w="2430" w:type="dxa"/>
            <w:tcBorders>
              <w:top w:val="nil"/>
              <w:left w:val="nil"/>
              <w:bottom w:val="single" w:sz="8" w:space="0" w:color="595959"/>
              <w:right w:val="single" w:sz="8" w:space="0" w:color="595959"/>
            </w:tcBorders>
            <w:vAlign w:val="center"/>
            <w:hideMark/>
          </w:tcPr>
          <w:p w14:paraId="0E50B70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7CAAE07D"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79D5EF93" w14:textId="5625ED9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20</w:t>
            </w:r>
          </w:p>
        </w:tc>
        <w:tc>
          <w:tcPr>
            <w:tcW w:w="2960" w:type="dxa"/>
            <w:tcBorders>
              <w:top w:val="nil"/>
              <w:left w:val="nil"/>
              <w:bottom w:val="single" w:sz="8" w:space="0" w:color="595959"/>
              <w:right w:val="single" w:sz="8" w:space="0" w:color="595959"/>
            </w:tcBorders>
            <w:noWrap/>
            <w:vAlign w:val="center"/>
            <w:hideMark/>
          </w:tcPr>
          <w:p w14:paraId="1F54D9DC"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los Peloteros</w:t>
            </w:r>
          </w:p>
        </w:tc>
        <w:tc>
          <w:tcPr>
            <w:tcW w:w="1890" w:type="dxa"/>
            <w:tcBorders>
              <w:top w:val="nil"/>
              <w:left w:val="nil"/>
              <w:bottom w:val="single" w:sz="8" w:space="0" w:color="595959"/>
              <w:right w:val="single" w:sz="8" w:space="0" w:color="595959"/>
            </w:tcBorders>
            <w:noWrap/>
            <w:vAlign w:val="center"/>
            <w:hideMark/>
          </w:tcPr>
          <w:p w14:paraId="15367F5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Pedro de Macorís</w:t>
            </w:r>
          </w:p>
        </w:tc>
        <w:tc>
          <w:tcPr>
            <w:tcW w:w="2430" w:type="dxa"/>
            <w:tcBorders>
              <w:top w:val="nil"/>
              <w:left w:val="nil"/>
              <w:bottom w:val="single" w:sz="8" w:space="0" w:color="595959"/>
              <w:right w:val="single" w:sz="8" w:space="0" w:color="595959"/>
            </w:tcBorders>
            <w:vAlign w:val="center"/>
            <w:hideMark/>
          </w:tcPr>
          <w:p w14:paraId="66C05C89"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5DC55B41" w14:textId="77777777" w:rsidTr="00DD5361">
        <w:trPr>
          <w:trHeight w:val="540"/>
        </w:trPr>
        <w:tc>
          <w:tcPr>
            <w:tcW w:w="540" w:type="dxa"/>
            <w:tcBorders>
              <w:top w:val="nil"/>
              <w:left w:val="single" w:sz="8" w:space="0" w:color="595959"/>
              <w:bottom w:val="single" w:sz="8" w:space="0" w:color="595959"/>
              <w:right w:val="single" w:sz="8" w:space="0" w:color="595959"/>
            </w:tcBorders>
            <w:noWrap/>
            <w:vAlign w:val="center"/>
          </w:tcPr>
          <w:p w14:paraId="42730AC1" w14:textId="0819DB36"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21</w:t>
            </w:r>
          </w:p>
        </w:tc>
        <w:tc>
          <w:tcPr>
            <w:tcW w:w="2960" w:type="dxa"/>
            <w:tcBorders>
              <w:top w:val="nil"/>
              <w:left w:val="nil"/>
              <w:bottom w:val="single" w:sz="8" w:space="0" w:color="595959"/>
              <w:right w:val="single" w:sz="8" w:space="0" w:color="595959"/>
            </w:tcBorders>
            <w:noWrap/>
            <w:vAlign w:val="center"/>
            <w:hideMark/>
          </w:tcPr>
          <w:p w14:paraId="527064F4"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San Pedro de Macorís</w:t>
            </w:r>
          </w:p>
        </w:tc>
        <w:tc>
          <w:tcPr>
            <w:tcW w:w="1890" w:type="dxa"/>
            <w:tcBorders>
              <w:top w:val="nil"/>
              <w:left w:val="nil"/>
              <w:bottom w:val="single" w:sz="8" w:space="0" w:color="595959"/>
              <w:right w:val="single" w:sz="8" w:space="0" w:color="595959"/>
            </w:tcBorders>
            <w:noWrap/>
            <w:vAlign w:val="center"/>
            <w:hideMark/>
          </w:tcPr>
          <w:p w14:paraId="3CDDD27C"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Pedro de Macorís</w:t>
            </w:r>
          </w:p>
        </w:tc>
        <w:tc>
          <w:tcPr>
            <w:tcW w:w="2430" w:type="dxa"/>
            <w:tcBorders>
              <w:top w:val="nil"/>
              <w:left w:val="nil"/>
              <w:bottom w:val="single" w:sz="8" w:space="0" w:color="595959"/>
              <w:right w:val="single" w:sz="8" w:space="0" w:color="595959"/>
            </w:tcBorders>
            <w:vAlign w:val="center"/>
            <w:hideMark/>
          </w:tcPr>
          <w:p w14:paraId="24E0C3D4"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5C4EF0BF"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774AB223" w14:textId="62FB500D"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22</w:t>
            </w:r>
          </w:p>
        </w:tc>
        <w:tc>
          <w:tcPr>
            <w:tcW w:w="2960" w:type="dxa"/>
            <w:tcBorders>
              <w:top w:val="nil"/>
              <w:left w:val="nil"/>
              <w:bottom w:val="single" w:sz="8" w:space="0" w:color="595959"/>
              <w:right w:val="single" w:sz="8" w:space="0" w:color="595959"/>
            </w:tcBorders>
            <w:noWrap/>
            <w:vAlign w:val="center"/>
            <w:hideMark/>
          </w:tcPr>
          <w:p w14:paraId="07A0EDA4"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José Francisco Peña Gómez</w:t>
            </w:r>
          </w:p>
        </w:tc>
        <w:tc>
          <w:tcPr>
            <w:tcW w:w="1890" w:type="dxa"/>
            <w:tcBorders>
              <w:top w:val="nil"/>
              <w:left w:val="nil"/>
              <w:bottom w:val="single" w:sz="8" w:space="0" w:color="595959"/>
              <w:right w:val="single" w:sz="8" w:space="0" w:color="595959"/>
            </w:tcBorders>
            <w:noWrap/>
            <w:vAlign w:val="center"/>
            <w:hideMark/>
          </w:tcPr>
          <w:p w14:paraId="43C9690C" w14:textId="50C970DC"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Cristóbal</w:t>
            </w:r>
          </w:p>
        </w:tc>
        <w:tc>
          <w:tcPr>
            <w:tcW w:w="2430" w:type="dxa"/>
            <w:tcBorders>
              <w:top w:val="nil"/>
              <w:left w:val="nil"/>
              <w:bottom w:val="single" w:sz="8" w:space="0" w:color="595959"/>
              <w:right w:val="single" w:sz="8" w:space="0" w:color="595959"/>
            </w:tcBorders>
            <w:vAlign w:val="center"/>
            <w:hideMark/>
          </w:tcPr>
          <w:p w14:paraId="20CFBB3E"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02782F12"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5B76A434" w14:textId="5E3AEDB8"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23</w:t>
            </w:r>
          </w:p>
        </w:tc>
        <w:tc>
          <w:tcPr>
            <w:tcW w:w="2960" w:type="dxa"/>
            <w:tcBorders>
              <w:top w:val="nil"/>
              <w:left w:val="nil"/>
              <w:bottom w:val="single" w:sz="8" w:space="0" w:color="595959"/>
              <w:right w:val="single" w:sz="8" w:space="0" w:color="595959"/>
            </w:tcBorders>
            <w:noWrap/>
            <w:vAlign w:val="center"/>
            <w:hideMark/>
          </w:tcPr>
          <w:p w14:paraId="71865067"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Historia y Tradiciones Ocoeñas</w:t>
            </w:r>
          </w:p>
        </w:tc>
        <w:tc>
          <w:tcPr>
            <w:tcW w:w="1890" w:type="dxa"/>
            <w:tcBorders>
              <w:top w:val="nil"/>
              <w:left w:val="nil"/>
              <w:bottom w:val="single" w:sz="8" w:space="0" w:color="595959"/>
              <w:right w:val="single" w:sz="8" w:space="0" w:color="595959"/>
            </w:tcBorders>
            <w:noWrap/>
            <w:vAlign w:val="center"/>
            <w:hideMark/>
          </w:tcPr>
          <w:p w14:paraId="48C786B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 xml:space="preserve">San José de </w:t>
            </w:r>
            <w:proofErr w:type="spellStart"/>
            <w:r w:rsidRPr="00A52DDB">
              <w:rPr>
                <w:rFonts w:eastAsia="Times New Roman"/>
                <w:spacing w:val="0"/>
                <w:sz w:val="20"/>
                <w:szCs w:val="20"/>
                <w:lang w:val="es-DO" w:eastAsia="es-DO"/>
              </w:rPr>
              <w:t>Ocoa</w:t>
            </w:r>
            <w:proofErr w:type="spellEnd"/>
          </w:p>
        </w:tc>
        <w:tc>
          <w:tcPr>
            <w:tcW w:w="2430" w:type="dxa"/>
            <w:tcBorders>
              <w:top w:val="nil"/>
              <w:left w:val="nil"/>
              <w:bottom w:val="single" w:sz="8" w:space="0" w:color="595959"/>
              <w:right w:val="single" w:sz="8" w:space="0" w:color="595959"/>
            </w:tcBorders>
            <w:vAlign w:val="center"/>
            <w:hideMark/>
          </w:tcPr>
          <w:p w14:paraId="2988DC4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38A11EA1"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57B288C0" w14:textId="15BE945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24</w:t>
            </w:r>
          </w:p>
        </w:tc>
        <w:tc>
          <w:tcPr>
            <w:tcW w:w="2960" w:type="dxa"/>
            <w:tcBorders>
              <w:top w:val="nil"/>
              <w:left w:val="nil"/>
              <w:bottom w:val="single" w:sz="8" w:space="0" w:color="595959"/>
              <w:right w:val="single" w:sz="8" w:space="0" w:color="595959"/>
            </w:tcBorders>
            <w:noWrap/>
            <w:vAlign w:val="center"/>
            <w:hideMark/>
          </w:tcPr>
          <w:p w14:paraId="773504F7"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Casa Museo Padre Quinn</w:t>
            </w:r>
          </w:p>
        </w:tc>
        <w:tc>
          <w:tcPr>
            <w:tcW w:w="1890" w:type="dxa"/>
            <w:tcBorders>
              <w:top w:val="nil"/>
              <w:left w:val="nil"/>
              <w:bottom w:val="single" w:sz="8" w:space="0" w:color="595959"/>
              <w:right w:val="single" w:sz="8" w:space="0" w:color="595959"/>
            </w:tcBorders>
            <w:noWrap/>
            <w:vAlign w:val="center"/>
            <w:hideMark/>
          </w:tcPr>
          <w:p w14:paraId="480C790E"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 xml:space="preserve">San José de </w:t>
            </w:r>
            <w:proofErr w:type="spellStart"/>
            <w:r w:rsidRPr="00A52DDB">
              <w:rPr>
                <w:rFonts w:eastAsia="Times New Roman"/>
                <w:spacing w:val="0"/>
                <w:sz w:val="20"/>
                <w:szCs w:val="20"/>
                <w:lang w:val="es-DO" w:eastAsia="es-DO"/>
              </w:rPr>
              <w:t>Ocoa</w:t>
            </w:r>
            <w:proofErr w:type="spellEnd"/>
          </w:p>
        </w:tc>
        <w:tc>
          <w:tcPr>
            <w:tcW w:w="2430" w:type="dxa"/>
            <w:tcBorders>
              <w:top w:val="nil"/>
              <w:left w:val="nil"/>
              <w:bottom w:val="single" w:sz="8" w:space="0" w:color="595959"/>
              <w:right w:val="single" w:sz="8" w:space="0" w:color="595959"/>
            </w:tcBorders>
            <w:vAlign w:val="center"/>
            <w:hideMark/>
          </w:tcPr>
          <w:p w14:paraId="218CFBB5"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368D672B"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1820D218" w14:textId="4B4EC2E6"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25</w:t>
            </w:r>
          </w:p>
        </w:tc>
        <w:tc>
          <w:tcPr>
            <w:tcW w:w="2960" w:type="dxa"/>
            <w:tcBorders>
              <w:top w:val="nil"/>
              <w:left w:val="nil"/>
              <w:bottom w:val="single" w:sz="8" w:space="0" w:color="595959"/>
              <w:right w:val="single" w:sz="8" w:space="0" w:color="595959"/>
            </w:tcBorders>
            <w:noWrap/>
            <w:vAlign w:val="center"/>
            <w:hideMark/>
          </w:tcPr>
          <w:p w14:paraId="3E28A0C3"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Orlando Martínez</w:t>
            </w:r>
          </w:p>
        </w:tc>
        <w:tc>
          <w:tcPr>
            <w:tcW w:w="1890" w:type="dxa"/>
            <w:tcBorders>
              <w:top w:val="nil"/>
              <w:left w:val="nil"/>
              <w:bottom w:val="single" w:sz="8" w:space="0" w:color="595959"/>
              <w:right w:val="single" w:sz="8" w:space="0" w:color="595959"/>
            </w:tcBorders>
            <w:noWrap/>
            <w:vAlign w:val="center"/>
            <w:hideMark/>
          </w:tcPr>
          <w:p w14:paraId="37AC1B9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Juan de la Maguana</w:t>
            </w:r>
          </w:p>
        </w:tc>
        <w:tc>
          <w:tcPr>
            <w:tcW w:w="2430" w:type="dxa"/>
            <w:tcBorders>
              <w:top w:val="nil"/>
              <w:left w:val="nil"/>
              <w:bottom w:val="single" w:sz="8" w:space="0" w:color="595959"/>
              <w:right w:val="single" w:sz="8" w:space="0" w:color="595959"/>
            </w:tcBorders>
            <w:vAlign w:val="center"/>
            <w:hideMark/>
          </w:tcPr>
          <w:p w14:paraId="60ABB6B7"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74D7FB5C"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69BBAA8B" w14:textId="2797C8D9"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26</w:t>
            </w:r>
          </w:p>
        </w:tc>
        <w:tc>
          <w:tcPr>
            <w:tcW w:w="2960" w:type="dxa"/>
            <w:tcBorders>
              <w:top w:val="nil"/>
              <w:left w:val="nil"/>
              <w:bottom w:val="single" w:sz="8" w:space="0" w:color="595959"/>
              <w:right w:val="single" w:sz="8" w:space="0" w:color="595959"/>
            </w:tcBorders>
            <w:noWrap/>
            <w:vAlign w:val="center"/>
            <w:hideMark/>
          </w:tcPr>
          <w:p w14:paraId="5F8A931A"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Francisco Alberto Caamaño</w:t>
            </w:r>
          </w:p>
        </w:tc>
        <w:tc>
          <w:tcPr>
            <w:tcW w:w="1890" w:type="dxa"/>
            <w:tcBorders>
              <w:top w:val="nil"/>
              <w:left w:val="nil"/>
              <w:bottom w:val="single" w:sz="8" w:space="0" w:color="595959"/>
              <w:right w:val="single" w:sz="8" w:space="0" w:color="595959"/>
            </w:tcBorders>
            <w:noWrap/>
            <w:vAlign w:val="center"/>
            <w:hideMark/>
          </w:tcPr>
          <w:p w14:paraId="623A28E8"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Juan de la Maguana</w:t>
            </w:r>
          </w:p>
        </w:tc>
        <w:tc>
          <w:tcPr>
            <w:tcW w:w="2430" w:type="dxa"/>
            <w:tcBorders>
              <w:top w:val="nil"/>
              <w:left w:val="nil"/>
              <w:bottom w:val="single" w:sz="8" w:space="0" w:color="595959"/>
              <w:right w:val="single" w:sz="8" w:space="0" w:color="595959"/>
            </w:tcBorders>
            <w:vAlign w:val="center"/>
            <w:hideMark/>
          </w:tcPr>
          <w:p w14:paraId="6C402BA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7676CCFA" w14:textId="77777777" w:rsidTr="00DD5361">
        <w:trPr>
          <w:trHeight w:val="300"/>
        </w:trPr>
        <w:tc>
          <w:tcPr>
            <w:tcW w:w="540" w:type="dxa"/>
            <w:tcBorders>
              <w:top w:val="nil"/>
              <w:left w:val="single" w:sz="8" w:space="0" w:color="595959"/>
              <w:bottom w:val="single" w:sz="8" w:space="0" w:color="595959"/>
              <w:right w:val="single" w:sz="8" w:space="0" w:color="595959"/>
            </w:tcBorders>
            <w:noWrap/>
            <w:vAlign w:val="center"/>
          </w:tcPr>
          <w:p w14:paraId="1CD2FA20" w14:textId="6AFDF070" w:rsidR="00DD5361" w:rsidRPr="00A52DDB" w:rsidRDefault="00DD5361" w:rsidP="00DD5361">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27</w:t>
            </w:r>
          </w:p>
        </w:tc>
        <w:tc>
          <w:tcPr>
            <w:tcW w:w="2960" w:type="dxa"/>
            <w:tcBorders>
              <w:top w:val="nil"/>
              <w:left w:val="nil"/>
              <w:bottom w:val="single" w:sz="8" w:space="0" w:color="595959"/>
              <w:right w:val="single" w:sz="8" w:space="0" w:color="595959"/>
            </w:tcBorders>
            <w:noWrap/>
            <w:vAlign w:val="center"/>
            <w:hideMark/>
          </w:tcPr>
          <w:p w14:paraId="64D26149"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Arqueológico del Corral de los Indios</w:t>
            </w:r>
          </w:p>
        </w:tc>
        <w:tc>
          <w:tcPr>
            <w:tcW w:w="1890" w:type="dxa"/>
            <w:tcBorders>
              <w:top w:val="nil"/>
              <w:left w:val="nil"/>
              <w:bottom w:val="single" w:sz="8" w:space="0" w:color="595959"/>
              <w:right w:val="single" w:sz="8" w:space="0" w:color="595959"/>
            </w:tcBorders>
            <w:noWrap/>
            <w:vAlign w:val="center"/>
            <w:hideMark/>
          </w:tcPr>
          <w:p w14:paraId="75EB082E"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Juan de la Maguana</w:t>
            </w:r>
          </w:p>
        </w:tc>
        <w:tc>
          <w:tcPr>
            <w:tcW w:w="2430" w:type="dxa"/>
            <w:tcBorders>
              <w:top w:val="nil"/>
              <w:left w:val="nil"/>
              <w:bottom w:val="single" w:sz="8" w:space="0" w:color="595959"/>
              <w:right w:val="single" w:sz="8" w:space="0" w:color="595959"/>
            </w:tcBorders>
            <w:vAlign w:val="center"/>
            <w:hideMark/>
          </w:tcPr>
          <w:p w14:paraId="54A5C4AC"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bl>
    <w:p w14:paraId="1D046FD4" w14:textId="677AD89B" w:rsidR="00A52DDB" w:rsidRPr="006B24A1" w:rsidRDefault="007C6699" w:rsidP="00A61FDB">
      <w:pPr>
        <w:tabs>
          <w:tab w:val="left" w:pos="6120"/>
        </w:tabs>
        <w:spacing w:after="0" w:line="240" w:lineRule="auto"/>
        <w:jc w:val="both"/>
        <w:rPr>
          <w:rFonts w:eastAsia="Calibri"/>
          <w:i/>
          <w:iCs/>
          <w:sz w:val="20"/>
          <w:szCs w:val="28"/>
          <w:lang w:val="es-DO"/>
        </w:rPr>
      </w:pPr>
      <w:r w:rsidRPr="006B24A1">
        <w:rPr>
          <w:rFonts w:eastAsia="Calibri"/>
          <w:i/>
          <w:iCs/>
          <w:sz w:val="20"/>
          <w:szCs w:val="28"/>
          <w:lang w:val="es-DO"/>
        </w:rPr>
        <w:t xml:space="preserve">Tabla </w:t>
      </w:r>
      <w:r w:rsidR="002E16D2">
        <w:rPr>
          <w:rFonts w:eastAsia="Calibri"/>
          <w:i/>
          <w:iCs/>
          <w:sz w:val="20"/>
          <w:szCs w:val="28"/>
          <w:lang w:val="es-DO"/>
        </w:rPr>
        <w:t xml:space="preserve">3. </w:t>
      </w:r>
      <w:r w:rsidR="00A61FDB" w:rsidRPr="006B24A1">
        <w:rPr>
          <w:rFonts w:eastAsia="Calibri"/>
          <w:i/>
          <w:iCs/>
          <w:sz w:val="20"/>
          <w:szCs w:val="28"/>
          <w:lang w:val="es-DO"/>
        </w:rPr>
        <w:t>Proyectos de innovación y creación de nuevos museos</w:t>
      </w:r>
    </w:p>
    <w:p w14:paraId="76E98B63" w14:textId="2F58FA9E" w:rsidR="00A52DDB" w:rsidRDefault="00A52DDB" w:rsidP="00427D27">
      <w:pPr>
        <w:tabs>
          <w:tab w:val="left" w:pos="6120"/>
        </w:tabs>
        <w:spacing w:line="360" w:lineRule="auto"/>
        <w:jc w:val="both"/>
        <w:rPr>
          <w:rFonts w:eastAsia="Calibri"/>
          <w:szCs w:val="36"/>
          <w:lang w:val="es-DO"/>
        </w:rPr>
      </w:pPr>
    </w:p>
    <w:p w14:paraId="2A3B7FFF" w14:textId="77777777" w:rsidR="00D62B6F" w:rsidRDefault="00D62B6F" w:rsidP="00427D27">
      <w:pPr>
        <w:spacing w:line="360" w:lineRule="auto"/>
        <w:jc w:val="both"/>
        <w:rPr>
          <w:rFonts w:eastAsia="Calibri"/>
          <w:szCs w:val="36"/>
          <w:lang w:val="es-DO"/>
        </w:rPr>
      </w:pPr>
      <w:r w:rsidRPr="00742B0E">
        <w:rPr>
          <w:rFonts w:eastAsia="Calibri"/>
          <w:szCs w:val="36"/>
          <w:lang w:val="es-DO"/>
        </w:rPr>
        <w:lastRenderedPageBreak/>
        <w:t>Por otro lado, durante este periodo el Departamento de Planificación y Desarrollo y el Departamento de Proyectos Museográficos, continuaron con el seguimiento a las intervenciones realizadas en los museos ubicados en la Ciudad Colonial, ejecutadas con recursos del Programa Integral de Desarrollo Turístico y Urbano de la CCSD, ejecutado por el MITUR con recursos del financiamiento BID; así como las realizadas por el MIVED y el CEIZTUR.</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5"/>
        <w:gridCol w:w="1530"/>
        <w:gridCol w:w="1170"/>
        <w:gridCol w:w="3870"/>
        <w:gridCol w:w="23"/>
      </w:tblGrid>
      <w:tr w:rsidR="00D62B6F" w:rsidRPr="00D62B6F" w14:paraId="5FE0EC58" w14:textId="77777777">
        <w:trPr>
          <w:gridAfter w:val="1"/>
          <w:wAfter w:w="23" w:type="dxa"/>
          <w:trHeight w:val="288"/>
          <w:tblHeader/>
          <w:jc w:val="center"/>
        </w:trPr>
        <w:tc>
          <w:tcPr>
            <w:tcW w:w="1705" w:type="dxa"/>
            <w:shd w:val="clear" w:color="auto" w:fill="142F62"/>
            <w:noWrap/>
            <w:vAlign w:val="center"/>
            <w:hideMark/>
          </w:tcPr>
          <w:p w14:paraId="66FE8712"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t>Museo</w:t>
            </w:r>
          </w:p>
        </w:tc>
        <w:tc>
          <w:tcPr>
            <w:tcW w:w="1530" w:type="dxa"/>
            <w:shd w:val="clear" w:color="auto" w:fill="142F62"/>
            <w:vAlign w:val="center"/>
          </w:tcPr>
          <w:p w14:paraId="4D9098CD"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t>Proyecto</w:t>
            </w:r>
          </w:p>
        </w:tc>
        <w:tc>
          <w:tcPr>
            <w:tcW w:w="1170" w:type="dxa"/>
            <w:shd w:val="clear" w:color="auto" w:fill="142F62"/>
            <w:noWrap/>
            <w:vAlign w:val="center"/>
            <w:hideMark/>
          </w:tcPr>
          <w:p w14:paraId="3F42D374"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t xml:space="preserve">Ejecutor </w:t>
            </w:r>
          </w:p>
        </w:tc>
        <w:tc>
          <w:tcPr>
            <w:tcW w:w="3870" w:type="dxa"/>
            <w:shd w:val="clear" w:color="auto" w:fill="142F62"/>
            <w:noWrap/>
            <w:vAlign w:val="center"/>
            <w:hideMark/>
          </w:tcPr>
          <w:p w14:paraId="01B6E0F6"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t>Funciones DGM</w:t>
            </w:r>
          </w:p>
        </w:tc>
      </w:tr>
      <w:tr w:rsidR="00D62B6F" w:rsidRPr="00EE47D5" w14:paraId="58D60CD6" w14:textId="77777777">
        <w:trPr>
          <w:gridAfter w:val="1"/>
          <w:wAfter w:w="23" w:type="dxa"/>
          <w:trHeight w:val="288"/>
          <w:jc w:val="center"/>
        </w:trPr>
        <w:tc>
          <w:tcPr>
            <w:tcW w:w="1705" w:type="dxa"/>
            <w:vMerge w:val="restart"/>
            <w:vAlign w:val="center"/>
          </w:tcPr>
          <w:p w14:paraId="52D7E7E7"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Museo Alcázar de Colón</w:t>
            </w:r>
          </w:p>
        </w:tc>
        <w:tc>
          <w:tcPr>
            <w:tcW w:w="1530" w:type="dxa"/>
            <w:vAlign w:val="center"/>
          </w:tcPr>
          <w:p w14:paraId="3FE86408"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Intervención arquitectónica</w:t>
            </w:r>
          </w:p>
        </w:tc>
        <w:tc>
          <w:tcPr>
            <w:tcW w:w="1170" w:type="dxa"/>
            <w:vAlign w:val="center"/>
          </w:tcPr>
          <w:p w14:paraId="51525BF3"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CEIZTUR</w:t>
            </w:r>
          </w:p>
        </w:tc>
        <w:tc>
          <w:tcPr>
            <w:tcW w:w="3870" w:type="dxa"/>
            <w:vAlign w:val="center"/>
          </w:tcPr>
          <w:p w14:paraId="5F9E5955"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Traslado de bienes de la colección para su almacenamiento temporal y posterior conservación</w:t>
            </w:r>
          </w:p>
        </w:tc>
      </w:tr>
      <w:tr w:rsidR="00D62B6F" w:rsidRPr="00EE47D5" w14:paraId="2421D2FF" w14:textId="77777777">
        <w:trPr>
          <w:gridAfter w:val="1"/>
          <w:wAfter w:w="23" w:type="dxa"/>
          <w:trHeight w:val="288"/>
          <w:jc w:val="center"/>
        </w:trPr>
        <w:tc>
          <w:tcPr>
            <w:tcW w:w="1705" w:type="dxa"/>
            <w:vMerge/>
            <w:vAlign w:val="center"/>
          </w:tcPr>
          <w:p w14:paraId="26B74A5B" w14:textId="77777777" w:rsidR="00D62B6F" w:rsidRPr="00D62B6F" w:rsidRDefault="00D62B6F" w:rsidP="00D62B6F">
            <w:pPr>
              <w:spacing w:after="0" w:line="240" w:lineRule="auto"/>
              <w:rPr>
                <w:rFonts w:eastAsia="Times New Roman"/>
                <w:spacing w:val="0"/>
                <w:sz w:val="18"/>
                <w:szCs w:val="18"/>
                <w:lang w:val="es-DO" w:eastAsia="es-DO"/>
              </w:rPr>
            </w:pPr>
          </w:p>
        </w:tc>
        <w:tc>
          <w:tcPr>
            <w:tcW w:w="1530" w:type="dxa"/>
            <w:vAlign w:val="center"/>
          </w:tcPr>
          <w:p w14:paraId="60AC4C04"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Innovación de la museografía</w:t>
            </w:r>
          </w:p>
        </w:tc>
        <w:tc>
          <w:tcPr>
            <w:tcW w:w="1170" w:type="dxa"/>
            <w:vAlign w:val="center"/>
          </w:tcPr>
          <w:p w14:paraId="4CED0FD1"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MITUR-BID</w:t>
            </w:r>
          </w:p>
        </w:tc>
        <w:tc>
          <w:tcPr>
            <w:tcW w:w="3870" w:type="dxa"/>
            <w:vAlign w:val="center"/>
          </w:tcPr>
          <w:p w14:paraId="3D84A103"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Evaluación de documentos técnicos para la conservación del artesonado de las vigas y conservación de los bienes priorizados para la nueva museografía.</w:t>
            </w:r>
          </w:p>
        </w:tc>
      </w:tr>
      <w:tr w:rsidR="00D62B6F" w:rsidRPr="00EE47D5" w14:paraId="07084E06" w14:textId="77777777">
        <w:trPr>
          <w:gridAfter w:val="1"/>
          <w:wAfter w:w="23" w:type="dxa"/>
          <w:trHeight w:val="288"/>
          <w:jc w:val="center"/>
        </w:trPr>
        <w:tc>
          <w:tcPr>
            <w:tcW w:w="1705" w:type="dxa"/>
            <w:vAlign w:val="center"/>
          </w:tcPr>
          <w:p w14:paraId="40A8517C"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Museo Fortaleza de Santo Domingo</w:t>
            </w:r>
          </w:p>
        </w:tc>
        <w:tc>
          <w:tcPr>
            <w:tcW w:w="1530" w:type="dxa"/>
            <w:vAlign w:val="center"/>
          </w:tcPr>
          <w:p w14:paraId="144ADB84"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Innovación de la museografía y sala Inmersivo</w:t>
            </w:r>
          </w:p>
        </w:tc>
        <w:tc>
          <w:tcPr>
            <w:tcW w:w="1170" w:type="dxa"/>
            <w:vAlign w:val="center"/>
          </w:tcPr>
          <w:p w14:paraId="16D405C9"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MITUR-BID</w:t>
            </w:r>
          </w:p>
        </w:tc>
        <w:tc>
          <w:tcPr>
            <w:tcW w:w="3870" w:type="dxa"/>
            <w:vAlign w:val="center"/>
          </w:tcPr>
          <w:p w14:paraId="5EEEB7A6"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 xml:space="preserve">Recepción y puesta en marcha de los nuevos sistemas de proyección que conforman la museografía </w:t>
            </w:r>
          </w:p>
        </w:tc>
      </w:tr>
      <w:tr w:rsidR="00D62B6F" w:rsidRPr="00EE47D5" w14:paraId="4FC11932" w14:textId="77777777">
        <w:trPr>
          <w:gridAfter w:val="1"/>
          <w:wAfter w:w="23" w:type="dxa"/>
          <w:trHeight w:val="233"/>
          <w:jc w:val="center"/>
        </w:trPr>
        <w:tc>
          <w:tcPr>
            <w:tcW w:w="1705" w:type="dxa"/>
            <w:vMerge w:val="restart"/>
            <w:vAlign w:val="center"/>
          </w:tcPr>
          <w:p w14:paraId="64A5F32D"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Museo de las Casas Reales</w:t>
            </w:r>
          </w:p>
        </w:tc>
        <w:tc>
          <w:tcPr>
            <w:tcW w:w="1530" w:type="dxa"/>
            <w:vAlign w:val="center"/>
          </w:tcPr>
          <w:p w14:paraId="4D6EEBA0"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Intervención arquitectónica</w:t>
            </w:r>
          </w:p>
        </w:tc>
        <w:tc>
          <w:tcPr>
            <w:tcW w:w="1170" w:type="dxa"/>
            <w:vAlign w:val="center"/>
          </w:tcPr>
          <w:p w14:paraId="335230A4"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CEIZTUR</w:t>
            </w:r>
          </w:p>
        </w:tc>
        <w:tc>
          <w:tcPr>
            <w:tcW w:w="3870" w:type="dxa"/>
            <w:vAlign w:val="center"/>
          </w:tcPr>
          <w:p w14:paraId="7320E369"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Logística para la salvaguarda de la colección</w:t>
            </w:r>
          </w:p>
        </w:tc>
      </w:tr>
      <w:tr w:rsidR="00D62B6F" w:rsidRPr="00EE47D5" w14:paraId="6E4452C9" w14:textId="77777777">
        <w:trPr>
          <w:gridAfter w:val="1"/>
          <w:wAfter w:w="23" w:type="dxa"/>
          <w:trHeight w:val="288"/>
          <w:jc w:val="center"/>
        </w:trPr>
        <w:tc>
          <w:tcPr>
            <w:tcW w:w="1705" w:type="dxa"/>
            <w:vMerge/>
            <w:vAlign w:val="center"/>
          </w:tcPr>
          <w:p w14:paraId="3DF07C4A" w14:textId="77777777" w:rsidR="00D62B6F" w:rsidRPr="00D62B6F" w:rsidRDefault="00D62B6F" w:rsidP="00D62B6F">
            <w:pPr>
              <w:spacing w:after="0" w:line="240" w:lineRule="auto"/>
              <w:rPr>
                <w:rFonts w:eastAsia="Times New Roman"/>
                <w:spacing w:val="0"/>
                <w:sz w:val="18"/>
                <w:szCs w:val="18"/>
                <w:lang w:val="es-DO" w:eastAsia="es-DO"/>
              </w:rPr>
            </w:pPr>
          </w:p>
        </w:tc>
        <w:tc>
          <w:tcPr>
            <w:tcW w:w="1530" w:type="dxa"/>
            <w:vAlign w:val="center"/>
          </w:tcPr>
          <w:p w14:paraId="4DDCF6A7"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Innovación de la museografía</w:t>
            </w:r>
          </w:p>
        </w:tc>
        <w:tc>
          <w:tcPr>
            <w:tcW w:w="1170" w:type="dxa"/>
            <w:vAlign w:val="center"/>
          </w:tcPr>
          <w:p w14:paraId="30EF415B"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MITUR-BID</w:t>
            </w:r>
          </w:p>
        </w:tc>
        <w:tc>
          <w:tcPr>
            <w:tcW w:w="3870" w:type="dxa"/>
            <w:vAlign w:val="center"/>
          </w:tcPr>
          <w:p w14:paraId="65AB0DFB"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Revisión guiones y diseño museográfico, elaboración de documentos técnicos</w:t>
            </w:r>
          </w:p>
        </w:tc>
      </w:tr>
      <w:tr w:rsidR="00D62B6F" w:rsidRPr="00EE47D5" w14:paraId="6FC6B78D" w14:textId="77777777">
        <w:trPr>
          <w:gridAfter w:val="1"/>
          <w:wAfter w:w="23" w:type="dxa"/>
          <w:trHeight w:val="552"/>
          <w:jc w:val="center"/>
        </w:trPr>
        <w:tc>
          <w:tcPr>
            <w:tcW w:w="1705" w:type="dxa"/>
            <w:vAlign w:val="center"/>
          </w:tcPr>
          <w:p w14:paraId="4E28EBD8" w14:textId="77777777" w:rsidR="00D62B6F" w:rsidRPr="00D62B6F" w:rsidRDefault="00D62B6F" w:rsidP="00D62B6F">
            <w:pPr>
              <w:spacing w:after="100" w:afterAutospacing="1" w:line="240" w:lineRule="auto"/>
              <w:rPr>
                <w:rFonts w:eastAsia="Times New Roman"/>
                <w:spacing w:val="0"/>
                <w:sz w:val="18"/>
                <w:szCs w:val="18"/>
                <w:lang w:val="es-DO" w:eastAsia="es-DO"/>
              </w:rPr>
            </w:pPr>
            <w:r w:rsidRPr="00D62B6F">
              <w:rPr>
                <w:rFonts w:eastAsia="Times New Roman"/>
                <w:spacing w:val="0"/>
                <w:sz w:val="18"/>
                <w:szCs w:val="18"/>
                <w:lang w:val="es-DO" w:eastAsia="es-DO"/>
              </w:rPr>
              <w:t xml:space="preserve">Museo de la Familia Dominicana </w:t>
            </w:r>
          </w:p>
        </w:tc>
        <w:tc>
          <w:tcPr>
            <w:tcW w:w="1530" w:type="dxa"/>
            <w:vAlign w:val="center"/>
          </w:tcPr>
          <w:p w14:paraId="12EC9D01" w14:textId="77777777" w:rsidR="00D62B6F" w:rsidRPr="00D62B6F" w:rsidRDefault="00D62B6F" w:rsidP="00D62B6F">
            <w:pPr>
              <w:spacing w:after="100" w:afterAutospacing="1" w:line="240" w:lineRule="auto"/>
              <w:rPr>
                <w:rFonts w:eastAsia="Times New Roman"/>
                <w:spacing w:val="0"/>
                <w:sz w:val="18"/>
                <w:szCs w:val="18"/>
                <w:lang w:val="es-DO" w:eastAsia="es-DO"/>
              </w:rPr>
            </w:pPr>
            <w:r w:rsidRPr="00D62B6F">
              <w:rPr>
                <w:rFonts w:eastAsia="Times New Roman"/>
                <w:spacing w:val="0"/>
                <w:sz w:val="18"/>
                <w:szCs w:val="18"/>
                <w:lang w:val="es-DO" w:eastAsia="es-DO"/>
              </w:rPr>
              <w:t>Intervención arquitectónica</w:t>
            </w:r>
          </w:p>
        </w:tc>
        <w:tc>
          <w:tcPr>
            <w:tcW w:w="1170" w:type="dxa"/>
            <w:vAlign w:val="center"/>
          </w:tcPr>
          <w:p w14:paraId="1A4FF98B" w14:textId="77777777" w:rsidR="00D62B6F" w:rsidRPr="00D62B6F" w:rsidRDefault="00D62B6F" w:rsidP="00D62B6F">
            <w:pPr>
              <w:spacing w:after="100" w:afterAutospacing="1"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MIVED</w:t>
            </w:r>
          </w:p>
        </w:tc>
        <w:tc>
          <w:tcPr>
            <w:tcW w:w="3870" w:type="dxa"/>
            <w:vAlign w:val="center"/>
          </w:tcPr>
          <w:p w14:paraId="09251C98" w14:textId="77777777" w:rsidR="00D62B6F" w:rsidRPr="00D62B6F" w:rsidRDefault="00D62B6F" w:rsidP="00D62B6F">
            <w:pPr>
              <w:spacing w:after="100" w:afterAutospacing="1" w:line="240" w:lineRule="auto"/>
              <w:rPr>
                <w:rFonts w:eastAsia="Times New Roman"/>
                <w:spacing w:val="0"/>
                <w:sz w:val="18"/>
                <w:szCs w:val="18"/>
                <w:lang w:val="es-DO" w:eastAsia="es-DO"/>
              </w:rPr>
            </w:pPr>
            <w:r w:rsidRPr="00D62B6F">
              <w:rPr>
                <w:rFonts w:eastAsia="Times New Roman"/>
                <w:spacing w:val="0"/>
                <w:sz w:val="18"/>
                <w:szCs w:val="18"/>
                <w:lang w:val="es-DO" w:eastAsia="es-DO"/>
              </w:rPr>
              <w:t>Acompañamiento en la supervisión de las obras</w:t>
            </w:r>
          </w:p>
        </w:tc>
      </w:tr>
      <w:tr w:rsidR="00D62B6F" w:rsidRPr="00EE47D5" w14:paraId="5A14EA92" w14:textId="77777777">
        <w:trPr>
          <w:trHeight w:val="413"/>
          <w:jc w:val="center"/>
        </w:trPr>
        <w:tc>
          <w:tcPr>
            <w:tcW w:w="8298" w:type="dxa"/>
            <w:gridSpan w:val="5"/>
            <w:tcBorders>
              <w:top w:val="nil"/>
              <w:left w:val="nil"/>
              <w:bottom w:val="nil"/>
              <w:right w:val="nil"/>
            </w:tcBorders>
            <w:vAlign w:val="center"/>
          </w:tcPr>
          <w:p w14:paraId="357C8F3D" w14:textId="4E86BC98" w:rsidR="00D62B6F" w:rsidRPr="00D62B6F" w:rsidRDefault="00D62B6F" w:rsidP="00D62B6F">
            <w:pPr>
              <w:spacing w:line="360" w:lineRule="auto"/>
              <w:jc w:val="both"/>
              <w:rPr>
                <w:rFonts w:eastAsia="Calibri"/>
                <w:i/>
                <w:iCs/>
                <w:sz w:val="20"/>
                <w:szCs w:val="28"/>
                <w:lang w:val="es-DO"/>
              </w:rPr>
            </w:pPr>
            <w:r w:rsidRPr="00D62B6F">
              <w:rPr>
                <w:rFonts w:eastAsia="Calibri"/>
                <w:i/>
                <w:iCs/>
                <w:sz w:val="20"/>
                <w:szCs w:val="28"/>
                <w:lang w:val="es-DO"/>
              </w:rPr>
              <w:t xml:space="preserve">        </w:t>
            </w:r>
            <w:r w:rsidR="00A05D52">
              <w:rPr>
                <w:rFonts w:eastAsia="Calibri"/>
                <w:i/>
                <w:iCs/>
                <w:sz w:val="20"/>
                <w:szCs w:val="28"/>
                <w:lang w:val="es-DO"/>
              </w:rPr>
              <w:t xml:space="preserve">Tabla </w:t>
            </w:r>
            <w:r w:rsidR="002E16D2">
              <w:rPr>
                <w:rFonts w:eastAsia="Calibri"/>
                <w:i/>
                <w:iCs/>
                <w:sz w:val="20"/>
                <w:szCs w:val="28"/>
                <w:lang w:val="es-DO"/>
              </w:rPr>
              <w:t xml:space="preserve">4. </w:t>
            </w:r>
            <w:r w:rsidRPr="00D62B6F">
              <w:rPr>
                <w:rFonts w:eastAsia="Calibri"/>
                <w:i/>
                <w:iCs/>
                <w:sz w:val="20"/>
                <w:szCs w:val="28"/>
                <w:lang w:val="es-DO"/>
              </w:rPr>
              <w:t xml:space="preserve">Seguimiento de trabajos en museos de la Ciudad Colonial </w:t>
            </w:r>
          </w:p>
          <w:p w14:paraId="068FEA1C" w14:textId="77777777" w:rsidR="00D62B6F" w:rsidRPr="00D62B6F" w:rsidRDefault="00D62B6F" w:rsidP="00D62B6F">
            <w:pPr>
              <w:spacing w:after="100" w:afterAutospacing="1" w:line="240" w:lineRule="auto"/>
              <w:jc w:val="both"/>
              <w:rPr>
                <w:rFonts w:eastAsia="Calibri"/>
                <w:sz w:val="18"/>
                <w:szCs w:val="18"/>
                <w:lang w:val="es-DO"/>
              </w:rPr>
            </w:pPr>
          </w:p>
        </w:tc>
      </w:tr>
    </w:tbl>
    <w:p w14:paraId="762A18B0" w14:textId="77777777" w:rsidR="00722AF5" w:rsidRDefault="00027A74" w:rsidP="00427D27">
      <w:pPr>
        <w:spacing w:line="360" w:lineRule="auto"/>
        <w:jc w:val="both"/>
        <w:rPr>
          <w:rFonts w:eastAsia="Calibri"/>
          <w:noProof/>
          <w:lang w:val="es-DO"/>
        </w:rPr>
      </w:pPr>
      <w:r>
        <w:rPr>
          <w:rFonts w:eastAsia="Calibri"/>
          <w:noProof/>
          <w:lang w:val="es-DO"/>
        </w:rPr>
        <w:t xml:space="preserve">Estos proyectos </w:t>
      </w:r>
      <w:r w:rsidRPr="00027A74">
        <w:rPr>
          <w:rFonts w:eastAsia="Calibri"/>
          <w:noProof/>
          <w:lang w:val="es-DO"/>
        </w:rPr>
        <w:t xml:space="preserve">de readecuación de espacios, innovación museográfica y creación de nuevos museos </w:t>
      </w:r>
      <w:r>
        <w:rPr>
          <w:rFonts w:eastAsia="Calibri"/>
          <w:noProof/>
          <w:lang w:val="es-DO"/>
        </w:rPr>
        <w:t xml:space="preserve">contribuyen a </w:t>
      </w:r>
      <w:r w:rsidR="00722AF5">
        <w:rPr>
          <w:rFonts w:eastAsia="Calibri"/>
          <w:noProof/>
          <w:lang w:val="es-DO"/>
        </w:rPr>
        <w:t xml:space="preserve">potenciar el </w:t>
      </w:r>
      <w:r w:rsidRPr="00027A74">
        <w:rPr>
          <w:rFonts w:eastAsia="Calibri"/>
          <w:noProof/>
          <w:lang w:val="es-DO"/>
        </w:rPr>
        <w:t xml:space="preserve">impacto en la revitalización del sector cultural de la República Dominicana. </w:t>
      </w:r>
    </w:p>
    <w:p w14:paraId="71F3826C" w14:textId="77777777" w:rsidR="00DF2F5F" w:rsidRDefault="00DA2278" w:rsidP="00427D27">
      <w:pPr>
        <w:spacing w:line="360" w:lineRule="auto"/>
        <w:jc w:val="both"/>
        <w:rPr>
          <w:rFonts w:eastAsia="Calibri"/>
          <w:noProof/>
          <w:lang w:val="es-DO"/>
        </w:rPr>
      </w:pPr>
      <w:r>
        <w:rPr>
          <w:rFonts w:eastAsia="Calibri"/>
          <w:noProof/>
          <w:lang w:val="es-DO"/>
        </w:rPr>
        <w:t>Con su ejecución se persigue la</w:t>
      </w:r>
      <w:r w:rsidR="00027A74" w:rsidRPr="00027A74">
        <w:rPr>
          <w:rFonts w:eastAsia="Calibri"/>
          <w:noProof/>
          <w:lang w:val="es-DO"/>
        </w:rPr>
        <w:t xml:space="preserve"> ampliación de la Red Nacional de Museos, fortaleciendo su alcance con infraestructuras modernas y accesibles, y promoviendo la desterritorialización de la oferta museística mediante la creación de espacios culturales en provincias y comunidades históricamente menos atendidas. </w:t>
      </w:r>
    </w:p>
    <w:p w14:paraId="21897415" w14:textId="77777777" w:rsidR="00027A74" w:rsidRDefault="00027A74" w:rsidP="00427D27">
      <w:pPr>
        <w:spacing w:line="360" w:lineRule="auto"/>
        <w:jc w:val="both"/>
        <w:rPr>
          <w:rFonts w:eastAsia="Calibri"/>
          <w:noProof/>
          <w:lang w:val="es-DO"/>
        </w:rPr>
      </w:pPr>
      <w:r w:rsidRPr="00027A74">
        <w:rPr>
          <w:rFonts w:eastAsia="Calibri"/>
          <w:noProof/>
          <w:lang w:val="es-DO"/>
        </w:rPr>
        <w:t xml:space="preserve">Además, al integrar tecnologías innovadoras y narrativas contemporáneas en la museografía, se </w:t>
      </w:r>
      <w:r w:rsidR="00DF2F5F">
        <w:rPr>
          <w:rFonts w:eastAsia="Calibri"/>
          <w:noProof/>
          <w:lang w:val="es-DO"/>
        </w:rPr>
        <w:t>logrará</w:t>
      </w:r>
      <w:r w:rsidRPr="00027A74">
        <w:rPr>
          <w:rFonts w:eastAsia="Calibri"/>
          <w:noProof/>
          <w:lang w:val="es-DO"/>
        </w:rPr>
        <w:t xml:space="preserve"> una conexión más profunda y atractiva con los públicos. Este esfuerzo integral </w:t>
      </w:r>
      <w:r w:rsidR="00DF2F5F">
        <w:rPr>
          <w:rFonts w:eastAsia="Calibri"/>
          <w:noProof/>
          <w:lang w:val="es-DO"/>
        </w:rPr>
        <w:t>potencia</w:t>
      </w:r>
      <w:r w:rsidRPr="00027A74">
        <w:rPr>
          <w:rFonts w:eastAsia="Calibri"/>
          <w:noProof/>
          <w:lang w:val="es-DO"/>
        </w:rPr>
        <w:t xml:space="preserve"> </w:t>
      </w:r>
      <w:r w:rsidRPr="00027A74">
        <w:rPr>
          <w:rFonts w:eastAsia="Calibri"/>
          <w:noProof/>
          <w:lang w:val="es-DO"/>
        </w:rPr>
        <w:lastRenderedPageBreak/>
        <w:t>la puesta en valor del patrimonio cultural nacional, rescatando y visibilizando nuestra identidad, y consolidando los museos como motores de desarrollo social, cultural y turístico en todo el país.</w:t>
      </w:r>
    </w:p>
    <w:p w14:paraId="044658EE" w14:textId="77777777" w:rsidR="00ED3FEF" w:rsidRPr="006C2A50" w:rsidRDefault="00ED3FEF" w:rsidP="00ED3FEF">
      <w:pPr>
        <w:spacing w:line="360" w:lineRule="auto"/>
        <w:jc w:val="center"/>
        <w:rPr>
          <w:rFonts w:eastAsia="Calibri"/>
          <w:b/>
          <w:bCs/>
          <w:lang w:val="es-DO"/>
        </w:rPr>
      </w:pPr>
      <w:r w:rsidRPr="006C2A50">
        <w:rPr>
          <w:rFonts w:eastAsia="Calibri"/>
          <w:b/>
          <w:bCs/>
          <w:lang w:val="es-DO"/>
        </w:rPr>
        <w:t>Proyecto</w:t>
      </w:r>
      <w:r>
        <w:rPr>
          <w:rFonts w:eastAsia="Calibri"/>
          <w:b/>
          <w:bCs/>
          <w:lang w:val="es-DO"/>
        </w:rPr>
        <w:t>s de</w:t>
      </w:r>
      <w:r w:rsidRPr="006C2A50">
        <w:rPr>
          <w:rFonts w:eastAsia="Calibri"/>
          <w:b/>
          <w:bCs/>
          <w:lang w:val="es-DO"/>
        </w:rPr>
        <w:t xml:space="preserve"> Innovación Museos Existentes</w:t>
      </w:r>
    </w:p>
    <w:p w14:paraId="19CE53C4" w14:textId="77777777" w:rsidR="00ED3FEF" w:rsidRPr="006C2A50" w:rsidRDefault="00ED3FEF" w:rsidP="00ED3FEF">
      <w:pPr>
        <w:spacing w:line="360" w:lineRule="auto"/>
        <w:rPr>
          <w:rFonts w:eastAsia="DengXian Light"/>
          <w:b/>
          <w:bCs/>
          <w:lang w:val="es-DO"/>
        </w:rPr>
      </w:pPr>
      <w:r>
        <w:rPr>
          <w:rFonts w:eastAsia="DengXian Light"/>
          <w:b/>
          <w:bCs/>
          <w:lang w:val="es-DO"/>
        </w:rPr>
        <w:t xml:space="preserve">Intervención de la Infraestructura y la Innovación Museográfica </w:t>
      </w:r>
      <w:r w:rsidRPr="006C2A50">
        <w:rPr>
          <w:rFonts w:eastAsia="DengXian Light"/>
          <w:b/>
          <w:bCs/>
          <w:lang w:val="es-DO"/>
        </w:rPr>
        <w:t>del Museo Alcázar de Colón</w:t>
      </w:r>
    </w:p>
    <w:p w14:paraId="1B704D9D" w14:textId="77777777" w:rsidR="00ED3FEF" w:rsidRPr="006C2A50" w:rsidRDefault="00ED3FEF" w:rsidP="00ED3FEF">
      <w:pPr>
        <w:spacing w:line="360" w:lineRule="auto"/>
        <w:jc w:val="both"/>
        <w:rPr>
          <w:rFonts w:eastAsia="Calibri"/>
          <w:lang w:val="es-DO"/>
        </w:rPr>
      </w:pPr>
      <w:r w:rsidRPr="006C2A50">
        <w:rPr>
          <w:rFonts w:eastAsia="Calibri"/>
          <w:lang w:val="es-DO"/>
        </w:rPr>
        <w:t>Durante el año 2025, los trabajos</w:t>
      </w:r>
      <w:r>
        <w:rPr>
          <w:rFonts w:eastAsia="Calibri"/>
          <w:lang w:val="es-DO"/>
        </w:rPr>
        <w:t xml:space="preserve"> realizados</w:t>
      </w:r>
      <w:r w:rsidRPr="006C2A50">
        <w:rPr>
          <w:rFonts w:eastAsia="Calibri"/>
          <w:lang w:val="es-DO"/>
        </w:rPr>
        <w:t xml:space="preserve"> en el </w:t>
      </w:r>
      <w:bookmarkStart w:id="3" w:name="_Hlk216766852"/>
      <w:r w:rsidRPr="006C2A50">
        <w:rPr>
          <w:rFonts w:eastAsia="Calibri"/>
          <w:b/>
          <w:bCs/>
          <w:lang w:val="es-DO"/>
        </w:rPr>
        <w:t>Museo Alcázar de Colón</w:t>
      </w:r>
      <w:r>
        <w:rPr>
          <w:rFonts w:eastAsia="Calibri"/>
          <w:b/>
          <w:bCs/>
          <w:lang w:val="es-DO"/>
        </w:rPr>
        <w:t xml:space="preserve">, </w:t>
      </w:r>
      <w:r w:rsidRPr="00E413CE">
        <w:rPr>
          <w:rFonts w:eastAsia="Calibri"/>
          <w:lang w:val="es-DO"/>
        </w:rPr>
        <w:t>en el marco del Programa Integral de Desarrollo Turístico y Urbano de la Ciudad Colonial (PIDTUCC),</w:t>
      </w:r>
      <w:r w:rsidRPr="006C2A50">
        <w:rPr>
          <w:rFonts w:eastAsia="Calibri"/>
          <w:lang w:val="es-DO"/>
        </w:rPr>
        <w:t xml:space="preserve"> </w:t>
      </w:r>
      <w:bookmarkEnd w:id="3"/>
      <w:r w:rsidRPr="006C2A50">
        <w:rPr>
          <w:rFonts w:eastAsia="Calibri"/>
          <w:lang w:val="es-DO"/>
        </w:rPr>
        <w:t>alcanzaron una etapa especialmente significativa, caracterizada por intervenciones profundas orientadas tanto a la recuperación arquitectónica del inmueble como a la consolidación de su infraestructura funcional. Este periodo marcó un avance sustancial dentro del proyecto integral iniciado en 2023, evidenciando la transición hacia fases más precisas de acabado, conservación y adecuación museográfica.</w:t>
      </w:r>
    </w:p>
    <w:p w14:paraId="3E5E377C" w14:textId="77777777" w:rsidR="00ED3FEF" w:rsidRPr="006C2A50" w:rsidRDefault="00ED3FEF" w:rsidP="00ED3FEF">
      <w:pPr>
        <w:spacing w:line="360" w:lineRule="auto"/>
        <w:jc w:val="both"/>
        <w:rPr>
          <w:rFonts w:eastAsia="Calibri"/>
          <w:lang w:val="es-DO"/>
        </w:rPr>
      </w:pPr>
      <w:r w:rsidRPr="006C2A50">
        <w:rPr>
          <w:rFonts w:eastAsia="Calibri"/>
          <w:lang w:val="es-DO"/>
        </w:rPr>
        <w:t>A nivel estructural, se continuó con la rehabilitación integral de las paredes perimetrales e internas, aplicando técnicas especializadas de limpieza, picado, resane y revestimiento con materiales compatibles con la naturaleza histórica del edificio.</w:t>
      </w:r>
    </w:p>
    <w:p w14:paraId="3F835368" w14:textId="77777777" w:rsidR="00ED3FEF" w:rsidRPr="006C2A50" w:rsidRDefault="00ED3FEF" w:rsidP="00ED3FEF">
      <w:pPr>
        <w:spacing w:line="360" w:lineRule="auto"/>
        <w:jc w:val="both"/>
        <w:rPr>
          <w:rFonts w:eastAsia="Calibri"/>
          <w:lang w:val="es-DO"/>
        </w:rPr>
      </w:pPr>
      <w:r w:rsidRPr="006C2A50">
        <w:rPr>
          <w:rFonts w:eastAsia="Calibri"/>
          <w:lang w:val="es-DO"/>
        </w:rPr>
        <w:t xml:space="preserve">En paralelo, se completó la colocación total de los adoquines en el patio principal del </w:t>
      </w:r>
      <w:r w:rsidRPr="006C2A50">
        <w:rPr>
          <w:rFonts w:eastAsia="Calibri"/>
          <w:b/>
          <w:bCs/>
          <w:lang w:val="es-DO"/>
        </w:rPr>
        <w:t>Museo Alcázar de Colón</w:t>
      </w:r>
      <w:r w:rsidRPr="006C2A50">
        <w:rPr>
          <w:rFonts w:eastAsia="Calibri"/>
          <w:lang w:val="es-DO"/>
        </w:rPr>
        <w:t>, una de las áreas más emblemáticas del conjunto monumental.</w:t>
      </w:r>
    </w:p>
    <w:p w14:paraId="2C23A1F0" w14:textId="77777777" w:rsidR="00ED3FEF" w:rsidRPr="006C2A50" w:rsidRDefault="00ED3FEF" w:rsidP="00ED3FEF">
      <w:pPr>
        <w:spacing w:line="360" w:lineRule="auto"/>
        <w:jc w:val="both"/>
        <w:rPr>
          <w:rFonts w:eastAsia="Calibri"/>
          <w:lang w:val="es-DO"/>
        </w:rPr>
      </w:pPr>
      <w:r w:rsidRPr="006C2A50">
        <w:rPr>
          <w:rFonts w:eastAsia="Calibri"/>
          <w:lang w:val="es-DO"/>
        </w:rPr>
        <w:t xml:space="preserve">Otro componente crucial fue la adecuación definitiva del área destinada a la planta eléctrica del </w:t>
      </w:r>
      <w:r w:rsidRPr="006C2A50">
        <w:rPr>
          <w:rFonts w:eastAsia="DengXian Light"/>
          <w:b/>
          <w:bCs/>
          <w:lang w:val="es-DO"/>
        </w:rPr>
        <w:t>Museo Alcázar de Colón</w:t>
      </w:r>
      <w:r w:rsidRPr="006C2A50">
        <w:rPr>
          <w:rFonts w:eastAsia="Calibri"/>
          <w:b/>
          <w:bCs/>
          <w:lang w:val="es-DO"/>
        </w:rPr>
        <w:t>,</w:t>
      </w:r>
      <w:r w:rsidRPr="006C2A50">
        <w:rPr>
          <w:rFonts w:eastAsia="Calibri"/>
          <w:lang w:val="es-DO"/>
        </w:rPr>
        <w:t xml:space="preserve"> garantizando el soporte energético requerido para la climatización, iluminación y conservación preventiva del museo.</w:t>
      </w:r>
    </w:p>
    <w:p w14:paraId="6E082FE7" w14:textId="77777777" w:rsidR="00ED3FEF" w:rsidRPr="006C2A50" w:rsidRDefault="00ED3FEF" w:rsidP="00ED3FEF">
      <w:pPr>
        <w:spacing w:line="360" w:lineRule="auto"/>
        <w:jc w:val="both"/>
        <w:rPr>
          <w:rFonts w:eastAsia="Calibri"/>
          <w:lang w:val="es-DO"/>
        </w:rPr>
      </w:pPr>
      <w:r w:rsidRPr="006C2A50">
        <w:rPr>
          <w:rFonts w:eastAsia="Calibri"/>
          <w:lang w:val="es-DO"/>
        </w:rPr>
        <w:t xml:space="preserve">A nivel de conservación especializada, se llevaron a cabo intervenciones en distintos elementos del edificio, incluyendo la </w:t>
      </w:r>
      <w:r w:rsidRPr="006C2A50">
        <w:rPr>
          <w:rFonts w:eastAsia="Calibri"/>
          <w:lang w:val="es-DO"/>
        </w:rPr>
        <w:lastRenderedPageBreak/>
        <w:t xml:space="preserve">conservación del techo del Salón de Fiestas del </w:t>
      </w:r>
      <w:r w:rsidRPr="006C2A50">
        <w:rPr>
          <w:rFonts w:eastAsia="Calibri"/>
          <w:b/>
          <w:bCs/>
          <w:lang w:val="es-DO"/>
        </w:rPr>
        <w:t>Museo Alcázar de Colón</w:t>
      </w:r>
      <w:r w:rsidRPr="006C2A50">
        <w:rPr>
          <w:rFonts w:eastAsia="Calibri"/>
          <w:lang w:val="es-DO"/>
        </w:rPr>
        <w:t xml:space="preserve"> y la remoción total de la capa asfáltica que cubría la cubierta principal. </w:t>
      </w:r>
    </w:p>
    <w:p w14:paraId="4B22A834" w14:textId="77777777" w:rsidR="00ED3FEF" w:rsidRPr="006C2A50" w:rsidRDefault="00ED3FEF" w:rsidP="00ED3FEF">
      <w:pPr>
        <w:spacing w:line="360" w:lineRule="auto"/>
        <w:jc w:val="both"/>
        <w:rPr>
          <w:rFonts w:eastAsia="Calibri"/>
          <w:lang w:val="es-DO"/>
        </w:rPr>
      </w:pPr>
      <w:r w:rsidRPr="006C2A50">
        <w:rPr>
          <w:rFonts w:eastAsia="Calibri"/>
          <w:lang w:val="es-DO"/>
        </w:rPr>
        <w:t>En este año se está concluyendo la fase final de restauración de las piezas que formarán parte de la museografía del Museo Alcázar de Colón. Cada objeto está recibiendo los tratamientos necesarios para asegurar su estabilidad, conservación y adecuada presentación en sala, dejando la colección lista para integrarse guion museográfico.</w:t>
      </w:r>
    </w:p>
    <w:p w14:paraId="0B9BB354" w14:textId="77777777" w:rsidR="00ED3FEF" w:rsidRDefault="00ED3FEF" w:rsidP="00ED3FEF">
      <w:pPr>
        <w:spacing w:line="360" w:lineRule="auto"/>
        <w:jc w:val="both"/>
        <w:rPr>
          <w:rFonts w:eastAsia="Calibri"/>
          <w:lang w:val="es-DO"/>
        </w:rPr>
      </w:pPr>
      <w:r w:rsidRPr="006C2A50">
        <w:rPr>
          <w:rFonts w:eastAsia="Calibri"/>
          <w:lang w:val="es-DO"/>
        </w:rPr>
        <w:t xml:space="preserve">Finalmente, en 2025 se instaló el sistema integral de climatización del </w:t>
      </w:r>
      <w:r w:rsidRPr="006C2A50">
        <w:rPr>
          <w:rFonts w:eastAsia="Calibri"/>
          <w:b/>
          <w:bCs/>
          <w:lang w:val="es-DO"/>
        </w:rPr>
        <w:t>Museo Alcázar de Colón</w:t>
      </w:r>
      <w:r w:rsidRPr="006C2A50">
        <w:rPr>
          <w:rFonts w:eastAsia="Calibri"/>
          <w:lang w:val="es-DO"/>
        </w:rPr>
        <w:t xml:space="preserve">, incluyendo unidades de aire acondicionado, consolas internas y equipos complementarios, respetando la estética del monumento y los criterios museográficos internacionales.  </w:t>
      </w:r>
    </w:p>
    <w:p w14:paraId="6F3B4839" w14:textId="77777777" w:rsidR="00ED3FEF" w:rsidRDefault="00ED3FEF" w:rsidP="00ED3FEF">
      <w:pPr>
        <w:spacing w:line="360" w:lineRule="auto"/>
        <w:jc w:val="both"/>
        <w:rPr>
          <w:rFonts w:eastAsia="Calibri"/>
          <w:lang w:val="es-DO"/>
        </w:rPr>
      </w:pPr>
      <w:r>
        <w:rPr>
          <w:rFonts w:eastAsia="Calibri"/>
          <w:lang w:val="es-DO"/>
        </w:rPr>
        <w:t>Al cierre del año 2025, el proyecto de innovación museográfica se encuentra en etapa de producción, por lo que se estima que el montaje se realizará en el año 2026, conforme a las informaciones suministradas por la Unidad Ejecutora del PIDTUCC.</w:t>
      </w:r>
    </w:p>
    <w:p w14:paraId="504EA113" w14:textId="77777777" w:rsidR="00ED3FEF" w:rsidRPr="006C2A50" w:rsidRDefault="00ED3FEF" w:rsidP="00ED3FEF">
      <w:pPr>
        <w:spacing w:line="360" w:lineRule="auto"/>
        <w:rPr>
          <w:rFonts w:eastAsia="DengXian Light"/>
          <w:b/>
          <w:bCs/>
          <w:lang w:val="es-DO"/>
        </w:rPr>
      </w:pPr>
      <w:r>
        <w:rPr>
          <w:rFonts w:eastAsia="DengXian Light"/>
          <w:b/>
          <w:bCs/>
          <w:lang w:val="es-DO"/>
        </w:rPr>
        <w:t xml:space="preserve">Intervención de la Infraestructura y la Innovación Museográfica </w:t>
      </w:r>
      <w:r w:rsidRPr="006C2A50">
        <w:rPr>
          <w:rFonts w:eastAsia="DengXian Light"/>
          <w:b/>
          <w:bCs/>
          <w:lang w:val="es-DO"/>
        </w:rPr>
        <w:t xml:space="preserve">del Museo </w:t>
      </w:r>
      <w:r>
        <w:rPr>
          <w:rFonts w:eastAsia="DengXian Light"/>
          <w:b/>
          <w:bCs/>
          <w:lang w:val="es-DO"/>
        </w:rPr>
        <w:t>de las Casas Reales</w:t>
      </w:r>
    </w:p>
    <w:p w14:paraId="7386452B" w14:textId="77777777" w:rsidR="00ED3FEF" w:rsidRDefault="00ED3FEF" w:rsidP="00ED3FEF">
      <w:pPr>
        <w:spacing w:line="360" w:lineRule="auto"/>
        <w:jc w:val="both"/>
        <w:rPr>
          <w:rFonts w:eastAsia="Calibri"/>
          <w:lang w:val="es-DO"/>
        </w:rPr>
      </w:pPr>
      <w:r w:rsidRPr="00FB4B19">
        <w:rPr>
          <w:rFonts w:eastAsia="Calibri"/>
          <w:lang w:val="es-DO"/>
        </w:rPr>
        <w:t xml:space="preserve">En el marco del Programa Integral de Desarrollo Turístico y Urbano de la Ciudad Colonial de Santo Domingo (PIDTUCC), durante el año 2025 la Dirección General de Museos concentró esfuerzos en la fase preparatoria y de alistamiento técnico para la ejecución de las intervenciones integrales previstas en el Museo de las Casas Reales. </w:t>
      </w:r>
    </w:p>
    <w:p w14:paraId="011878B6" w14:textId="77777777" w:rsidR="00ED3FEF" w:rsidRPr="00FB4B19" w:rsidRDefault="00ED3FEF" w:rsidP="00ED3FEF">
      <w:pPr>
        <w:spacing w:line="360" w:lineRule="auto"/>
        <w:jc w:val="both"/>
        <w:rPr>
          <w:rFonts w:eastAsia="Calibri"/>
          <w:lang w:val="es-DO"/>
        </w:rPr>
      </w:pPr>
      <w:r w:rsidRPr="00FB4B19">
        <w:rPr>
          <w:rFonts w:eastAsia="Calibri"/>
          <w:lang w:val="es-DO"/>
        </w:rPr>
        <w:t xml:space="preserve">Estas acciones se orientaron a sentar las bases para el remozamiento, restauración y adecuación de la edificación colonial, con miras a fortalecer su integridad estructural, garantizar su conservación a largo plazo y adecuar los espacios a los principios de accesibilidad </w:t>
      </w:r>
      <w:r w:rsidRPr="00FB4B19">
        <w:rPr>
          <w:rFonts w:eastAsia="Calibri"/>
          <w:lang w:val="es-DO"/>
        </w:rPr>
        <w:lastRenderedPageBreak/>
        <w:t>universal y arquitectura sin barreras</w:t>
      </w:r>
      <w:r>
        <w:rPr>
          <w:rFonts w:eastAsia="Calibri"/>
          <w:lang w:val="es-DO"/>
        </w:rPr>
        <w:t>; y para albergar la nueva propuesta museográfica</w:t>
      </w:r>
      <w:r w:rsidRPr="00FB4B19">
        <w:rPr>
          <w:rFonts w:eastAsia="Calibri"/>
          <w:lang w:val="es-DO"/>
        </w:rPr>
        <w:t>.</w:t>
      </w:r>
    </w:p>
    <w:p w14:paraId="22DB9BC9" w14:textId="77777777" w:rsidR="00ED3FEF" w:rsidRDefault="00ED3FEF" w:rsidP="00ED3FEF">
      <w:pPr>
        <w:spacing w:line="360" w:lineRule="auto"/>
        <w:jc w:val="both"/>
        <w:rPr>
          <w:rFonts w:eastAsia="Calibri"/>
          <w:lang w:val="es-DO"/>
        </w:rPr>
      </w:pPr>
      <w:r w:rsidRPr="00FB4B19">
        <w:rPr>
          <w:rFonts w:eastAsia="Calibri"/>
          <w:lang w:val="es-DO"/>
        </w:rPr>
        <w:t xml:space="preserve">Durante el período evaluado se avanzó en la planificación técnica, la coordinación interinstitucional y la gestión de las condiciones operativas necesarias para el inicio de las obras, incluyendo el cierre programado y parcial de áreas del museo, medida adoptada con el propósito de salvaguardar la integridad del personal, de los usuarios y de los bienes patrimoniales, y de facilitar un inicio ordenado del proceso constructivo. </w:t>
      </w:r>
    </w:p>
    <w:p w14:paraId="5DF4344D" w14:textId="77777777" w:rsidR="00ED3FEF" w:rsidRDefault="00ED3FEF" w:rsidP="00ED3FEF">
      <w:pPr>
        <w:spacing w:line="360" w:lineRule="auto"/>
        <w:jc w:val="both"/>
        <w:rPr>
          <w:rFonts w:eastAsia="Calibri"/>
          <w:lang w:val="es-DO"/>
        </w:rPr>
      </w:pPr>
      <w:r w:rsidRPr="00FB4B19">
        <w:rPr>
          <w:rFonts w:eastAsia="Calibri"/>
          <w:lang w:val="es-DO"/>
        </w:rPr>
        <w:t>De manera complementaria, se definieron los lineamientos para la innovación de la museografía, incorporando criterios contemporáneos de interpretación, mediación y experiencia del visitante, orientados a responder a las demandas de públicos diversos y a elevar la calidad del servicio museístico.</w:t>
      </w:r>
    </w:p>
    <w:p w14:paraId="7C8761D9" w14:textId="77777777" w:rsidR="00ED3FEF" w:rsidRDefault="00ED3FEF" w:rsidP="00ED3FEF">
      <w:pPr>
        <w:spacing w:line="360" w:lineRule="auto"/>
        <w:jc w:val="both"/>
        <w:rPr>
          <w:rFonts w:eastAsia="Calibri"/>
          <w:lang w:val="es-DO"/>
        </w:rPr>
      </w:pPr>
      <w:r w:rsidRPr="00FB4B19">
        <w:rPr>
          <w:rFonts w:eastAsia="Calibri"/>
          <w:lang w:val="es-DO"/>
        </w:rPr>
        <w:t xml:space="preserve">De manera </w:t>
      </w:r>
      <w:r>
        <w:rPr>
          <w:rFonts w:eastAsia="Calibri"/>
          <w:lang w:val="es-DO"/>
        </w:rPr>
        <w:t>similar</w:t>
      </w:r>
      <w:r w:rsidRPr="00FB4B19">
        <w:rPr>
          <w:rFonts w:eastAsia="Calibri"/>
          <w:lang w:val="es-DO"/>
        </w:rPr>
        <w:t xml:space="preserve">, durante el año 2025 se desarrollaron acciones preparatorias fundamentales en el ámbito de la gestión de colecciones del Museo de las Casas Reales, orientadas a garantizar la protección del patrimonio cultural mueble durante el proceso de intervención arquitectónica y museográfica. </w:t>
      </w:r>
    </w:p>
    <w:p w14:paraId="70C1AB54" w14:textId="77777777" w:rsidR="00ED3FEF" w:rsidRDefault="00ED3FEF" w:rsidP="00ED3FEF">
      <w:pPr>
        <w:spacing w:line="360" w:lineRule="auto"/>
        <w:jc w:val="both"/>
        <w:rPr>
          <w:rFonts w:eastAsia="Calibri"/>
          <w:lang w:val="es-DO"/>
        </w:rPr>
      </w:pPr>
      <w:r w:rsidRPr="00FB4B19">
        <w:rPr>
          <w:rFonts w:eastAsia="Calibri"/>
          <w:lang w:val="es-DO"/>
        </w:rPr>
        <w:t xml:space="preserve">Estas acciones incluyeron la clasificación técnica de los bienes que conforman las colecciones, la identificación y habilitación de espacios adecuados para su almacenaje temporal, y el inicio de los protocolos de embalaje especializado de las piezas, conforme a criterios museológicos y de conservación preventiva. </w:t>
      </w:r>
    </w:p>
    <w:p w14:paraId="50D6AC20" w14:textId="77777777" w:rsidR="00ED3FEF" w:rsidRDefault="00ED3FEF" w:rsidP="00ED3FEF">
      <w:pPr>
        <w:spacing w:line="360" w:lineRule="auto"/>
        <w:jc w:val="both"/>
        <w:rPr>
          <w:rFonts w:eastAsia="Calibri"/>
          <w:lang w:val="es-DO"/>
        </w:rPr>
      </w:pPr>
      <w:r w:rsidRPr="00FB4B19">
        <w:rPr>
          <w:rFonts w:eastAsia="Calibri"/>
          <w:lang w:val="es-DO"/>
        </w:rPr>
        <w:t xml:space="preserve">Dichos procedimientos tuvieron como finalidad prevenir daños, pérdidas o alteraciones de los bienes patrimoniales durante las obras, asegurar su correcta trazabilidad y sentar las bases para su posterior reinstalación en las nuevas salas expositivas, en coherencia con los </w:t>
      </w:r>
      <w:r w:rsidRPr="00FB4B19">
        <w:rPr>
          <w:rFonts w:eastAsia="Calibri"/>
          <w:lang w:val="es-DO"/>
        </w:rPr>
        <w:lastRenderedPageBreak/>
        <w:t>estándares nacionales e internacionales de gestión y salvaguarda del patrimonio cultural.</w:t>
      </w:r>
    </w:p>
    <w:p w14:paraId="56963625" w14:textId="77777777" w:rsidR="00ED3FEF" w:rsidRPr="006C2A50" w:rsidRDefault="00ED3FEF" w:rsidP="00ED3FEF">
      <w:pPr>
        <w:spacing w:line="360" w:lineRule="auto"/>
        <w:rPr>
          <w:rFonts w:eastAsia="DengXian Light"/>
          <w:b/>
          <w:bCs/>
          <w:lang w:val="es-DO"/>
        </w:rPr>
      </w:pPr>
      <w:r>
        <w:rPr>
          <w:rFonts w:eastAsia="DengXian Light"/>
          <w:b/>
          <w:bCs/>
          <w:lang w:val="es-DO"/>
        </w:rPr>
        <w:t xml:space="preserve">Intervención de la Infraestructura y la Innovación Museográfica </w:t>
      </w:r>
      <w:r w:rsidRPr="006C2A50">
        <w:rPr>
          <w:rFonts w:eastAsia="DengXian Light"/>
          <w:b/>
          <w:bCs/>
          <w:lang w:val="es-DO"/>
        </w:rPr>
        <w:t xml:space="preserve">del Museo </w:t>
      </w:r>
      <w:r>
        <w:rPr>
          <w:rFonts w:eastAsia="DengXian Light"/>
          <w:b/>
          <w:bCs/>
          <w:lang w:val="es-DO"/>
        </w:rPr>
        <w:t xml:space="preserve">de la Familia Dominicana del S.XIX </w:t>
      </w:r>
    </w:p>
    <w:p w14:paraId="5BA80035" w14:textId="77777777" w:rsidR="00ED3FEF" w:rsidRPr="00FB4B19" w:rsidRDefault="00ED3FEF" w:rsidP="00ED3FEF">
      <w:pPr>
        <w:spacing w:line="360" w:lineRule="auto"/>
        <w:jc w:val="both"/>
        <w:rPr>
          <w:rFonts w:eastAsia="Calibri"/>
          <w:lang w:val="es-DO"/>
        </w:rPr>
      </w:pPr>
      <w:r>
        <w:rPr>
          <w:rFonts w:eastAsia="Calibri"/>
          <w:lang w:val="es-DO"/>
        </w:rPr>
        <w:t>D</w:t>
      </w:r>
      <w:r w:rsidRPr="00FB4B19">
        <w:rPr>
          <w:rFonts w:eastAsia="Calibri"/>
          <w:lang w:val="es-DO"/>
        </w:rPr>
        <w:t xml:space="preserve">urante el año 2025, la Dirección General de Museos dio continuidad a las intervenciones de conservación y adecuación de la infraestructura del Museo de la Familia Dominicana del Siglo XIX, orientadas a mejorar las condiciones físicas del inmueble y garantizar su preservación a largo plazo. Los trabajos ejecutados incluyeron la impermeabilización de </w:t>
      </w:r>
      <w:r>
        <w:rPr>
          <w:rFonts w:eastAsia="Calibri"/>
          <w:lang w:val="es-DO"/>
        </w:rPr>
        <w:t>techos</w:t>
      </w:r>
      <w:r w:rsidRPr="00FB4B19">
        <w:rPr>
          <w:rFonts w:eastAsia="Calibri"/>
          <w:lang w:val="es-DO"/>
        </w:rPr>
        <w:t>, la corrección de humedades y patologías en muros y techos, así como el acondicionamiento del patio interior, contribuyendo a la estabilidad estructural del edificio y a la mejora de los espacios de uso museístico y de atención al público. Estas acciones se desarrollaron con el apoyo del Ministerio de la Vivienda y Edificaciones</w:t>
      </w:r>
      <w:r>
        <w:rPr>
          <w:rFonts w:eastAsia="Calibri"/>
          <w:lang w:val="es-DO"/>
        </w:rPr>
        <w:t xml:space="preserve"> (MIVED)</w:t>
      </w:r>
      <w:r w:rsidRPr="00FB4B19">
        <w:rPr>
          <w:rFonts w:eastAsia="Calibri"/>
          <w:lang w:val="es-DO"/>
        </w:rPr>
        <w:t>, y se prevé su culminación durante el primer trimestre de 2026.</w:t>
      </w:r>
    </w:p>
    <w:p w14:paraId="571CD821" w14:textId="77777777" w:rsidR="00ED3FEF" w:rsidRDefault="00ED3FEF" w:rsidP="00ED3FEF">
      <w:pPr>
        <w:spacing w:line="360" w:lineRule="auto"/>
        <w:jc w:val="both"/>
        <w:rPr>
          <w:rFonts w:eastAsia="Calibri"/>
          <w:lang w:val="es-DO"/>
        </w:rPr>
      </w:pPr>
      <w:r w:rsidRPr="00FB4B19">
        <w:rPr>
          <w:rFonts w:eastAsia="Calibri"/>
          <w:lang w:val="es-DO"/>
        </w:rPr>
        <w:t xml:space="preserve">En paralelo, en el ámbito de la innovación museográfica, durante 2025 se avanzó de manera significativa en la elaboración del nuevo guion museológico del museo, como instrumento conceptual que orientará la actualización del discurso expositivo. </w:t>
      </w:r>
    </w:p>
    <w:p w14:paraId="089C52E4" w14:textId="77777777" w:rsidR="00ED3FEF" w:rsidRDefault="00ED3FEF" w:rsidP="00ED3FEF">
      <w:pPr>
        <w:spacing w:line="360" w:lineRule="auto"/>
        <w:jc w:val="both"/>
        <w:rPr>
          <w:rFonts w:eastAsia="Calibri"/>
          <w:lang w:val="es-DO"/>
        </w:rPr>
      </w:pPr>
      <w:r w:rsidRPr="00FB4B19">
        <w:rPr>
          <w:rFonts w:eastAsia="Calibri"/>
          <w:lang w:val="es-DO"/>
        </w:rPr>
        <w:t xml:space="preserve">Asimismo, se inició el diseño de los nuevos espacios expositivos, incorporando criterios contemporáneos de interpretación, mediación cultural y experiencia del visitante, con el objetivo de fortalecer la narrativa museística y adecuarla a públicos diversos. </w:t>
      </w:r>
    </w:p>
    <w:p w14:paraId="7024B3B1" w14:textId="77777777" w:rsidR="00ED3FEF" w:rsidRDefault="00ED3FEF" w:rsidP="00ED3FEF">
      <w:pPr>
        <w:spacing w:line="360" w:lineRule="auto"/>
        <w:jc w:val="both"/>
        <w:rPr>
          <w:rFonts w:eastAsia="Calibri"/>
          <w:lang w:val="es-DO"/>
        </w:rPr>
      </w:pPr>
      <w:r w:rsidRPr="00FB4B19">
        <w:rPr>
          <w:rFonts w:eastAsia="Calibri"/>
          <w:lang w:val="es-DO"/>
        </w:rPr>
        <w:t>Estos avances constituyen un paso estratégico para la renovación integral del museo y para su reposicionamiento como espacio de referencia en la interpretación de la historia y la vida cotidiana de la sociedad dominicana del siglo XIX.</w:t>
      </w:r>
    </w:p>
    <w:p w14:paraId="4B0E765A" w14:textId="77777777" w:rsidR="00ED3FEF" w:rsidRPr="006C2A50" w:rsidRDefault="00ED3FEF" w:rsidP="00ED3FEF">
      <w:pPr>
        <w:spacing w:line="360" w:lineRule="auto"/>
        <w:rPr>
          <w:rFonts w:eastAsia="DengXian Light"/>
          <w:b/>
          <w:bCs/>
          <w:lang w:val="es-DO"/>
        </w:rPr>
      </w:pPr>
      <w:r>
        <w:rPr>
          <w:rFonts w:eastAsia="DengXian Light"/>
          <w:b/>
          <w:bCs/>
          <w:lang w:val="es-DO"/>
        </w:rPr>
        <w:lastRenderedPageBreak/>
        <w:t xml:space="preserve">Museo Monumento a los Héroes de la Restauración: innovación museística, accesibilidad y alianzas estratégicas </w:t>
      </w:r>
    </w:p>
    <w:p w14:paraId="04DF27A7" w14:textId="77777777" w:rsidR="00ED3FEF" w:rsidRDefault="00ED3FEF" w:rsidP="00ED3FEF">
      <w:pPr>
        <w:spacing w:line="360" w:lineRule="auto"/>
        <w:jc w:val="both"/>
        <w:rPr>
          <w:rFonts w:eastAsia="Calibri"/>
          <w:lang w:val="es-DO"/>
        </w:rPr>
      </w:pPr>
      <w:r w:rsidRPr="00CB0302">
        <w:rPr>
          <w:rFonts w:eastAsia="Calibri"/>
          <w:lang w:val="es-DO"/>
        </w:rPr>
        <w:t xml:space="preserve">Durante el año 2025, el Museo Monumento a los Héroes de la Restauración consolidó un proceso sostenido de innovación museística, fortalecimiento institucional y ampliación de su impacto social, apoyado en una activa gestión de alianzas público–privadas y en la movilización estratégica de recursos financieros, técnicos y tecnológicos. </w:t>
      </w:r>
    </w:p>
    <w:p w14:paraId="0000D3B1" w14:textId="77777777" w:rsidR="00ED3FEF" w:rsidRPr="00CB0302" w:rsidRDefault="00ED3FEF" w:rsidP="00ED3FEF">
      <w:pPr>
        <w:spacing w:line="360" w:lineRule="auto"/>
        <w:jc w:val="both"/>
        <w:rPr>
          <w:rFonts w:eastAsia="Calibri"/>
          <w:lang w:val="es-DO"/>
        </w:rPr>
      </w:pPr>
      <w:r w:rsidRPr="00CB0302">
        <w:rPr>
          <w:rFonts w:eastAsia="Calibri"/>
          <w:lang w:val="es-DO"/>
        </w:rPr>
        <w:t>Este proceso permitió avanzar simultáneamente en la modernización de la experiencia museística, la mejora de las condiciones de accesibilidad universal, el remozamiento de espacios y el fortalecimiento de la sostenibilidad operativa del museo, reafirmando su rol como referente cultural de la región Norte y del país.</w:t>
      </w:r>
    </w:p>
    <w:p w14:paraId="3AC5CC3F" w14:textId="77777777" w:rsidR="00ED3FEF" w:rsidRDefault="00ED3FEF" w:rsidP="00ED3FEF">
      <w:pPr>
        <w:spacing w:line="360" w:lineRule="auto"/>
        <w:jc w:val="both"/>
        <w:rPr>
          <w:rFonts w:eastAsia="Calibri"/>
          <w:lang w:val="es-DO"/>
        </w:rPr>
      </w:pPr>
      <w:r w:rsidRPr="00CB0302">
        <w:rPr>
          <w:rFonts w:eastAsia="Calibri"/>
          <w:lang w:val="es-DO"/>
        </w:rPr>
        <w:t xml:space="preserve">En el marco de este esfuerzo, durante 2025 se articularon inversiones significativas provenientes tanto del sector público como del sector privado, destinadas a proyectos de alto impacto cultural y social. </w:t>
      </w:r>
    </w:p>
    <w:p w14:paraId="51396767" w14:textId="77777777" w:rsidR="00ED3FEF" w:rsidRDefault="00ED3FEF" w:rsidP="00ED3FEF">
      <w:pPr>
        <w:spacing w:line="360" w:lineRule="auto"/>
        <w:jc w:val="both"/>
        <w:rPr>
          <w:rFonts w:eastAsia="Calibri"/>
          <w:lang w:val="es-DO"/>
        </w:rPr>
      </w:pPr>
      <w:r w:rsidRPr="00CB0302">
        <w:rPr>
          <w:rFonts w:eastAsia="Calibri"/>
          <w:lang w:val="es-DO"/>
        </w:rPr>
        <w:t xml:space="preserve">Destaca la implementación de una sala virtual con tecnología inmersiva, resultado de la colaboración entre la Dirección General de Museos, el Museo y el sector privado, con una inversión inicial de USD 50,000, como parte de un proyecto integral estimado en USD 100,000, orientado a diversificar los lenguajes museográficos y a incorporar recursos tecnológicos innovadores en la mediación cultural. </w:t>
      </w:r>
    </w:p>
    <w:p w14:paraId="2240ABDE" w14:textId="77777777" w:rsidR="00ED3FEF" w:rsidRPr="00CB0302" w:rsidRDefault="00ED3FEF" w:rsidP="00ED3FEF">
      <w:pPr>
        <w:spacing w:line="360" w:lineRule="auto"/>
        <w:jc w:val="both"/>
        <w:rPr>
          <w:rFonts w:eastAsia="Calibri"/>
          <w:lang w:val="es-DO"/>
        </w:rPr>
      </w:pPr>
      <w:r w:rsidRPr="00CB0302">
        <w:rPr>
          <w:rFonts w:eastAsia="Calibri"/>
          <w:lang w:val="es-DO"/>
        </w:rPr>
        <w:t>De igual modo, se avanzó en la climatización del edificio, con una inversión aproximada de USD 150,000, contribuyendo tanto a la conservación de las colecciones como al confort ambiental de los visitantes.</w:t>
      </w:r>
    </w:p>
    <w:p w14:paraId="260E2823" w14:textId="6F0D98F3" w:rsidR="00ED3FEF" w:rsidRDefault="00ED3FEF" w:rsidP="00ED3FEF">
      <w:pPr>
        <w:spacing w:line="360" w:lineRule="auto"/>
        <w:jc w:val="both"/>
        <w:rPr>
          <w:rFonts w:eastAsia="Calibri"/>
          <w:lang w:val="es-DO"/>
        </w:rPr>
      </w:pPr>
      <w:r w:rsidRPr="00CB0302">
        <w:rPr>
          <w:rFonts w:eastAsia="Calibri"/>
          <w:lang w:val="es-DO"/>
        </w:rPr>
        <w:t xml:space="preserve">En materia de accesibilidad universal, durante el período se impulsaron </w:t>
      </w:r>
      <w:r w:rsidRPr="00CB0302">
        <w:rPr>
          <w:rFonts w:eastAsia="Calibri"/>
          <w:lang w:val="es-DO"/>
        </w:rPr>
        <w:lastRenderedPageBreak/>
        <w:t xml:space="preserve">intervenciones orientadas a la eliminación de barreras físicas y a la adecuación progresiva de los espacios museísticos, con una inversión proyectada superior a RD$20 millones, reafirmando el compromiso institucional con el acceso equitativo a la cultura. </w:t>
      </w:r>
    </w:p>
    <w:p w14:paraId="08267AF2" w14:textId="74E1185C" w:rsidR="00ED3FEF" w:rsidRPr="00CB0302" w:rsidRDefault="00ED3FEF" w:rsidP="00ED3FEF">
      <w:pPr>
        <w:spacing w:line="360" w:lineRule="auto"/>
        <w:jc w:val="both"/>
        <w:rPr>
          <w:rFonts w:eastAsia="Calibri"/>
          <w:lang w:val="es-DO"/>
        </w:rPr>
      </w:pPr>
      <w:r w:rsidRPr="00CB0302">
        <w:rPr>
          <w:rFonts w:eastAsia="Calibri"/>
          <w:lang w:val="es-DO"/>
        </w:rPr>
        <w:t xml:space="preserve">A estas acciones se sumaron intervenciones en el entorno inmediato del </w:t>
      </w:r>
      <w:r>
        <w:rPr>
          <w:rFonts w:eastAsia="Calibri"/>
          <w:lang w:val="es-DO"/>
        </w:rPr>
        <w:t>M</w:t>
      </w:r>
      <w:r w:rsidRPr="00CB0302">
        <w:rPr>
          <w:rFonts w:eastAsia="Calibri"/>
          <w:lang w:val="es-DO"/>
        </w:rPr>
        <w:t>onumento, como la revegetación y acondicionamiento de los jardines, con una inversión de RD$4.2 millones, así como la construcción de un pozo tubular para el mantenimiento sostenible de las áreas verdes, con una inversión de RD$1 millón, fortaleciendo la gestión ambiental del recinto.</w:t>
      </w:r>
    </w:p>
    <w:p w14:paraId="47473A2E" w14:textId="77777777" w:rsidR="00ED3FEF" w:rsidRDefault="00ED3FEF" w:rsidP="00ED3FEF">
      <w:pPr>
        <w:spacing w:line="360" w:lineRule="auto"/>
        <w:jc w:val="both"/>
        <w:rPr>
          <w:rFonts w:eastAsia="Calibri"/>
          <w:lang w:val="es-DO"/>
        </w:rPr>
      </w:pPr>
      <w:r w:rsidRPr="00CB0302">
        <w:rPr>
          <w:rFonts w:eastAsia="Calibri"/>
          <w:lang w:val="es-DO"/>
        </w:rPr>
        <w:t xml:space="preserve">De manera complementaria, se </w:t>
      </w:r>
      <w:r>
        <w:rPr>
          <w:rFonts w:eastAsia="Calibri"/>
          <w:lang w:val="es-DO"/>
        </w:rPr>
        <w:t xml:space="preserve">iniciaron los procesos para el </w:t>
      </w:r>
      <w:r w:rsidRPr="00CB0302">
        <w:rPr>
          <w:rFonts w:eastAsia="Calibri"/>
          <w:lang w:val="es-DO"/>
        </w:rPr>
        <w:t>desarroll</w:t>
      </w:r>
      <w:r>
        <w:rPr>
          <w:rFonts w:eastAsia="Calibri"/>
          <w:lang w:val="es-DO"/>
        </w:rPr>
        <w:t>o de</w:t>
      </w:r>
      <w:r w:rsidRPr="00CB0302">
        <w:rPr>
          <w:rFonts w:eastAsia="Calibri"/>
          <w:lang w:val="es-DO"/>
        </w:rPr>
        <w:t xml:space="preserve"> un conjunto de proyectos orientados a mejorar la experiencia integral del visitante, en articulación con actores del sector empresarial, social y turístico de Santiago, con una inversión estimada de RD$ 60 millones, destinados a la mejora de servicios, espacios expositivos, señalización, mediación y propuestas museográficas innovadoras. </w:t>
      </w:r>
    </w:p>
    <w:p w14:paraId="128FCD42" w14:textId="77777777" w:rsidR="00ED3FEF" w:rsidRPr="00CB0302" w:rsidRDefault="00ED3FEF" w:rsidP="00ED3FEF">
      <w:pPr>
        <w:spacing w:line="360" w:lineRule="auto"/>
        <w:jc w:val="both"/>
        <w:rPr>
          <w:rFonts w:eastAsia="Calibri"/>
          <w:lang w:val="es-DO"/>
        </w:rPr>
      </w:pPr>
      <w:r w:rsidRPr="00CB0302">
        <w:rPr>
          <w:rFonts w:eastAsia="Calibri"/>
          <w:lang w:val="es-DO"/>
        </w:rPr>
        <w:t>Estas iniciativas contribuyeron a diversificar la oferta cultural del museo y a consolidar su posicionamiento como espacio vivo, dinámico y conectado con su entorno urbano y social.</w:t>
      </w:r>
    </w:p>
    <w:p w14:paraId="31C20896" w14:textId="77777777" w:rsidR="00ED3FEF" w:rsidRDefault="00ED3FEF" w:rsidP="00ED3FEF">
      <w:pPr>
        <w:spacing w:line="360" w:lineRule="auto"/>
        <w:jc w:val="both"/>
        <w:rPr>
          <w:rFonts w:eastAsia="Calibri"/>
          <w:lang w:val="es-DO"/>
        </w:rPr>
      </w:pPr>
      <w:r w:rsidRPr="00CB0302">
        <w:rPr>
          <w:rFonts w:eastAsia="Calibri"/>
          <w:lang w:val="es-DO"/>
        </w:rPr>
        <w:t xml:space="preserve">Los avances en infraestructura, innovación y accesibilidad se reflejaron directamente en el incremento de la afluencia de público y en el alcance de los programas educativos y culturales. Al cierre de noviembre de 2025, el museo registró más de 62,000 visitantes, proyectándose un cierre anual cercano a 80,000 personas, lo que representa un crecimiento significativo respecto al año anterior. </w:t>
      </w:r>
    </w:p>
    <w:p w14:paraId="7BD03163" w14:textId="77777777" w:rsidR="00ED3FEF" w:rsidRPr="00CB0302" w:rsidRDefault="00ED3FEF" w:rsidP="00ED3FEF">
      <w:pPr>
        <w:spacing w:line="360" w:lineRule="auto"/>
        <w:jc w:val="both"/>
        <w:rPr>
          <w:rFonts w:eastAsia="Calibri"/>
          <w:lang w:val="es-DO"/>
        </w:rPr>
      </w:pPr>
      <w:r w:rsidRPr="00CB0302">
        <w:rPr>
          <w:rFonts w:eastAsia="Calibri"/>
          <w:lang w:val="es-DO"/>
        </w:rPr>
        <w:t xml:space="preserve">A ello se suma el impacto generado por las exposiciones temporales e itinerantes, los programas educativos inclusivos, las actividades de mediación cultural y las iniciativas dirigidas a públicos diversos, </w:t>
      </w:r>
      <w:r w:rsidRPr="00CB0302">
        <w:rPr>
          <w:rFonts w:eastAsia="Calibri"/>
          <w:lang w:val="es-DO"/>
        </w:rPr>
        <w:lastRenderedPageBreak/>
        <w:t>beneficiando a miles de personas tanto dentro como fuera del recinto museístico.</w:t>
      </w:r>
    </w:p>
    <w:p w14:paraId="7D03AD6E" w14:textId="77777777" w:rsidR="00ED3FEF" w:rsidRDefault="00ED3FEF" w:rsidP="00ED3FEF">
      <w:pPr>
        <w:spacing w:line="360" w:lineRule="auto"/>
        <w:jc w:val="both"/>
        <w:rPr>
          <w:rFonts w:eastAsia="Calibri"/>
          <w:lang w:val="es-DO"/>
        </w:rPr>
      </w:pPr>
      <w:r w:rsidRPr="00CB0302">
        <w:rPr>
          <w:rFonts w:eastAsia="Calibri"/>
          <w:lang w:val="es-DO"/>
        </w:rPr>
        <w:t>En conjunto, las acciones desarrolladas durante 2025 evidencian un modelo de gestión museística basado en la planificación, la articulación interinstitucional y la corresponsabilidad, que permitió transformar inversiones en mejoras tangibles para la ciudadanía. El Museo Monumento a los Héroes de la Restauración avanza así hacia una gestión cultural más innovadora, inclusiva y sostenible, en coherencia con los objetivos estratégicos de la Dirección General de Museos y con la visión de una cultura accesible, viva y generadora de valor público.</w:t>
      </w:r>
    </w:p>
    <w:p w14:paraId="11214894" w14:textId="77777777" w:rsidR="00ED3FEF" w:rsidRDefault="00ED3FEF" w:rsidP="00ED3FEF">
      <w:pPr>
        <w:spacing w:line="360" w:lineRule="auto"/>
        <w:jc w:val="both"/>
        <w:rPr>
          <w:rFonts w:eastAsia="Calibri"/>
          <w:lang w:val="es-DO"/>
        </w:rPr>
      </w:pPr>
      <w:r w:rsidRPr="008446C3">
        <w:rPr>
          <w:rFonts w:eastAsia="Calibri"/>
          <w:lang w:val="es-DO"/>
        </w:rPr>
        <w:t>El siguiente cuadro resume las principales intervenciones realizadas, los donantes involucrados, los montos de inversión y el estado de ejecución de cada proyecto.</w:t>
      </w:r>
    </w:p>
    <w:tbl>
      <w:tblPr>
        <w:tblW w:w="7814" w:type="dxa"/>
        <w:tblCellMar>
          <w:left w:w="70" w:type="dxa"/>
          <w:right w:w="70" w:type="dxa"/>
        </w:tblCellMar>
        <w:tblLook w:val="04A0" w:firstRow="1" w:lastRow="0" w:firstColumn="1" w:lastColumn="0" w:noHBand="0" w:noVBand="1"/>
      </w:tblPr>
      <w:tblGrid>
        <w:gridCol w:w="1800"/>
        <w:gridCol w:w="2731"/>
        <w:gridCol w:w="1900"/>
        <w:gridCol w:w="1383"/>
      </w:tblGrid>
      <w:tr w:rsidR="00ED3FEF" w:rsidRPr="00CB0302" w14:paraId="26E0A24E" w14:textId="77777777" w:rsidTr="00D52943">
        <w:trPr>
          <w:trHeight w:val="288"/>
          <w:tblHeader/>
        </w:trPr>
        <w:tc>
          <w:tcPr>
            <w:tcW w:w="18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6303CF16" w14:textId="77777777" w:rsidR="00ED3FEF" w:rsidRPr="00CB0302" w:rsidRDefault="00ED3FEF" w:rsidP="00DC3589">
            <w:pPr>
              <w:spacing w:after="0" w:line="240" w:lineRule="auto"/>
              <w:jc w:val="center"/>
              <w:rPr>
                <w:rFonts w:eastAsia="Times New Roman"/>
                <w:b/>
                <w:bCs/>
                <w:color w:val="FFFFFF" w:themeColor="background1"/>
                <w:spacing w:val="0"/>
                <w:sz w:val="20"/>
                <w:szCs w:val="20"/>
                <w:lang w:val="es-MX" w:eastAsia="es-MX"/>
              </w:rPr>
            </w:pPr>
            <w:r w:rsidRPr="00CB0302">
              <w:rPr>
                <w:rFonts w:eastAsia="Times New Roman"/>
                <w:b/>
                <w:bCs/>
                <w:color w:val="FFFFFF" w:themeColor="background1"/>
                <w:spacing w:val="0"/>
                <w:sz w:val="20"/>
                <w:szCs w:val="20"/>
                <w:lang w:val="es-MX" w:eastAsia="es-MX"/>
              </w:rPr>
              <w:t>Donante / Institución Aliada</w:t>
            </w:r>
          </w:p>
        </w:tc>
        <w:tc>
          <w:tcPr>
            <w:tcW w:w="2731" w:type="dxa"/>
            <w:tcBorders>
              <w:top w:val="single" w:sz="4" w:space="0" w:color="auto"/>
              <w:left w:val="nil"/>
              <w:bottom w:val="single" w:sz="4" w:space="0" w:color="auto"/>
              <w:right w:val="single" w:sz="4" w:space="0" w:color="auto"/>
            </w:tcBorders>
            <w:shd w:val="clear" w:color="000000" w:fill="002060"/>
            <w:noWrap/>
            <w:vAlign w:val="center"/>
            <w:hideMark/>
          </w:tcPr>
          <w:p w14:paraId="242C7D40" w14:textId="77777777" w:rsidR="00ED3FEF" w:rsidRPr="00CB0302" w:rsidRDefault="00ED3FEF" w:rsidP="00DC3589">
            <w:pPr>
              <w:spacing w:after="0" w:line="240" w:lineRule="auto"/>
              <w:jc w:val="center"/>
              <w:rPr>
                <w:rFonts w:eastAsia="Times New Roman"/>
                <w:b/>
                <w:bCs/>
                <w:color w:val="FFFFFF" w:themeColor="background1"/>
                <w:spacing w:val="0"/>
                <w:sz w:val="20"/>
                <w:szCs w:val="20"/>
                <w:lang w:val="es-MX" w:eastAsia="es-MX"/>
              </w:rPr>
            </w:pPr>
            <w:r w:rsidRPr="00CB0302">
              <w:rPr>
                <w:rFonts w:eastAsia="Times New Roman"/>
                <w:b/>
                <w:bCs/>
                <w:color w:val="FFFFFF" w:themeColor="background1"/>
                <w:spacing w:val="0"/>
                <w:sz w:val="20"/>
                <w:szCs w:val="20"/>
                <w:lang w:val="es-MX" w:eastAsia="es-MX"/>
              </w:rPr>
              <w:t>Intervención realizada</w:t>
            </w:r>
          </w:p>
        </w:tc>
        <w:tc>
          <w:tcPr>
            <w:tcW w:w="1900" w:type="dxa"/>
            <w:tcBorders>
              <w:top w:val="single" w:sz="4" w:space="0" w:color="auto"/>
              <w:left w:val="nil"/>
              <w:bottom w:val="single" w:sz="4" w:space="0" w:color="auto"/>
              <w:right w:val="single" w:sz="4" w:space="0" w:color="auto"/>
            </w:tcBorders>
            <w:shd w:val="clear" w:color="000000" w:fill="002060"/>
            <w:noWrap/>
            <w:vAlign w:val="center"/>
            <w:hideMark/>
          </w:tcPr>
          <w:p w14:paraId="59CDB632" w14:textId="77777777" w:rsidR="00ED3FEF" w:rsidRPr="00CB0302" w:rsidRDefault="00ED3FEF" w:rsidP="00DC3589">
            <w:pPr>
              <w:spacing w:after="0" w:line="240" w:lineRule="auto"/>
              <w:jc w:val="center"/>
              <w:rPr>
                <w:rFonts w:eastAsia="Times New Roman"/>
                <w:b/>
                <w:bCs/>
                <w:color w:val="FFFFFF" w:themeColor="background1"/>
                <w:spacing w:val="0"/>
                <w:sz w:val="20"/>
                <w:szCs w:val="20"/>
                <w:lang w:val="es-MX" w:eastAsia="es-MX"/>
              </w:rPr>
            </w:pPr>
            <w:r w:rsidRPr="00CB0302">
              <w:rPr>
                <w:rFonts w:eastAsia="Times New Roman"/>
                <w:b/>
                <w:bCs/>
                <w:color w:val="FFFFFF" w:themeColor="background1"/>
                <w:spacing w:val="0"/>
                <w:sz w:val="20"/>
                <w:szCs w:val="20"/>
                <w:lang w:val="es-MX" w:eastAsia="es-MX"/>
              </w:rPr>
              <w:t>Monto de inversión</w:t>
            </w:r>
          </w:p>
        </w:tc>
        <w:tc>
          <w:tcPr>
            <w:tcW w:w="1383" w:type="dxa"/>
            <w:tcBorders>
              <w:top w:val="single" w:sz="4" w:space="0" w:color="auto"/>
              <w:left w:val="nil"/>
              <w:bottom w:val="single" w:sz="4" w:space="0" w:color="auto"/>
              <w:right w:val="single" w:sz="4" w:space="0" w:color="auto"/>
            </w:tcBorders>
            <w:shd w:val="clear" w:color="000000" w:fill="002060"/>
            <w:noWrap/>
            <w:vAlign w:val="center"/>
            <w:hideMark/>
          </w:tcPr>
          <w:p w14:paraId="43D393F9" w14:textId="77777777" w:rsidR="00ED3FEF" w:rsidRPr="00CB0302" w:rsidRDefault="00ED3FEF" w:rsidP="00DC3589">
            <w:pPr>
              <w:spacing w:after="0" w:line="240" w:lineRule="auto"/>
              <w:jc w:val="center"/>
              <w:rPr>
                <w:rFonts w:eastAsia="Times New Roman"/>
                <w:b/>
                <w:bCs/>
                <w:color w:val="FFFFFF" w:themeColor="background1"/>
                <w:spacing w:val="0"/>
                <w:sz w:val="20"/>
                <w:szCs w:val="20"/>
                <w:lang w:val="es-MX" w:eastAsia="es-MX"/>
              </w:rPr>
            </w:pPr>
            <w:r w:rsidRPr="00CB0302">
              <w:rPr>
                <w:rFonts w:eastAsia="Times New Roman"/>
                <w:b/>
                <w:bCs/>
                <w:color w:val="FFFFFF" w:themeColor="background1"/>
                <w:spacing w:val="0"/>
                <w:sz w:val="20"/>
                <w:szCs w:val="20"/>
                <w:lang w:val="es-MX" w:eastAsia="es-MX"/>
              </w:rPr>
              <w:t>Estatus del proyecto</w:t>
            </w:r>
          </w:p>
        </w:tc>
      </w:tr>
      <w:tr w:rsidR="00ED3FEF" w:rsidRPr="00CB0302" w14:paraId="064B9C21" w14:textId="77777777" w:rsidTr="00DC3589">
        <w:trPr>
          <w:trHeight w:val="1216"/>
        </w:trPr>
        <w:tc>
          <w:tcPr>
            <w:tcW w:w="1800" w:type="dxa"/>
            <w:tcBorders>
              <w:top w:val="nil"/>
              <w:left w:val="single" w:sz="4" w:space="0" w:color="auto"/>
              <w:bottom w:val="single" w:sz="4" w:space="0" w:color="auto"/>
              <w:right w:val="single" w:sz="4" w:space="0" w:color="auto"/>
            </w:tcBorders>
            <w:vAlign w:val="center"/>
            <w:hideMark/>
          </w:tcPr>
          <w:p w14:paraId="12BF64ED"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PROCIGAR</w:t>
            </w:r>
          </w:p>
        </w:tc>
        <w:tc>
          <w:tcPr>
            <w:tcW w:w="2731" w:type="dxa"/>
            <w:tcBorders>
              <w:top w:val="nil"/>
              <w:left w:val="nil"/>
              <w:bottom w:val="single" w:sz="4" w:space="0" w:color="auto"/>
              <w:right w:val="single" w:sz="4" w:space="0" w:color="auto"/>
            </w:tcBorders>
            <w:vAlign w:val="center"/>
            <w:hideMark/>
          </w:tcPr>
          <w:p w14:paraId="538FA2BA"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Cerramiento del lobby y habilitación de Sala Inmersiva con tecnología para experiencias museográficas innovadoras</w:t>
            </w:r>
          </w:p>
        </w:tc>
        <w:tc>
          <w:tcPr>
            <w:tcW w:w="1900" w:type="dxa"/>
            <w:tcBorders>
              <w:top w:val="nil"/>
              <w:left w:val="nil"/>
              <w:bottom w:val="single" w:sz="4" w:space="0" w:color="auto"/>
              <w:right w:val="single" w:sz="4" w:space="0" w:color="auto"/>
            </w:tcBorders>
            <w:vAlign w:val="center"/>
            <w:hideMark/>
          </w:tcPr>
          <w:p w14:paraId="4862901D" w14:textId="77777777" w:rsidR="00ED3FEF" w:rsidRPr="00CB0302" w:rsidRDefault="00ED3FEF" w:rsidP="00DC3589">
            <w:pPr>
              <w:spacing w:after="0" w:line="240" w:lineRule="auto"/>
              <w:jc w:val="center"/>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RD$ 3,141,500.00</w:t>
            </w:r>
          </w:p>
        </w:tc>
        <w:tc>
          <w:tcPr>
            <w:tcW w:w="1383" w:type="dxa"/>
            <w:tcBorders>
              <w:top w:val="nil"/>
              <w:left w:val="nil"/>
              <w:bottom w:val="single" w:sz="4" w:space="0" w:color="auto"/>
              <w:right w:val="single" w:sz="4" w:space="0" w:color="auto"/>
            </w:tcBorders>
            <w:vAlign w:val="center"/>
            <w:hideMark/>
          </w:tcPr>
          <w:p w14:paraId="083F7A83"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Ejecutado (100%)</w:t>
            </w:r>
          </w:p>
        </w:tc>
      </w:tr>
      <w:tr w:rsidR="00ED3FEF" w:rsidRPr="00CB0302" w14:paraId="5451F367" w14:textId="77777777" w:rsidTr="00DC3589">
        <w:trPr>
          <w:trHeight w:val="1233"/>
        </w:trPr>
        <w:tc>
          <w:tcPr>
            <w:tcW w:w="1800" w:type="dxa"/>
            <w:tcBorders>
              <w:top w:val="nil"/>
              <w:left w:val="single" w:sz="4" w:space="0" w:color="auto"/>
              <w:bottom w:val="single" w:sz="4" w:space="0" w:color="auto"/>
              <w:right w:val="single" w:sz="4" w:space="0" w:color="auto"/>
            </w:tcBorders>
            <w:vAlign w:val="center"/>
            <w:hideMark/>
          </w:tcPr>
          <w:p w14:paraId="1DB15BBB"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 xml:space="preserve">PROCIGAR </w:t>
            </w:r>
          </w:p>
        </w:tc>
        <w:tc>
          <w:tcPr>
            <w:tcW w:w="2731" w:type="dxa"/>
            <w:tcBorders>
              <w:top w:val="nil"/>
              <w:left w:val="nil"/>
              <w:bottom w:val="single" w:sz="4" w:space="0" w:color="auto"/>
              <w:right w:val="single" w:sz="4" w:space="0" w:color="auto"/>
            </w:tcBorders>
            <w:vAlign w:val="center"/>
            <w:hideMark/>
          </w:tcPr>
          <w:p w14:paraId="3818E22F"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Donación e instalación de Sala Virtual con tecnología Meta para experiencias inmersivas (proyecto completo)</w:t>
            </w:r>
          </w:p>
        </w:tc>
        <w:tc>
          <w:tcPr>
            <w:tcW w:w="1900" w:type="dxa"/>
            <w:tcBorders>
              <w:top w:val="nil"/>
              <w:left w:val="nil"/>
              <w:bottom w:val="single" w:sz="4" w:space="0" w:color="auto"/>
              <w:right w:val="single" w:sz="4" w:space="0" w:color="auto"/>
            </w:tcBorders>
            <w:vAlign w:val="center"/>
            <w:hideMark/>
          </w:tcPr>
          <w:p w14:paraId="2DAA0954" w14:textId="77777777" w:rsidR="00ED3FEF" w:rsidRPr="00CB0302" w:rsidRDefault="00ED3FEF" w:rsidP="00DC3589">
            <w:pPr>
              <w:spacing w:after="0" w:line="240" w:lineRule="auto"/>
              <w:jc w:val="center"/>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 xml:space="preserve">USD 100,000.00 </w:t>
            </w:r>
            <w:r w:rsidRPr="00CB0302">
              <w:rPr>
                <w:rFonts w:eastAsia="Times New Roman"/>
                <w:i/>
                <w:iCs/>
                <w:color w:val="757171"/>
                <w:spacing w:val="0"/>
                <w:sz w:val="22"/>
                <w:szCs w:val="22"/>
                <w:lang w:val="es-MX" w:eastAsia="es-MX"/>
              </w:rPr>
              <w:t>(≈ USD 50,000 ejecutados en 2025)</w:t>
            </w:r>
          </w:p>
        </w:tc>
        <w:tc>
          <w:tcPr>
            <w:tcW w:w="1383" w:type="dxa"/>
            <w:tcBorders>
              <w:top w:val="nil"/>
              <w:left w:val="nil"/>
              <w:bottom w:val="single" w:sz="4" w:space="0" w:color="auto"/>
              <w:right w:val="single" w:sz="4" w:space="0" w:color="auto"/>
            </w:tcBorders>
            <w:vAlign w:val="center"/>
            <w:hideMark/>
          </w:tcPr>
          <w:p w14:paraId="6F34B6B3"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En ejecución</w:t>
            </w:r>
          </w:p>
        </w:tc>
      </w:tr>
      <w:tr w:rsidR="00ED3FEF" w:rsidRPr="00CB0302" w14:paraId="3F0F30EA" w14:textId="77777777" w:rsidTr="00DC3589">
        <w:trPr>
          <w:trHeight w:val="798"/>
        </w:trPr>
        <w:tc>
          <w:tcPr>
            <w:tcW w:w="1800" w:type="dxa"/>
            <w:tcBorders>
              <w:top w:val="nil"/>
              <w:left w:val="single" w:sz="4" w:space="0" w:color="auto"/>
              <w:bottom w:val="single" w:sz="4" w:space="0" w:color="auto"/>
              <w:right w:val="single" w:sz="4" w:space="0" w:color="auto"/>
            </w:tcBorders>
            <w:vAlign w:val="center"/>
            <w:hideMark/>
          </w:tcPr>
          <w:p w14:paraId="66F3925A"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Banco BHD</w:t>
            </w:r>
          </w:p>
        </w:tc>
        <w:tc>
          <w:tcPr>
            <w:tcW w:w="2731" w:type="dxa"/>
            <w:tcBorders>
              <w:top w:val="nil"/>
              <w:left w:val="nil"/>
              <w:bottom w:val="single" w:sz="4" w:space="0" w:color="auto"/>
              <w:right w:val="single" w:sz="4" w:space="0" w:color="auto"/>
            </w:tcBorders>
            <w:vAlign w:val="center"/>
            <w:hideMark/>
          </w:tcPr>
          <w:p w14:paraId="29428207"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Climatización integral del edificio del Museo Monumento a los Héroes de la Restauración</w:t>
            </w:r>
          </w:p>
        </w:tc>
        <w:tc>
          <w:tcPr>
            <w:tcW w:w="1900" w:type="dxa"/>
            <w:tcBorders>
              <w:top w:val="nil"/>
              <w:left w:val="nil"/>
              <w:bottom w:val="single" w:sz="4" w:space="0" w:color="auto"/>
              <w:right w:val="single" w:sz="4" w:space="0" w:color="auto"/>
            </w:tcBorders>
            <w:vAlign w:val="center"/>
            <w:hideMark/>
          </w:tcPr>
          <w:p w14:paraId="77831FA1" w14:textId="77777777" w:rsidR="00ED3FEF" w:rsidRPr="00CB0302" w:rsidRDefault="00ED3FEF" w:rsidP="00DC3589">
            <w:pPr>
              <w:spacing w:after="0" w:line="240" w:lineRule="auto"/>
              <w:jc w:val="right"/>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USD 150,000.00</w:t>
            </w:r>
          </w:p>
        </w:tc>
        <w:tc>
          <w:tcPr>
            <w:tcW w:w="1383" w:type="dxa"/>
            <w:tcBorders>
              <w:top w:val="nil"/>
              <w:left w:val="nil"/>
              <w:bottom w:val="single" w:sz="4" w:space="0" w:color="auto"/>
              <w:right w:val="single" w:sz="4" w:space="0" w:color="auto"/>
            </w:tcBorders>
            <w:vAlign w:val="center"/>
            <w:hideMark/>
          </w:tcPr>
          <w:p w14:paraId="7C616290"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En ejecución (25%)</w:t>
            </w:r>
          </w:p>
        </w:tc>
      </w:tr>
      <w:tr w:rsidR="00ED3FEF" w:rsidRPr="00CB0302" w14:paraId="19B42996" w14:textId="77777777" w:rsidTr="00DC3589">
        <w:trPr>
          <w:trHeight w:val="1479"/>
        </w:trPr>
        <w:tc>
          <w:tcPr>
            <w:tcW w:w="1800" w:type="dxa"/>
            <w:tcBorders>
              <w:top w:val="nil"/>
              <w:left w:val="single" w:sz="4" w:space="0" w:color="auto"/>
              <w:bottom w:val="single" w:sz="4" w:space="0" w:color="auto"/>
              <w:right w:val="single" w:sz="4" w:space="0" w:color="auto"/>
            </w:tcBorders>
            <w:vAlign w:val="center"/>
            <w:hideMark/>
          </w:tcPr>
          <w:p w14:paraId="44D44B90"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Asociación Popular de Ahorros y Préstamos</w:t>
            </w:r>
          </w:p>
        </w:tc>
        <w:tc>
          <w:tcPr>
            <w:tcW w:w="2731" w:type="dxa"/>
            <w:tcBorders>
              <w:top w:val="nil"/>
              <w:left w:val="nil"/>
              <w:bottom w:val="single" w:sz="4" w:space="0" w:color="auto"/>
              <w:right w:val="single" w:sz="4" w:space="0" w:color="auto"/>
            </w:tcBorders>
            <w:vAlign w:val="center"/>
            <w:hideMark/>
          </w:tcPr>
          <w:p w14:paraId="1F63A2E3"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Mejoramiento de la accesibilidad universal del museo (adecuaciones físicas y eliminación de barreras arquitectónicas)</w:t>
            </w:r>
          </w:p>
        </w:tc>
        <w:tc>
          <w:tcPr>
            <w:tcW w:w="1900" w:type="dxa"/>
            <w:tcBorders>
              <w:top w:val="nil"/>
              <w:left w:val="nil"/>
              <w:bottom w:val="single" w:sz="4" w:space="0" w:color="auto"/>
              <w:right w:val="single" w:sz="4" w:space="0" w:color="auto"/>
            </w:tcBorders>
            <w:vAlign w:val="center"/>
            <w:hideMark/>
          </w:tcPr>
          <w:p w14:paraId="4C6CB48F" w14:textId="77777777" w:rsidR="00ED3FEF" w:rsidRPr="00CB0302" w:rsidRDefault="00ED3FEF" w:rsidP="00DC3589">
            <w:pPr>
              <w:spacing w:after="0" w:line="240" w:lineRule="auto"/>
              <w:jc w:val="right"/>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 xml:space="preserve">RD$ 2,000,000.00 </w:t>
            </w:r>
            <w:r w:rsidRPr="00CB0302">
              <w:rPr>
                <w:rFonts w:eastAsia="Times New Roman"/>
                <w:i/>
                <w:iCs/>
                <w:color w:val="757171"/>
                <w:spacing w:val="0"/>
                <w:sz w:val="22"/>
                <w:szCs w:val="22"/>
                <w:lang w:val="es-MX" w:eastAsia="es-MX"/>
              </w:rPr>
              <w:t>(proyección total &gt; RD$ 20,000,000)</w:t>
            </w:r>
          </w:p>
        </w:tc>
        <w:tc>
          <w:tcPr>
            <w:tcW w:w="1383" w:type="dxa"/>
            <w:tcBorders>
              <w:top w:val="nil"/>
              <w:left w:val="nil"/>
              <w:bottom w:val="single" w:sz="4" w:space="0" w:color="auto"/>
              <w:right w:val="single" w:sz="4" w:space="0" w:color="auto"/>
            </w:tcBorders>
            <w:vAlign w:val="center"/>
            <w:hideMark/>
          </w:tcPr>
          <w:p w14:paraId="0157A07A"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En ejecución (10%)</w:t>
            </w:r>
          </w:p>
        </w:tc>
      </w:tr>
      <w:tr w:rsidR="00ED3FEF" w:rsidRPr="00CB0302" w14:paraId="61EF1EB5" w14:textId="77777777" w:rsidTr="00DC3589">
        <w:trPr>
          <w:trHeight w:val="996"/>
        </w:trPr>
        <w:tc>
          <w:tcPr>
            <w:tcW w:w="1800" w:type="dxa"/>
            <w:tcBorders>
              <w:top w:val="nil"/>
              <w:left w:val="single" w:sz="4" w:space="0" w:color="auto"/>
              <w:bottom w:val="single" w:sz="4" w:space="0" w:color="auto"/>
              <w:right w:val="single" w:sz="4" w:space="0" w:color="auto"/>
            </w:tcBorders>
            <w:vAlign w:val="center"/>
            <w:hideMark/>
          </w:tcPr>
          <w:p w14:paraId="2FAC1AFD"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lastRenderedPageBreak/>
              <w:t>Vicepresidencia de la República</w:t>
            </w:r>
          </w:p>
        </w:tc>
        <w:tc>
          <w:tcPr>
            <w:tcW w:w="2731" w:type="dxa"/>
            <w:tcBorders>
              <w:top w:val="nil"/>
              <w:left w:val="nil"/>
              <w:bottom w:val="single" w:sz="4" w:space="0" w:color="auto"/>
              <w:right w:val="single" w:sz="4" w:space="0" w:color="auto"/>
            </w:tcBorders>
            <w:vAlign w:val="center"/>
            <w:hideMark/>
          </w:tcPr>
          <w:p w14:paraId="7894236D"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Revegetación y acondicionamiento integral de los jardines del monumento</w:t>
            </w:r>
          </w:p>
        </w:tc>
        <w:tc>
          <w:tcPr>
            <w:tcW w:w="1900" w:type="dxa"/>
            <w:tcBorders>
              <w:top w:val="nil"/>
              <w:left w:val="nil"/>
              <w:bottom w:val="single" w:sz="4" w:space="0" w:color="auto"/>
              <w:right w:val="single" w:sz="4" w:space="0" w:color="auto"/>
            </w:tcBorders>
            <w:vAlign w:val="center"/>
            <w:hideMark/>
          </w:tcPr>
          <w:p w14:paraId="6620080A" w14:textId="77777777" w:rsidR="00ED3FEF" w:rsidRPr="00CB0302" w:rsidRDefault="00ED3FEF" w:rsidP="00DC3589">
            <w:pPr>
              <w:spacing w:after="0" w:line="240" w:lineRule="auto"/>
              <w:jc w:val="right"/>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RD$ 4,200,000.00</w:t>
            </w:r>
          </w:p>
        </w:tc>
        <w:tc>
          <w:tcPr>
            <w:tcW w:w="1383" w:type="dxa"/>
            <w:tcBorders>
              <w:top w:val="nil"/>
              <w:left w:val="nil"/>
              <w:bottom w:val="single" w:sz="4" w:space="0" w:color="auto"/>
              <w:right w:val="single" w:sz="4" w:space="0" w:color="auto"/>
            </w:tcBorders>
            <w:vAlign w:val="center"/>
            <w:hideMark/>
          </w:tcPr>
          <w:p w14:paraId="75E15E64"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Ejecutado (100%)</w:t>
            </w:r>
          </w:p>
        </w:tc>
      </w:tr>
      <w:tr w:rsidR="00ED3FEF" w:rsidRPr="00CB0302" w14:paraId="392B78AF" w14:textId="77777777" w:rsidTr="00DC3589">
        <w:trPr>
          <w:trHeight w:val="1124"/>
        </w:trPr>
        <w:tc>
          <w:tcPr>
            <w:tcW w:w="1800" w:type="dxa"/>
            <w:tcBorders>
              <w:top w:val="nil"/>
              <w:left w:val="single" w:sz="4" w:space="0" w:color="auto"/>
              <w:bottom w:val="single" w:sz="4" w:space="0" w:color="auto"/>
              <w:right w:val="single" w:sz="4" w:space="0" w:color="auto"/>
            </w:tcBorders>
            <w:vAlign w:val="center"/>
            <w:hideMark/>
          </w:tcPr>
          <w:p w14:paraId="2D79F3AD"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Fideicomiso de Transporte Masivo / Vicepresidencia de la República</w:t>
            </w:r>
          </w:p>
        </w:tc>
        <w:tc>
          <w:tcPr>
            <w:tcW w:w="2731" w:type="dxa"/>
            <w:tcBorders>
              <w:top w:val="nil"/>
              <w:left w:val="nil"/>
              <w:bottom w:val="single" w:sz="4" w:space="0" w:color="auto"/>
              <w:right w:val="single" w:sz="4" w:space="0" w:color="auto"/>
            </w:tcBorders>
            <w:vAlign w:val="center"/>
            <w:hideMark/>
          </w:tcPr>
          <w:p w14:paraId="3A85F93B"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Construcción de pozo tubular para mantenimiento de jardines y sostenibilidad hídrica del museo</w:t>
            </w:r>
          </w:p>
        </w:tc>
        <w:tc>
          <w:tcPr>
            <w:tcW w:w="1900" w:type="dxa"/>
            <w:tcBorders>
              <w:top w:val="nil"/>
              <w:left w:val="nil"/>
              <w:bottom w:val="single" w:sz="4" w:space="0" w:color="auto"/>
              <w:right w:val="single" w:sz="4" w:space="0" w:color="auto"/>
            </w:tcBorders>
            <w:vAlign w:val="center"/>
            <w:hideMark/>
          </w:tcPr>
          <w:p w14:paraId="40B72DEA" w14:textId="77777777" w:rsidR="00ED3FEF" w:rsidRPr="00CB0302" w:rsidRDefault="00ED3FEF" w:rsidP="00DC3589">
            <w:pPr>
              <w:spacing w:after="0" w:line="240" w:lineRule="auto"/>
              <w:jc w:val="right"/>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RD$ 1,000,000.00</w:t>
            </w:r>
          </w:p>
        </w:tc>
        <w:tc>
          <w:tcPr>
            <w:tcW w:w="1383" w:type="dxa"/>
            <w:tcBorders>
              <w:top w:val="nil"/>
              <w:left w:val="nil"/>
              <w:bottom w:val="single" w:sz="4" w:space="0" w:color="auto"/>
              <w:right w:val="single" w:sz="4" w:space="0" w:color="auto"/>
            </w:tcBorders>
            <w:vAlign w:val="center"/>
            <w:hideMark/>
          </w:tcPr>
          <w:p w14:paraId="4E694FE9"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Ejecutado (100%)</w:t>
            </w:r>
          </w:p>
        </w:tc>
      </w:tr>
      <w:tr w:rsidR="00ED3FEF" w:rsidRPr="00CB0302" w14:paraId="6F04D14D" w14:textId="77777777" w:rsidTr="00DC3589">
        <w:trPr>
          <w:trHeight w:val="1068"/>
        </w:trPr>
        <w:tc>
          <w:tcPr>
            <w:tcW w:w="1800" w:type="dxa"/>
            <w:tcBorders>
              <w:top w:val="nil"/>
              <w:left w:val="single" w:sz="4" w:space="0" w:color="auto"/>
              <w:bottom w:val="single" w:sz="4" w:space="0" w:color="auto"/>
              <w:right w:val="single" w:sz="4" w:space="0" w:color="auto"/>
            </w:tcBorders>
            <w:vAlign w:val="center"/>
            <w:hideMark/>
          </w:tcPr>
          <w:p w14:paraId="53C19FA6"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MITUR / APEDI / Compromiso Santiago</w:t>
            </w:r>
          </w:p>
        </w:tc>
        <w:tc>
          <w:tcPr>
            <w:tcW w:w="2731" w:type="dxa"/>
            <w:tcBorders>
              <w:top w:val="nil"/>
              <w:left w:val="nil"/>
              <w:bottom w:val="single" w:sz="4" w:space="0" w:color="auto"/>
              <w:right w:val="single" w:sz="4" w:space="0" w:color="auto"/>
            </w:tcBorders>
            <w:vAlign w:val="center"/>
            <w:hideMark/>
          </w:tcPr>
          <w:p w14:paraId="4616877C"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Desarrollo de 17 proyectos para mejorar la experiencia del visitante (infraestructura, señalización, contenidos y servicios)</w:t>
            </w:r>
          </w:p>
        </w:tc>
        <w:tc>
          <w:tcPr>
            <w:tcW w:w="1900" w:type="dxa"/>
            <w:tcBorders>
              <w:top w:val="nil"/>
              <w:left w:val="nil"/>
              <w:bottom w:val="single" w:sz="4" w:space="0" w:color="auto"/>
              <w:right w:val="single" w:sz="4" w:space="0" w:color="auto"/>
            </w:tcBorders>
            <w:vAlign w:val="center"/>
            <w:hideMark/>
          </w:tcPr>
          <w:p w14:paraId="69587444" w14:textId="77777777" w:rsidR="00ED3FEF" w:rsidRPr="00CB0302" w:rsidRDefault="00ED3FEF" w:rsidP="00DC3589">
            <w:pPr>
              <w:spacing w:after="0" w:line="240" w:lineRule="auto"/>
              <w:jc w:val="right"/>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RD$ 60,000,000.00</w:t>
            </w:r>
          </w:p>
        </w:tc>
        <w:tc>
          <w:tcPr>
            <w:tcW w:w="1383" w:type="dxa"/>
            <w:tcBorders>
              <w:top w:val="nil"/>
              <w:left w:val="nil"/>
              <w:bottom w:val="single" w:sz="4" w:space="0" w:color="auto"/>
              <w:right w:val="single" w:sz="4" w:space="0" w:color="auto"/>
            </w:tcBorders>
            <w:vAlign w:val="center"/>
            <w:hideMark/>
          </w:tcPr>
          <w:p w14:paraId="017134D7" w14:textId="77777777" w:rsidR="00ED3FEF" w:rsidRPr="00CB0302" w:rsidRDefault="00ED3FEF" w:rsidP="00DC3589">
            <w:pPr>
              <w:spacing w:after="0" w:line="240" w:lineRule="auto"/>
              <w:rPr>
                <w:rFonts w:eastAsia="Times New Roman"/>
                <w:color w:val="757171"/>
                <w:spacing w:val="0"/>
                <w:sz w:val="22"/>
                <w:szCs w:val="22"/>
                <w:lang w:val="es-MX" w:eastAsia="es-MX"/>
              </w:rPr>
            </w:pPr>
            <w:r w:rsidRPr="00CB0302">
              <w:rPr>
                <w:rFonts w:eastAsia="Times New Roman"/>
                <w:color w:val="757171"/>
                <w:spacing w:val="0"/>
                <w:sz w:val="22"/>
                <w:szCs w:val="22"/>
                <w:lang w:val="es-MX" w:eastAsia="es-MX"/>
              </w:rPr>
              <w:t>En ejecución (20%)</w:t>
            </w:r>
          </w:p>
        </w:tc>
      </w:tr>
    </w:tbl>
    <w:p w14:paraId="26DE75D4" w14:textId="77777777" w:rsidR="00ED3FEF" w:rsidRPr="00913C07" w:rsidRDefault="00ED3FEF" w:rsidP="00ED3FEF">
      <w:pPr>
        <w:spacing w:line="360" w:lineRule="auto"/>
        <w:jc w:val="both"/>
        <w:rPr>
          <w:rFonts w:eastAsia="Calibri"/>
          <w:i/>
          <w:iCs/>
          <w:sz w:val="20"/>
          <w:szCs w:val="20"/>
          <w:lang w:val="es-DO"/>
        </w:rPr>
      </w:pPr>
      <w:r w:rsidRPr="00913C07">
        <w:rPr>
          <w:rFonts w:eastAsia="Calibri"/>
          <w:i/>
          <w:iCs/>
          <w:sz w:val="20"/>
          <w:szCs w:val="20"/>
          <w:lang w:val="es-DO"/>
        </w:rPr>
        <w:t>Cuadro 2</w:t>
      </w:r>
      <w:r>
        <w:rPr>
          <w:rFonts w:eastAsia="Calibri"/>
          <w:i/>
          <w:iCs/>
          <w:sz w:val="20"/>
          <w:szCs w:val="20"/>
          <w:lang w:val="es-DO"/>
        </w:rPr>
        <w:t>4</w:t>
      </w:r>
      <w:r w:rsidRPr="00913C07">
        <w:rPr>
          <w:rFonts w:eastAsia="Calibri"/>
          <w:i/>
          <w:iCs/>
          <w:sz w:val="20"/>
          <w:szCs w:val="20"/>
          <w:lang w:val="es-DO"/>
        </w:rPr>
        <w:t xml:space="preserve">. </w:t>
      </w:r>
      <w:r>
        <w:rPr>
          <w:rFonts w:eastAsia="Calibri"/>
          <w:i/>
          <w:iCs/>
          <w:sz w:val="20"/>
          <w:szCs w:val="20"/>
          <w:lang w:val="es-DO"/>
        </w:rPr>
        <w:t>Inversión proyecto de innovación museográfica Museo Monumento Héroes de la Restauración</w:t>
      </w:r>
      <w:r w:rsidRPr="00913C07">
        <w:rPr>
          <w:rFonts w:eastAsia="Calibri"/>
          <w:i/>
          <w:iCs/>
          <w:sz w:val="20"/>
          <w:szCs w:val="20"/>
          <w:lang w:val="es-DO"/>
        </w:rPr>
        <w:t>.</w:t>
      </w:r>
    </w:p>
    <w:p w14:paraId="3F5B18F6" w14:textId="77777777" w:rsidR="00ED3FEF" w:rsidRPr="006C2A50" w:rsidRDefault="00ED3FEF" w:rsidP="00ED3FEF">
      <w:pPr>
        <w:spacing w:line="360" w:lineRule="auto"/>
        <w:jc w:val="center"/>
        <w:rPr>
          <w:rFonts w:eastAsia="Calibri"/>
          <w:b/>
          <w:bCs/>
          <w:lang w:val="es-DO"/>
        </w:rPr>
      </w:pPr>
      <w:r w:rsidRPr="006C2A50">
        <w:rPr>
          <w:rFonts w:eastAsia="Calibri"/>
          <w:b/>
          <w:bCs/>
          <w:lang w:val="es-DO"/>
        </w:rPr>
        <w:t>Proyectos Nuevos Museos</w:t>
      </w:r>
    </w:p>
    <w:p w14:paraId="24D97221" w14:textId="77777777" w:rsidR="00ED3FEF" w:rsidRDefault="00ED3FEF" w:rsidP="00ED3FEF">
      <w:pPr>
        <w:spacing w:line="360" w:lineRule="auto"/>
        <w:contextualSpacing/>
        <w:jc w:val="both"/>
        <w:rPr>
          <w:rFonts w:eastAsia="Calibri"/>
          <w:b/>
          <w:bCs/>
          <w:lang w:val="es-ES"/>
        </w:rPr>
      </w:pPr>
      <w:r w:rsidRPr="00522543">
        <w:rPr>
          <w:rFonts w:eastAsia="Calibri"/>
          <w:b/>
          <w:bCs/>
          <w:lang w:val="es-ES"/>
        </w:rPr>
        <w:t>Proyecto de Construcción del Museo de Historia y Tradiciones de Santiago “Alejandro E. Grullón”</w:t>
      </w:r>
    </w:p>
    <w:p w14:paraId="19EC203A" w14:textId="77777777" w:rsidR="00ED3FEF" w:rsidRDefault="00ED3FEF" w:rsidP="00ED3FEF">
      <w:pPr>
        <w:spacing w:line="360" w:lineRule="auto"/>
        <w:contextualSpacing/>
        <w:jc w:val="both"/>
        <w:rPr>
          <w:rFonts w:eastAsia="Calibri"/>
          <w:lang w:val="es-ES"/>
        </w:rPr>
      </w:pPr>
      <w:r w:rsidRPr="009432E1">
        <w:rPr>
          <w:rFonts w:eastAsia="Calibri"/>
          <w:lang w:val="es-ES"/>
        </w:rPr>
        <w:t xml:space="preserve">Durante el año 2025, la Dirección General de Museos dio continuidad al Proyecto de Construcción del Museo de Historia y Tradiciones de Santiago “Alejandro E. Grullón”, concebido como una iniciativa estratégica para fortalecer la oferta museística de la región Norte y poner en valor el patrimonio histórico, urbano y social de la ciudad de Santiago. </w:t>
      </w:r>
    </w:p>
    <w:p w14:paraId="129D078C" w14:textId="77777777" w:rsidR="00ED3FEF" w:rsidRPr="009432E1" w:rsidRDefault="00ED3FEF" w:rsidP="00ED3FEF">
      <w:pPr>
        <w:spacing w:line="360" w:lineRule="auto"/>
        <w:contextualSpacing/>
        <w:jc w:val="both"/>
        <w:rPr>
          <w:rFonts w:eastAsia="Calibri"/>
          <w:lang w:val="es-ES"/>
        </w:rPr>
      </w:pPr>
      <w:r w:rsidRPr="009432E1">
        <w:rPr>
          <w:rFonts w:eastAsia="Calibri"/>
          <w:lang w:val="es-ES"/>
        </w:rPr>
        <w:t>El proyecto se desarrolla en el antiguo edificio de Telégrafos y Correos (INPOSDOM), ubicado en la calle El Sol esquina San Luis, inmueble de alto valor patrimonial cuya reutilización con fines culturales responde a criterios de conservación adaptativa y revitalización del centro histórico.</w:t>
      </w:r>
    </w:p>
    <w:p w14:paraId="2D373B5C" w14:textId="77777777" w:rsidR="00ED3FEF" w:rsidRDefault="00ED3FEF" w:rsidP="00ED3FEF">
      <w:pPr>
        <w:spacing w:line="360" w:lineRule="auto"/>
        <w:contextualSpacing/>
        <w:jc w:val="both"/>
        <w:rPr>
          <w:rFonts w:eastAsia="Calibri"/>
          <w:lang w:val="es-ES"/>
        </w:rPr>
      </w:pPr>
      <w:r w:rsidRPr="009432E1">
        <w:rPr>
          <w:rFonts w:eastAsia="Calibri"/>
          <w:lang w:val="es-ES"/>
        </w:rPr>
        <w:t xml:space="preserve">En el componente arquitectónico y estructural, durante 2025 se realizaron acciones preparatorias fundamentales para la intervención del inmueble. Se ejecutaron trabajos de limpieza y liberación de espacios, particularmente en el segundo nivel del edificio, con una inversión de </w:t>
      </w:r>
      <w:r w:rsidRPr="009432E1">
        <w:rPr>
          <w:rFonts w:eastAsia="Calibri"/>
          <w:lang w:val="es-ES"/>
        </w:rPr>
        <w:lastRenderedPageBreak/>
        <w:t>RD$849,619.30, alcanzando aproximadamente un 40%</w:t>
      </w:r>
      <w:r>
        <w:rPr>
          <w:rFonts w:eastAsia="Calibri"/>
          <w:lang w:val="es-ES"/>
        </w:rPr>
        <w:t xml:space="preserve"> </w:t>
      </w:r>
      <w:r w:rsidRPr="009432E1">
        <w:rPr>
          <w:rFonts w:eastAsia="Calibri"/>
          <w:lang w:val="es-ES"/>
        </w:rPr>
        <w:t xml:space="preserve">de avance </w:t>
      </w:r>
      <w:r>
        <w:rPr>
          <w:rFonts w:eastAsia="Calibri"/>
          <w:lang w:val="es-ES"/>
        </w:rPr>
        <w:t>de los espacios</w:t>
      </w:r>
      <w:r w:rsidRPr="009432E1">
        <w:rPr>
          <w:rFonts w:eastAsia="Calibri"/>
          <w:lang w:val="es-ES"/>
        </w:rPr>
        <w:t xml:space="preserve"> </w:t>
      </w:r>
      <w:r>
        <w:rPr>
          <w:rFonts w:eastAsia="Calibri"/>
          <w:lang w:val="es-ES"/>
        </w:rPr>
        <w:t xml:space="preserve">del inmueble </w:t>
      </w:r>
      <w:r w:rsidRPr="009432E1">
        <w:rPr>
          <w:rFonts w:eastAsia="Calibri"/>
          <w:lang w:val="es-ES"/>
        </w:rPr>
        <w:t xml:space="preserve">en esta fase. </w:t>
      </w:r>
    </w:p>
    <w:p w14:paraId="3AED066C" w14:textId="77777777" w:rsidR="00ED3FEF" w:rsidRPr="009432E1" w:rsidRDefault="00ED3FEF" w:rsidP="00ED3FEF">
      <w:pPr>
        <w:spacing w:line="360" w:lineRule="auto"/>
        <w:contextualSpacing/>
        <w:jc w:val="both"/>
        <w:rPr>
          <w:rFonts w:eastAsia="Calibri"/>
          <w:lang w:val="es-ES"/>
        </w:rPr>
      </w:pPr>
      <w:r w:rsidRPr="009432E1">
        <w:rPr>
          <w:rFonts w:eastAsia="Calibri"/>
          <w:lang w:val="es-ES"/>
        </w:rPr>
        <w:t>Asimismo, se realizó el estudio de vulnerabilidad estructural de nivel 2, a cargo de la ONESVIE, por un monto de RD$631,938.45, el cual incluyó levantamiento arquitectónico, elaboración de planos y la formulación de una propuesta de reforzamiento estructural. Esta propuesta alcanzó un 85% de avance al cierre de 2025, constituyéndose en un insumo técnico clave para orientar las intervenciones constructivas previstas.</w:t>
      </w:r>
    </w:p>
    <w:p w14:paraId="321C3A72" w14:textId="77777777" w:rsidR="00ED3FEF" w:rsidRPr="009432E1" w:rsidRDefault="00ED3FEF" w:rsidP="00ED3FEF">
      <w:pPr>
        <w:spacing w:line="360" w:lineRule="auto"/>
        <w:contextualSpacing/>
        <w:jc w:val="both"/>
        <w:rPr>
          <w:rFonts w:eastAsia="Calibri"/>
          <w:lang w:val="es-ES"/>
        </w:rPr>
      </w:pPr>
      <w:r w:rsidRPr="009432E1">
        <w:rPr>
          <w:rFonts w:eastAsia="Calibri"/>
          <w:lang w:val="es-ES"/>
        </w:rPr>
        <w:t>De manera paralela, se avanzó en la definición de la distribución funcional de los espacios, estableciendo la zonificación preliminar del museo, la organización de áreas expositivas, técnicas, administrativas y de servicios al público, así como la propuesta inicial del recorrido museográfico, alineada con los criterios de accesibilidad universal y operación museística contemporánea.</w:t>
      </w:r>
    </w:p>
    <w:p w14:paraId="7FFAFFC0" w14:textId="77777777" w:rsidR="00ED3FEF" w:rsidRDefault="00ED3FEF" w:rsidP="00ED3FEF">
      <w:pPr>
        <w:spacing w:line="360" w:lineRule="auto"/>
        <w:contextualSpacing/>
        <w:jc w:val="both"/>
        <w:rPr>
          <w:rFonts w:eastAsia="Calibri"/>
          <w:lang w:val="es-ES"/>
        </w:rPr>
      </w:pPr>
      <w:r w:rsidRPr="009432E1">
        <w:rPr>
          <w:rFonts w:eastAsia="Calibri"/>
          <w:lang w:val="es-ES"/>
        </w:rPr>
        <w:t xml:space="preserve">En el componente museológico y museográfico, durante 2025 se elaboraron los guiones museológicos, con una inversión de RD$180,000.00, los cuales fueron entregados y se encuentran en proceso de revisión técnica por parte de la DGM. </w:t>
      </w:r>
    </w:p>
    <w:p w14:paraId="5B326EDF" w14:textId="77777777" w:rsidR="00ED3FEF" w:rsidRPr="009432E1" w:rsidRDefault="00ED3FEF" w:rsidP="00ED3FEF">
      <w:pPr>
        <w:spacing w:line="360" w:lineRule="auto"/>
        <w:contextualSpacing/>
        <w:jc w:val="both"/>
        <w:rPr>
          <w:rFonts w:eastAsia="Calibri"/>
          <w:lang w:val="es-ES"/>
        </w:rPr>
      </w:pPr>
      <w:r w:rsidRPr="009432E1">
        <w:rPr>
          <w:rFonts w:eastAsia="Calibri"/>
          <w:lang w:val="es-ES"/>
        </w:rPr>
        <w:t>De igual modo, se avanzó de manera significativa en la conceptualización del proyecto museográfico, alcanzando aproximadamente un 75 % de desarrollo, incluyendo la definición del discurso interpretativo, la estructura temática del museo y las bases para el diseño de las salas expositivas, la colección y los recursos de mediación.</w:t>
      </w:r>
    </w:p>
    <w:p w14:paraId="38D4403F" w14:textId="77777777" w:rsidR="00ED3FEF" w:rsidRDefault="00ED3FEF" w:rsidP="00ED3FEF">
      <w:pPr>
        <w:spacing w:line="360" w:lineRule="auto"/>
        <w:contextualSpacing/>
        <w:jc w:val="both"/>
        <w:rPr>
          <w:rFonts w:eastAsia="Calibri"/>
          <w:lang w:val="es-ES"/>
        </w:rPr>
      </w:pPr>
      <w:r w:rsidRPr="009432E1">
        <w:rPr>
          <w:rFonts w:eastAsia="Calibri"/>
          <w:lang w:val="es-ES"/>
        </w:rPr>
        <w:t xml:space="preserve">En el ámbito financiero, el proyecto inició formalmente en enero de 2025 con un aporte inicial de RD$20 millones del Grupo Popular, destinados a financiar la fase de conceptualización, estudios técnicos y diseño museográfico. </w:t>
      </w:r>
    </w:p>
    <w:p w14:paraId="41B1858E" w14:textId="77777777" w:rsidR="00ED3FEF" w:rsidRPr="009432E1" w:rsidRDefault="00ED3FEF" w:rsidP="00ED3FEF">
      <w:pPr>
        <w:spacing w:line="360" w:lineRule="auto"/>
        <w:contextualSpacing/>
        <w:jc w:val="both"/>
        <w:rPr>
          <w:rFonts w:eastAsia="Calibri"/>
          <w:lang w:val="es-ES"/>
        </w:rPr>
      </w:pPr>
      <w:r w:rsidRPr="009432E1">
        <w:rPr>
          <w:rFonts w:eastAsia="Calibri"/>
          <w:lang w:val="es-ES"/>
        </w:rPr>
        <w:lastRenderedPageBreak/>
        <w:t>El presupuesto técnico estimado del proyecto asciende a RD$83,493,328.47, incluyendo imprevistos, de los cuales durante 2025 se ejecutaron y pagaron los componentes correspondientes a estudios técnicos, guiones museológicos y trabajos iniciales de adecuación del inmueble, sentando las bases para las fases constructivas y museográficas posteriores.</w:t>
      </w:r>
    </w:p>
    <w:p w14:paraId="525D7C2A" w14:textId="77777777" w:rsidR="00ED3FEF" w:rsidRDefault="00ED3FEF" w:rsidP="00ED3FEF">
      <w:pPr>
        <w:spacing w:line="360" w:lineRule="auto"/>
        <w:contextualSpacing/>
        <w:jc w:val="both"/>
        <w:rPr>
          <w:rFonts w:eastAsia="Calibri"/>
          <w:lang w:val="es-ES"/>
        </w:rPr>
      </w:pPr>
      <w:r w:rsidRPr="009432E1">
        <w:rPr>
          <w:rFonts w:eastAsia="Calibri"/>
          <w:lang w:val="es-ES"/>
        </w:rPr>
        <w:t xml:space="preserve">En el componente legal e institucional, durante 2025 se realizaron los trámites necesarios para el traspaso del inmueble al Ministerio de Cultura, proceso indispensable para formalizar la intervención pública del edificio y asegurar su sostenibilidad jurídica y administrativa. </w:t>
      </w:r>
    </w:p>
    <w:p w14:paraId="67714074" w14:textId="77777777" w:rsidR="00ED3FEF" w:rsidRPr="009432E1" w:rsidRDefault="00ED3FEF" w:rsidP="00ED3FEF">
      <w:pPr>
        <w:spacing w:line="360" w:lineRule="auto"/>
        <w:contextualSpacing/>
        <w:jc w:val="both"/>
        <w:rPr>
          <w:rFonts w:eastAsia="Calibri"/>
          <w:lang w:val="es-ES"/>
        </w:rPr>
      </w:pPr>
      <w:r w:rsidRPr="009432E1">
        <w:rPr>
          <w:rFonts w:eastAsia="Calibri"/>
          <w:lang w:val="es-ES"/>
        </w:rPr>
        <w:t>De forma complementaria, la Dirección General de Museos gestionó activamente la articulación de recursos adicionales, mediante coordinaciones con entidades del sector público y privado, con el objetivo de completar el financiamiento requerido para las etapas de restauración arquitectónica, museografía y equipamiento.</w:t>
      </w:r>
    </w:p>
    <w:p w14:paraId="7EC2A33D" w14:textId="77777777" w:rsidR="00ED3FEF" w:rsidRDefault="00ED3FEF" w:rsidP="00ED3FEF">
      <w:pPr>
        <w:spacing w:line="360" w:lineRule="auto"/>
        <w:contextualSpacing/>
        <w:jc w:val="both"/>
        <w:rPr>
          <w:rFonts w:eastAsia="Calibri"/>
          <w:lang w:val="es-ES"/>
        </w:rPr>
      </w:pPr>
      <w:r w:rsidRPr="009432E1">
        <w:rPr>
          <w:rFonts w:eastAsia="Calibri"/>
          <w:lang w:val="es-ES"/>
        </w:rPr>
        <w:t>En síntesis, las acciones desarrolladas durante 2025 permitieron consolidar la fase preparatoria del proyecto, garantizando las condiciones técnicas, conceptuales y legales necesarias para su ejecución integral. La conclusión del proyecto y la apertura del Museo de Historia y Tradiciones de Santiago “Alejandro E. Grullón” se prevé para finales del año 2026, proyectándose como un nuevo referente museístico regional orientado a la preservación de la memoria histórica, la educación patrimonial y el fortalecimiento de la identidad cultural dominicana.</w:t>
      </w:r>
    </w:p>
    <w:p w14:paraId="0BFD5A18" w14:textId="77777777" w:rsidR="00ED3FEF" w:rsidRPr="009432E1" w:rsidRDefault="00ED3FEF" w:rsidP="00ED3FEF">
      <w:pPr>
        <w:spacing w:line="360" w:lineRule="auto"/>
        <w:contextualSpacing/>
        <w:jc w:val="both"/>
        <w:rPr>
          <w:rFonts w:eastAsia="Calibri"/>
          <w:b/>
          <w:bCs/>
          <w:lang w:val="es-ES"/>
        </w:rPr>
      </w:pPr>
    </w:p>
    <w:p w14:paraId="1175F2CF" w14:textId="77777777" w:rsidR="00ED3FEF" w:rsidRPr="009432E1" w:rsidRDefault="00ED3FEF" w:rsidP="00ED3FEF">
      <w:pPr>
        <w:spacing w:line="360" w:lineRule="auto"/>
        <w:contextualSpacing/>
        <w:jc w:val="both"/>
        <w:rPr>
          <w:rFonts w:eastAsia="Calibri"/>
          <w:b/>
          <w:bCs/>
          <w:lang w:val="es-ES"/>
        </w:rPr>
      </w:pPr>
      <w:r w:rsidRPr="009432E1">
        <w:rPr>
          <w:rFonts w:eastAsia="Calibri"/>
          <w:b/>
          <w:bCs/>
          <w:lang w:val="es-ES"/>
        </w:rPr>
        <w:t>Proyecto de Construcción Museo de Historia y Tradiciones de Cotuí (</w:t>
      </w:r>
      <w:r>
        <w:rPr>
          <w:rFonts w:eastAsia="Calibri"/>
          <w:b/>
          <w:bCs/>
          <w:lang w:val="es-ES"/>
        </w:rPr>
        <w:t>M</w:t>
      </w:r>
      <w:r w:rsidRPr="009432E1">
        <w:rPr>
          <w:rFonts w:eastAsia="Calibri"/>
          <w:b/>
          <w:bCs/>
          <w:lang w:val="es-ES"/>
        </w:rPr>
        <w:t>useo del Oro y la Plata)</w:t>
      </w:r>
    </w:p>
    <w:p w14:paraId="74F0A97E" w14:textId="77777777" w:rsidR="00ED3FEF" w:rsidRDefault="00ED3FEF" w:rsidP="00ED3FEF">
      <w:pPr>
        <w:spacing w:line="360" w:lineRule="auto"/>
        <w:contextualSpacing/>
        <w:jc w:val="both"/>
        <w:rPr>
          <w:rFonts w:eastAsia="Calibri"/>
          <w:lang w:val="es-ES"/>
        </w:rPr>
      </w:pPr>
      <w:r w:rsidRPr="008243AC">
        <w:rPr>
          <w:rFonts w:eastAsia="Calibri"/>
          <w:lang w:val="es-ES"/>
        </w:rPr>
        <w:t xml:space="preserve">Durante el año 2025, la Dirección General de Museos mantuvo un seguimiento técnico y estratégico continuo al proyecto del Museo de Historia y Tradiciones </w:t>
      </w:r>
      <w:r w:rsidRPr="008243AC">
        <w:rPr>
          <w:rFonts w:eastAsia="Calibri"/>
          <w:lang w:val="es-ES"/>
        </w:rPr>
        <w:lastRenderedPageBreak/>
        <w:t xml:space="preserve">de Cotuí (Museo del Oro y la Plata), concebido como un espacio clave para la preservación, investigación y puesta en valor de los hallazgos arqueológicos asociados a las explotaciones mineras desarrolladas históricamente en la región. </w:t>
      </w:r>
    </w:p>
    <w:p w14:paraId="4FA32CC0" w14:textId="77777777" w:rsidR="00ED3FEF" w:rsidRPr="008243AC" w:rsidRDefault="00ED3FEF" w:rsidP="00ED3FEF">
      <w:pPr>
        <w:spacing w:line="360" w:lineRule="auto"/>
        <w:contextualSpacing/>
        <w:jc w:val="both"/>
        <w:rPr>
          <w:rFonts w:eastAsia="Calibri"/>
          <w:lang w:val="es-ES"/>
        </w:rPr>
      </w:pPr>
      <w:r w:rsidRPr="008243AC">
        <w:rPr>
          <w:rFonts w:eastAsia="Calibri"/>
          <w:lang w:val="es-ES"/>
        </w:rPr>
        <w:t>Este museo albergará una colección de alto valor patrimonial, compuesta por una amplia variedad de piezas prehispánicas recuperadas en la zona, las cuales han sido debidamente inventariadas y se encuentran en proceso de investigación científica por un equipo de arqueólogos nacionales, con el acompañamiento técnico especializado del Museo del Hombre Dominicano, bajo la coordinación de la DGM.</w:t>
      </w:r>
    </w:p>
    <w:p w14:paraId="41F8A3D5" w14:textId="77777777" w:rsidR="00ED3FEF" w:rsidRDefault="00ED3FEF" w:rsidP="00ED3FEF">
      <w:pPr>
        <w:spacing w:line="360" w:lineRule="auto"/>
        <w:contextualSpacing/>
        <w:jc w:val="both"/>
        <w:rPr>
          <w:rFonts w:eastAsia="Calibri"/>
          <w:lang w:val="es-ES"/>
        </w:rPr>
      </w:pPr>
      <w:r w:rsidRPr="008243AC">
        <w:rPr>
          <w:rFonts w:eastAsia="Calibri"/>
          <w:lang w:val="es-ES"/>
        </w:rPr>
        <w:t xml:space="preserve">En el marco de este proyecto, la DGM fortaleció la coordinación interinstitucional con </w:t>
      </w:r>
      <w:r>
        <w:rPr>
          <w:rFonts w:eastAsia="Calibri"/>
          <w:lang w:val="es-ES"/>
        </w:rPr>
        <w:t xml:space="preserve">la minera </w:t>
      </w:r>
      <w:r w:rsidRPr="008243AC">
        <w:rPr>
          <w:rFonts w:eastAsia="Calibri"/>
          <w:lang w:val="es-ES"/>
        </w:rPr>
        <w:t>Barrick</w:t>
      </w:r>
      <w:r>
        <w:rPr>
          <w:rFonts w:eastAsia="Calibri"/>
          <w:lang w:val="es-ES"/>
        </w:rPr>
        <w:t xml:space="preserve"> Gold</w:t>
      </w:r>
      <w:r w:rsidRPr="008243AC">
        <w:rPr>
          <w:rFonts w:eastAsia="Calibri"/>
          <w:lang w:val="es-ES"/>
        </w:rPr>
        <w:t>,</w:t>
      </w:r>
      <w:r>
        <w:rPr>
          <w:rFonts w:eastAsia="Calibri"/>
          <w:lang w:val="es-ES"/>
        </w:rPr>
        <w:t xml:space="preserve"> empresa financiadora y ejecutora de la construcción del inmueble que albergará el Museo;</w:t>
      </w:r>
      <w:r w:rsidRPr="008243AC">
        <w:rPr>
          <w:rFonts w:eastAsia="Calibri"/>
          <w:lang w:val="es-ES"/>
        </w:rPr>
        <w:t xml:space="preserve"> articulando criterios técnicos vinculados a la adecuación del espacio museal, la seguridad, las condiciones ambientales y la funcionalidad del inmueble. </w:t>
      </w:r>
    </w:p>
    <w:p w14:paraId="7AB1F34C" w14:textId="77777777" w:rsidR="00ED3FEF" w:rsidRPr="008243AC" w:rsidRDefault="00ED3FEF" w:rsidP="00ED3FEF">
      <w:pPr>
        <w:spacing w:line="360" w:lineRule="auto"/>
        <w:contextualSpacing/>
        <w:jc w:val="both"/>
        <w:rPr>
          <w:rFonts w:eastAsia="Calibri"/>
          <w:lang w:val="es-ES"/>
        </w:rPr>
      </w:pPr>
      <w:r w:rsidRPr="008243AC">
        <w:rPr>
          <w:rFonts w:eastAsia="Calibri"/>
          <w:lang w:val="es-ES"/>
        </w:rPr>
        <w:t>Como resultado de este proceso, se estableció la directriz de que el área destinada al museo sea entregada con las condiciones estructurales, técnicas y de seguridad requeridas, sin intervención museográfica previa, a fin de garantizar una correcta implementación del diseño museológico y museográfico conforme a los estándares nacionales e internacionales.</w:t>
      </w:r>
    </w:p>
    <w:p w14:paraId="17CFB168" w14:textId="77777777" w:rsidR="00ED3FEF" w:rsidRPr="008243AC" w:rsidRDefault="00ED3FEF" w:rsidP="00ED3FEF">
      <w:pPr>
        <w:spacing w:line="360" w:lineRule="auto"/>
        <w:contextualSpacing/>
        <w:jc w:val="both"/>
        <w:rPr>
          <w:rFonts w:eastAsia="Calibri"/>
          <w:lang w:val="es-ES"/>
        </w:rPr>
      </w:pPr>
      <w:r w:rsidRPr="008243AC">
        <w:rPr>
          <w:rFonts w:eastAsia="Calibri"/>
          <w:lang w:val="es-ES"/>
        </w:rPr>
        <w:t>Durante 2025 se constató un avance significativo en la construcción del nuevo edificio, encontrándose la obra en una fase avanzada, con proyección de conclusión para el primer cuatrimestre de 2026. De manera complementaria, se avanzó en la elaboración de un modelo tridimensional digital del espacio museal, el cual servirá como base para el diseño del proyecto museográfico y la planificación de los recorridos expositivos.</w:t>
      </w:r>
    </w:p>
    <w:p w14:paraId="15D5B3EE" w14:textId="77777777" w:rsidR="00ED3FEF" w:rsidRDefault="00ED3FEF" w:rsidP="00ED3FEF">
      <w:pPr>
        <w:spacing w:line="360" w:lineRule="auto"/>
        <w:contextualSpacing/>
        <w:jc w:val="both"/>
        <w:rPr>
          <w:rFonts w:eastAsia="Calibri"/>
          <w:lang w:val="es-ES"/>
        </w:rPr>
      </w:pPr>
      <w:r w:rsidRPr="008243AC">
        <w:rPr>
          <w:rFonts w:eastAsia="Calibri"/>
          <w:lang w:val="es-ES"/>
        </w:rPr>
        <w:lastRenderedPageBreak/>
        <w:t>En el plano conceptual, la Dirección General de Museos definió el enfoque museológico del proyecto como Museo de Historia y Tradiciones de Cotuí, iniciando la recopilación y sistematización de información gráfica, histórica y documental</w:t>
      </w:r>
      <w:r>
        <w:rPr>
          <w:rFonts w:eastAsia="Calibri"/>
          <w:lang w:val="es-ES"/>
        </w:rPr>
        <w:t xml:space="preserve">, </w:t>
      </w:r>
      <w:r w:rsidRPr="008243AC">
        <w:rPr>
          <w:rFonts w:eastAsia="Calibri"/>
          <w:lang w:val="es-ES"/>
        </w:rPr>
        <w:t xml:space="preserve">vinculada a la geografía, la economía, la minería y las expresiones culturales de la región. </w:t>
      </w:r>
    </w:p>
    <w:p w14:paraId="4264806F" w14:textId="77777777" w:rsidR="00ED3FEF" w:rsidRPr="008243AC" w:rsidRDefault="00ED3FEF" w:rsidP="00ED3FEF">
      <w:pPr>
        <w:spacing w:line="360" w:lineRule="auto"/>
        <w:contextualSpacing/>
        <w:jc w:val="both"/>
        <w:rPr>
          <w:rFonts w:eastAsia="Calibri"/>
          <w:lang w:val="es-ES"/>
        </w:rPr>
      </w:pPr>
      <w:r w:rsidRPr="008243AC">
        <w:rPr>
          <w:rFonts w:eastAsia="Calibri"/>
          <w:lang w:val="es-ES"/>
        </w:rPr>
        <w:t>Estos insumos constituyen la base para el desarrollo del guion museográfico y la curaduría de la colección, cuya fase de producción y montaje museográfico se prevé iniciar a partir del segundo trimestre de 2026, una vez concluida la obra civil.</w:t>
      </w:r>
    </w:p>
    <w:p w14:paraId="24A00D66" w14:textId="77777777" w:rsidR="00ED3FEF" w:rsidRDefault="00ED3FEF" w:rsidP="00ED3FEF">
      <w:pPr>
        <w:spacing w:line="360" w:lineRule="auto"/>
        <w:contextualSpacing/>
        <w:jc w:val="both"/>
        <w:rPr>
          <w:rFonts w:eastAsia="Calibri"/>
          <w:lang w:val="es-ES"/>
        </w:rPr>
      </w:pPr>
      <w:r w:rsidRPr="008243AC">
        <w:rPr>
          <w:rFonts w:eastAsia="Calibri"/>
          <w:lang w:val="es-ES"/>
        </w:rPr>
        <w:t>En conjunto, las acciones desarrolladas durante 2025 consolidaron el rol de la DGM como ente rector y articulador del proyecto museístico, garantizando que el Museo de Historia y Tradiciones de Cotuí se configure como un espacio de referencia para la investigación arqueológica, la educación patrimonial y la puesta en valor del legado cultural del territorio.</w:t>
      </w:r>
    </w:p>
    <w:p w14:paraId="2B2ECB30" w14:textId="77777777" w:rsidR="00ED3FEF" w:rsidRDefault="00ED3FEF" w:rsidP="00ED3FEF">
      <w:pPr>
        <w:spacing w:line="360" w:lineRule="auto"/>
        <w:contextualSpacing/>
        <w:jc w:val="both"/>
        <w:rPr>
          <w:rFonts w:eastAsia="Calibri"/>
          <w:lang w:val="es-ES"/>
        </w:rPr>
      </w:pPr>
    </w:p>
    <w:p w14:paraId="3D35AEB4" w14:textId="77777777" w:rsidR="00ED3FEF" w:rsidRDefault="00ED3FEF" w:rsidP="00ED3FEF">
      <w:pPr>
        <w:spacing w:line="360" w:lineRule="auto"/>
        <w:contextualSpacing/>
        <w:jc w:val="both"/>
        <w:rPr>
          <w:rFonts w:eastAsia="Calibri"/>
          <w:b/>
          <w:bCs/>
          <w:lang w:val="es-ES"/>
        </w:rPr>
      </w:pPr>
      <w:r w:rsidRPr="008243AC">
        <w:rPr>
          <w:rFonts w:eastAsia="Calibri"/>
          <w:b/>
          <w:bCs/>
          <w:lang w:val="es-ES"/>
        </w:rPr>
        <w:t>Creación del Museo Histórico y Cultural de Dajabón</w:t>
      </w:r>
    </w:p>
    <w:p w14:paraId="4F7C070E" w14:textId="77777777" w:rsidR="00ED3FEF" w:rsidRDefault="00ED3FEF" w:rsidP="00ED3FEF">
      <w:pPr>
        <w:spacing w:line="360" w:lineRule="auto"/>
        <w:contextualSpacing/>
        <w:jc w:val="both"/>
        <w:rPr>
          <w:rFonts w:eastAsia="Calibri"/>
          <w:lang w:val="es-ES"/>
        </w:rPr>
      </w:pPr>
      <w:r w:rsidRPr="002E44A8">
        <w:rPr>
          <w:rFonts w:eastAsia="Calibri"/>
          <w:lang w:val="es-ES"/>
        </w:rPr>
        <w:t xml:space="preserve">Durante el año 2025, la Dirección General de Museos acompañó de manera activa el proceso de creación del Museo Histórico y Cultural de Dajabón, una iniciativa impulsada por la Asociación de Dajaboneros Ausentes, orientada a la preservación, valorización y difusión de la memoria histórica y cultural de la provincia. </w:t>
      </w:r>
    </w:p>
    <w:p w14:paraId="642791DB" w14:textId="77777777" w:rsidR="00ED3FEF" w:rsidRPr="002E44A8" w:rsidRDefault="00ED3FEF" w:rsidP="00ED3FEF">
      <w:pPr>
        <w:spacing w:line="360" w:lineRule="auto"/>
        <w:contextualSpacing/>
        <w:jc w:val="both"/>
        <w:rPr>
          <w:rFonts w:eastAsia="Calibri"/>
          <w:lang w:val="es-ES"/>
        </w:rPr>
      </w:pPr>
      <w:r w:rsidRPr="002E44A8">
        <w:rPr>
          <w:rFonts w:eastAsia="Calibri"/>
          <w:lang w:val="es-ES"/>
        </w:rPr>
        <w:t>En este marco, la DGM brindó asistencia técnica y formativa al comité gestor del museo, como parte de su rol de ente rector del sistema museístico nacional y de promotor del desarrollo cultural en los territorios.</w:t>
      </w:r>
    </w:p>
    <w:p w14:paraId="5D135C5E" w14:textId="77777777" w:rsidR="00ED3FEF" w:rsidRDefault="00ED3FEF" w:rsidP="00ED3FEF">
      <w:pPr>
        <w:spacing w:line="360" w:lineRule="auto"/>
        <w:contextualSpacing/>
        <w:jc w:val="both"/>
        <w:rPr>
          <w:rFonts w:eastAsia="Calibri"/>
          <w:lang w:val="es-ES"/>
        </w:rPr>
      </w:pPr>
      <w:r w:rsidRPr="002E44A8">
        <w:rPr>
          <w:rFonts w:eastAsia="Calibri"/>
          <w:lang w:val="es-ES"/>
        </w:rPr>
        <w:t xml:space="preserve">Como parte de este acompañamiento, durante 2025 se realizaron dos talleres de sensibilización y capacitación, dirigidos a los miembros </w:t>
      </w:r>
      <w:r w:rsidRPr="002E44A8">
        <w:rPr>
          <w:rFonts w:eastAsia="Calibri"/>
          <w:lang w:val="es-ES"/>
        </w:rPr>
        <w:lastRenderedPageBreak/>
        <w:t xml:space="preserve">del comité gestor y actores locales, enfocados en los procesos fundamentales para la conformación de una entidad museal. </w:t>
      </w:r>
    </w:p>
    <w:p w14:paraId="4ACB6BDF" w14:textId="77777777" w:rsidR="00ED3FEF" w:rsidRPr="002E44A8" w:rsidRDefault="00ED3FEF" w:rsidP="00ED3FEF">
      <w:pPr>
        <w:spacing w:line="360" w:lineRule="auto"/>
        <w:contextualSpacing/>
        <w:jc w:val="both"/>
        <w:rPr>
          <w:rFonts w:eastAsia="Calibri"/>
          <w:lang w:val="es-ES"/>
        </w:rPr>
      </w:pPr>
      <w:r w:rsidRPr="002E44A8">
        <w:rPr>
          <w:rFonts w:eastAsia="Calibri"/>
          <w:lang w:val="es-ES"/>
        </w:rPr>
        <w:t>Estos espacios permitieron avanzar en la definición preliminar de la conceptualización del museo, la identificación de su tipología museística, así como la formulación inicial de los elementos institucionales distintivos, incluyendo nombre, misión, visión y valores.</w:t>
      </w:r>
    </w:p>
    <w:p w14:paraId="78F62F29" w14:textId="77777777" w:rsidR="00ED3FEF" w:rsidRDefault="00ED3FEF" w:rsidP="00ED3FEF">
      <w:pPr>
        <w:spacing w:line="360" w:lineRule="auto"/>
        <w:contextualSpacing/>
        <w:jc w:val="both"/>
        <w:rPr>
          <w:rFonts w:eastAsia="Calibri"/>
          <w:lang w:val="es-ES"/>
        </w:rPr>
      </w:pPr>
      <w:r w:rsidRPr="002E44A8">
        <w:rPr>
          <w:rFonts w:eastAsia="Calibri"/>
          <w:lang w:val="es-ES"/>
        </w:rPr>
        <w:t xml:space="preserve">De igual modo, se ofreció capacitación específica sobre los criterios para la identificación y selección del inmueble que albergará el museo, abordando aspectos técnicos, funcionales, geográficos y de sostenibilidad. </w:t>
      </w:r>
    </w:p>
    <w:p w14:paraId="177C4057" w14:textId="77777777" w:rsidR="00ED3FEF" w:rsidRPr="002E44A8" w:rsidRDefault="00ED3FEF" w:rsidP="00ED3FEF">
      <w:pPr>
        <w:spacing w:line="360" w:lineRule="auto"/>
        <w:contextualSpacing/>
        <w:jc w:val="both"/>
        <w:rPr>
          <w:rFonts w:eastAsia="Calibri"/>
          <w:lang w:val="es-ES"/>
        </w:rPr>
      </w:pPr>
      <w:r w:rsidRPr="002E44A8">
        <w:rPr>
          <w:rFonts w:eastAsia="Calibri"/>
          <w:lang w:val="es-ES"/>
        </w:rPr>
        <w:t>Asimismo, se trabajó en la identificación inicial de bienes con potencial para conformar la futura colección, así como en el reconocimiento de recursos locales disponibles, tanto materiales como de talento humano, esenciales para la viabilidad del proyecto.</w:t>
      </w:r>
    </w:p>
    <w:p w14:paraId="14BD1A9B" w14:textId="77777777" w:rsidR="00ED3FEF" w:rsidRDefault="00ED3FEF" w:rsidP="00ED3FEF">
      <w:pPr>
        <w:spacing w:line="360" w:lineRule="auto"/>
        <w:contextualSpacing/>
        <w:jc w:val="both"/>
        <w:rPr>
          <w:rFonts w:eastAsia="Calibri"/>
          <w:b/>
          <w:bCs/>
          <w:lang w:val="es-ES"/>
        </w:rPr>
      </w:pPr>
      <w:r w:rsidRPr="002E44A8">
        <w:rPr>
          <w:rFonts w:eastAsia="Calibri"/>
          <w:lang w:val="es-ES"/>
        </w:rPr>
        <w:t>Un eje transversal del proceso fue la sensibilización sobre la importancia de la articulación interinstitucional, destacando la necesidad de integrar a las autoridades locales, el sector privado y la comunidad organizada como actores clave para el éxito y sostenibilidad del museo. Estas acciones sentaron las bases para un proyecto museístico con arraigo territorial, participación comunitaria y proyección a largo plazo, alineado con los principios de gestión museística promovidos por la Dirección General de Museos</w:t>
      </w:r>
      <w:r w:rsidRPr="002E44A8">
        <w:rPr>
          <w:rFonts w:eastAsia="Calibri"/>
          <w:b/>
          <w:bCs/>
          <w:lang w:val="es-ES"/>
        </w:rPr>
        <w:t>.</w:t>
      </w:r>
    </w:p>
    <w:p w14:paraId="35B26D59" w14:textId="77777777" w:rsidR="00ED3FEF" w:rsidRDefault="00ED3FEF" w:rsidP="00ED3FEF">
      <w:pPr>
        <w:spacing w:line="360" w:lineRule="auto"/>
        <w:contextualSpacing/>
        <w:jc w:val="both"/>
        <w:rPr>
          <w:rFonts w:eastAsia="Calibri"/>
          <w:lang w:val="es-ES"/>
        </w:rPr>
      </w:pPr>
      <w:r w:rsidRPr="002E44A8">
        <w:rPr>
          <w:rFonts w:eastAsia="Calibri"/>
          <w:lang w:val="es-ES"/>
        </w:rPr>
        <w:t xml:space="preserve">La creación del Museo Histórico y Cultural de Dajabón reviste una importancia estratégica en términos territoriales, dada la ubicación de la provincia en la zona fronteriza norte del país, donde confluyen dinámicas históricas, culturales, económicas y sociales de alto valor patrimonial. </w:t>
      </w:r>
    </w:p>
    <w:p w14:paraId="12969FE7" w14:textId="77777777" w:rsidR="00D52943" w:rsidRDefault="00ED3FEF" w:rsidP="00ED3FEF">
      <w:pPr>
        <w:spacing w:line="360" w:lineRule="auto"/>
        <w:contextualSpacing/>
        <w:jc w:val="both"/>
        <w:rPr>
          <w:rFonts w:eastAsia="Calibri"/>
          <w:lang w:val="es-ES"/>
        </w:rPr>
      </w:pPr>
      <w:r w:rsidRPr="002E44A8">
        <w:rPr>
          <w:rFonts w:eastAsia="Calibri"/>
          <w:lang w:val="es-ES"/>
        </w:rPr>
        <w:t xml:space="preserve">En este sentido, el proyecto se inscribe plenamente en el programa de territorialización de los museos impulsado por la Dirección </w:t>
      </w:r>
    </w:p>
    <w:p w14:paraId="6D573F9A" w14:textId="77777777" w:rsidR="00D52943" w:rsidRDefault="00D52943" w:rsidP="00ED3FEF">
      <w:pPr>
        <w:spacing w:line="360" w:lineRule="auto"/>
        <w:contextualSpacing/>
        <w:jc w:val="both"/>
        <w:rPr>
          <w:rFonts w:eastAsia="Calibri"/>
          <w:lang w:val="es-ES"/>
        </w:rPr>
      </w:pPr>
    </w:p>
    <w:p w14:paraId="1919BC49" w14:textId="23DE5B5D" w:rsidR="00ED3FEF" w:rsidRDefault="00ED3FEF" w:rsidP="00ED3FEF">
      <w:pPr>
        <w:spacing w:line="360" w:lineRule="auto"/>
        <w:contextualSpacing/>
        <w:jc w:val="both"/>
        <w:rPr>
          <w:rFonts w:eastAsia="Calibri"/>
          <w:lang w:val="es-ES"/>
        </w:rPr>
      </w:pPr>
      <w:r w:rsidRPr="002E44A8">
        <w:rPr>
          <w:rFonts w:eastAsia="Calibri"/>
          <w:lang w:val="es-ES"/>
        </w:rPr>
        <w:lastRenderedPageBreak/>
        <w:t>General de Museos,</w:t>
      </w:r>
      <w:r w:rsidR="00D52943">
        <w:rPr>
          <w:rFonts w:eastAsia="Calibri"/>
          <w:lang w:val="es-ES"/>
        </w:rPr>
        <w:t xml:space="preserve"> </w:t>
      </w:r>
      <w:r w:rsidRPr="002E44A8">
        <w:rPr>
          <w:rFonts w:eastAsia="Calibri"/>
          <w:lang w:val="es-ES"/>
        </w:rPr>
        <w:t xml:space="preserve">orientado a diversificar la oferta museística más allá de los principales centros urbanos, reducir las brechas territoriales en el acceso a la cultura y democratizar el disfrute del patrimonio cultural. </w:t>
      </w:r>
    </w:p>
    <w:p w14:paraId="0B5904E7" w14:textId="77777777" w:rsidR="00ED3FEF" w:rsidRDefault="00ED3FEF" w:rsidP="00ED3FEF">
      <w:pPr>
        <w:spacing w:line="360" w:lineRule="auto"/>
        <w:contextualSpacing/>
        <w:jc w:val="both"/>
        <w:rPr>
          <w:rFonts w:eastAsia="Calibri"/>
          <w:lang w:val="es-ES"/>
        </w:rPr>
      </w:pPr>
      <w:r w:rsidRPr="002E44A8">
        <w:rPr>
          <w:rFonts w:eastAsia="Calibri"/>
          <w:lang w:val="es-ES"/>
        </w:rPr>
        <w:t>El museo se proyecta como un espacio clave para el fortalecimiento de la identidad local, la memoria histórica fronteriza y el diálogo intercultural, contribuyendo al desarrollo cultural de Dajabón y a la integración de la región noroeste en el Sistema Nacional de Museos, en coherencia con los principios de inclusión, participación comunitaria y equidad territorial que orientan la política museística nacional.</w:t>
      </w:r>
    </w:p>
    <w:p w14:paraId="711DD739" w14:textId="77777777" w:rsidR="00ED3FEF" w:rsidRDefault="00ED3FEF" w:rsidP="00ED3FEF">
      <w:pPr>
        <w:spacing w:line="360" w:lineRule="auto"/>
        <w:contextualSpacing/>
        <w:jc w:val="both"/>
        <w:rPr>
          <w:rFonts w:eastAsia="Calibri"/>
          <w:lang w:val="es-ES"/>
        </w:rPr>
      </w:pPr>
    </w:p>
    <w:p w14:paraId="20D6A696" w14:textId="77777777" w:rsidR="00ED3FEF" w:rsidRPr="0026263B" w:rsidRDefault="00ED3FEF" w:rsidP="00ED3FEF">
      <w:pPr>
        <w:spacing w:line="360" w:lineRule="auto"/>
        <w:contextualSpacing/>
        <w:jc w:val="both"/>
        <w:rPr>
          <w:rFonts w:eastAsia="Calibri"/>
          <w:b/>
          <w:bCs/>
          <w:lang w:val="es-ES"/>
        </w:rPr>
      </w:pPr>
      <w:r w:rsidRPr="0026263B">
        <w:rPr>
          <w:rFonts w:eastAsia="Calibri"/>
          <w:b/>
          <w:bCs/>
          <w:lang w:val="es-ES"/>
        </w:rPr>
        <w:t>Creación del Museo de Historia y Tradiciones de San Pedro de Macorís</w:t>
      </w:r>
    </w:p>
    <w:p w14:paraId="65C18C27" w14:textId="77777777" w:rsidR="00ED3FEF" w:rsidRDefault="00ED3FEF" w:rsidP="00ED3FEF">
      <w:pPr>
        <w:spacing w:line="360" w:lineRule="auto"/>
        <w:contextualSpacing/>
        <w:jc w:val="both"/>
        <w:rPr>
          <w:rFonts w:eastAsia="Calibri"/>
          <w:lang w:val="es-DO"/>
        </w:rPr>
      </w:pPr>
      <w:r w:rsidRPr="0026263B">
        <w:rPr>
          <w:rFonts w:eastAsia="Calibri"/>
          <w:lang w:val="es-DO"/>
        </w:rPr>
        <w:t xml:space="preserve">Durante el año 2025, la Dirección General de Museos avanzó en el proceso de formulación del proyecto de creación del Museo de Historia y Tradiciones de San Pedro de Macorís, concebido como una iniciativa estratégica para la puesta en valor del patrimonio histórico, urbano y social de la región Este del país. </w:t>
      </w:r>
    </w:p>
    <w:p w14:paraId="4D2A8ED5" w14:textId="77777777" w:rsidR="00ED3FEF" w:rsidRPr="0026263B" w:rsidRDefault="00ED3FEF" w:rsidP="00ED3FEF">
      <w:pPr>
        <w:spacing w:line="360" w:lineRule="auto"/>
        <w:contextualSpacing/>
        <w:jc w:val="both"/>
        <w:rPr>
          <w:rFonts w:eastAsia="Calibri"/>
          <w:lang w:val="es-DO"/>
        </w:rPr>
      </w:pPr>
      <w:r w:rsidRPr="0026263B">
        <w:rPr>
          <w:rFonts w:eastAsia="Calibri"/>
          <w:lang w:val="es-DO"/>
        </w:rPr>
        <w:t>En este marco, se evaluó la construcción del museo en el edificio fundacional de la Universidad Central del Este (UCE), inmueble de alto valor patrimonial y simbólico, respecto del cual la universidad ha manifestado su interés en donarlo para fines culturales y museísticos.</w:t>
      </w:r>
    </w:p>
    <w:p w14:paraId="74B652F9" w14:textId="77777777" w:rsidR="00ED3FEF" w:rsidRDefault="00ED3FEF" w:rsidP="00ED3FEF">
      <w:pPr>
        <w:spacing w:line="360" w:lineRule="auto"/>
        <w:contextualSpacing/>
        <w:jc w:val="both"/>
        <w:rPr>
          <w:rFonts w:eastAsia="Calibri"/>
          <w:lang w:val="es-DO"/>
        </w:rPr>
      </w:pPr>
      <w:r w:rsidRPr="0026263B">
        <w:rPr>
          <w:rFonts w:eastAsia="Calibri"/>
          <w:lang w:val="es-DO"/>
        </w:rPr>
        <w:t xml:space="preserve">Como parte de las acciones desarrolladas en 2025, se realizó la evaluación estructural de primer nivel del inmueble, a cargo de la Oficina Nacional de Evaluación Sísmica y Vulnerabilidad de Infraestructuras y Edificaciones (ONESVIE), la cual permitió identificar las condiciones generales de la edificación y confirmar la necesidad de intervenciones especializadas. </w:t>
      </w:r>
    </w:p>
    <w:p w14:paraId="119A133F" w14:textId="77777777" w:rsidR="00ED3FEF" w:rsidRPr="0026263B" w:rsidRDefault="00ED3FEF" w:rsidP="00ED3FEF">
      <w:pPr>
        <w:spacing w:line="360" w:lineRule="auto"/>
        <w:contextualSpacing/>
        <w:jc w:val="both"/>
        <w:rPr>
          <w:rFonts w:eastAsia="Calibri"/>
          <w:lang w:val="es-DO"/>
        </w:rPr>
      </w:pPr>
      <w:r w:rsidRPr="0026263B">
        <w:rPr>
          <w:rFonts w:eastAsia="Calibri"/>
          <w:lang w:val="es-DO"/>
        </w:rPr>
        <w:lastRenderedPageBreak/>
        <w:t>De manera complementaria, se coordinaron los preparativos para la realización del estudio de vulnerabilidad estructural y la elaboración de la propuesta de consolidación y restauración, en atención al alto grado de deterioro que presenta actualmente el inmueble patrimonial.</w:t>
      </w:r>
    </w:p>
    <w:p w14:paraId="5EE103DE" w14:textId="77777777" w:rsidR="00ED3FEF" w:rsidRDefault="00ED3FEF" w:rsidP="00ED3FEF">
      <w:pPr>
        <w:spacing w:line="360" w:lineRule="auto"/>
        <w:contextualSpacing/>
        <w:jc w:val="both"/>
        <w:rPr>
          <w:rFonts w:eastAsia="Calibri"/>
          <w:lang w:val="es-DO"/>
        </w:rPr>
      </w:pPr>
      <w:r w:rsidRPr="0026263B">
        <w:rPr>
          <w:rFonts w:eastAsia="Calibri"/>
          <w:lang w:val="es-DO"/>
        </w:rPr>
        <w:t xml:space="preserve">Para la ejecución de esta fase técnica, se gestionó y recibió una donación de Seguros </w:t>
      </w:r>
      <w:proofErr w:type="spellStart"/>
      <w:r w:rsidRPr="0026263B">
        <w:rPr>
          <w:rFonts w:eastAsia="Calibri"/>
          <w:lang w:val="es-DO"/>
        </w:rPr>
        <w:t>Banreservas</w:t>
      </w:r>
      <w:proofErr w:type="spellEnd"/>
      <w:r w:rsidRPr="0026263B">
        <w:rPr>
          <w:rFonts w:eastAsia="Calibri"/>
          <w:lang w:val="es-DO"/>
        </w:rPr>
        <w:t>, por un monto aproximado de RD$1.</w:t>
      </w:r>
      <w:r>
        <w:rPr>
          <w:rFonts w:eastAsia="Calibri"/>
          <w:lang w:val="es-DO"/>
        </w:rPr>
        <w:t>3</w:t>
      </w:r>
      <w:r w:rsidRPr="0026263B">
        <w:rPr>
          <w:rFonts w:eastAsia="Calibri"/>
          <w:lang w:val="es-DO"/>
        </w:rPr>
        <w:t xml:space="preserve"> millones, destinada a financiar los estudios especializados requeridos. </w:t>
      </w:r>
    </w:p>
    <w:p w14:paraId="795E4D63" w14:textId="77777777" w:rsidR="00ED3FEF" w:rsidRPr="0026263B" w:rsidRDefault="00ED3FEF" w:rsidP="00ED3FEF">
      <w:pPr>
        <w:spacing w:line="360" w:lineRule="auto"/>
        <w:contextualSpacing/>
        <w:jc w:val="both"/>
        <w:rPr>
          <w:rFonts w:eastAsia="Calibri"/>
          <w:lang w:val="es-DO"/>
        </w:rPr>
      </w:pPr>
      <w:r w:rsidRPr="0026263B">
        <w:rPr>
          <w:rFonts w:eastAsia="Calibri"/>
          <w:lang w:val="es-DO"/>
        </w:rPr>
        <w:t xml:space="preserve">Esta contribución constituye un ejemplo relevante de articulación </w:t>
      </w:r>
      <w:r>
        <w:rPr>
          <w:rFonts w:eastAsia="Calibri"/>
          <w:lang w:val="es-DO"/>
        </w:rPr>
        <w:t>promovida por la DGM</w:t>
      </w:r>
      <w:r w:rsidRPr="0026263B">
        <w:rPr>
          <w:rFonts w:eastAsia="Calibri"/>
          <w:lang w:val="es-DO"/>
        </w:rPr>
        <w:t xml:space="preserve"> en favor de la conservación del patrimonio cultural y del fortalecimiento de la infraestructura museística nacional.</w:t>
      </w:r>
    </w:p>
    <w:p w14:paraId="31CBC4D4" w14:textId="77777777" w:rsidR="00ED3FEF" w:rsidRDefault="00ED3FEF" w:rsidP="00ED3FEF">
      <w:pPr>
        <w:spacing w:line="360" w:lineRule="auto"/>
        <w:contextualSpacing/>
        <w:jc w:val="both"/>
        <w:rPr>
          <w:rFonts w:eastAsia="Calibri"/>
          <w:lang w:val="es-DO"/>
        </w:rPr>
      </w:pPr>
      <w:r w:rsidRPr="0026263B">
        <w:rPr>
          <w:rFonts w:eastAsia="Calibri"/>
          <w:lang w:val="es-DO"/>
        </w:rPr>
        <w:t>La creación del Museo de Historia y Tradiciones de San Pedro de Macorís reviste una importancia estratégica en el marco del programa de territorialización de museos impulsado por la Dirección General de Museos, orientado a diversificar la oferta cultural en el territorio y democratizar el acceso a la cultura. Dada la relevancia histórica, económica y cultural de San Pedro de Macorís en el desarrollo nacional, este proyecto se proyecta como un espacio clave para la preservación de la memoria regional, el fortalecimiento de la identidad local y la integración de la región Este al Sistema Nacional de Museos.</w:t>
      </w:r>
    </w:p>
    <w:p w14:paraId="714AC836" w14:textId="77777777" w:rsidR="00ED3FEF" w:rsidRDefault="00ED3FEF" w:rsidP="00ED3FEF">
      <w:pPr>
        <w:spacing w:line="360" w:lineRule="auto"/>
        <w:contextualSpacing/>
        <w:jc w:val="both"/>
        <w:rPr>
          <w:rFonts w:eastAsia="Calibri"/>
          <w:lang w:val="es-DO"/>
        </w:rPr>
      </w:pPr>
    </w:p>
    <w:p w14:paraId="5CEFBF98" w14:textId="77777777" w:rsidR="00ED3FEF" w:rsidRPr="003851B2" w:rsidRDefault="00ED3FEF" w:rsidP="00ED3FEF">
      <w:pPr>
        <w:spacing w:line="360" w:lineRule="auto"/>
        <w:contextualSpacing/>
        <w:jc w:val="both"/>
        <w:rPr>
          <w:rFonts w:eastAsia="Calibri"/>
          <w:b/>
          <w:bCs/>
          <w:lang w:val="es-DO"/>
        </w:rPr>
      </w:pPr>
      <w:r w:rsidRPr="003851B2">
        <w:rPr>
          <w:rFonts w:eastAsia="Calibri"/>
          <w:b/>
          <w:bCs/>
          <w:lang w:val="es-DO"/>
        </w:rPr>
        <w:t>Construcción Museo de la</w:t>
      </w:r>
      <w:r>
        <w:rPr>
          <w:rFonts w:eastAsia="Calibri"/>
          <w:b/>
          <w:bCs/>
          <w:lang w:val="es-DO"/>
        </w:rPr>
        <w:t>s</w:t>
      </w:r>
      <w:r w:rsidRPr="003851B2">
        <w:rPr>
          <w:rFonts w:eastAsia="Calibri"/>
          <w:b/>
          <w:bCs/>
          <w:lang w:val="es-DO"/>
        </w:rPr>
        <w:t xml:space="preserve"> Arte</w:t>
      </w:r>
      <w:r>
        <w:rPr>
          <w:rFonts w:eastAsia="Calibri"/>
          <w:b/>
          <w:bCs/>
          <w:lang w:val="es-DO"/>
        </w:rPr>
        <w:t>s</w:t>
      </w:r>
      <w:r w:rsidRPr="003851B2">
        <w:rPr>
          <w:rFonts w:eastAsia="Calibri"/>
          <w:b/>
          <w:bCs/>
          <w:lang w:val="es-DO"/>
        </w:rPr>
        <w:t xml:space="preserve"> de Santiago</w:t>
      </w:r>
    </w:p>
    <w:p w14:paraId="74960D59" w14:textId="77777777" w:rsidR="00ED3FEF" w:rsidRDefault="00ED3FEF" w:rsidP="00ED3FEF">
      <w:pPr>
        <w:spacing w:line="360" w:lineRule="auto"/>
        <w:contextualSpacing/>
        <w:jc w:val="both"/>
        <w:rPr>
          <w:rFonts w:eastAsia="Calibri"/>
          <w:lang w:val="es-DO"/>
        </w:rPr>
      </w:pPr>
      <w:r w:rsidRPr="003851B2">
        <w:rPr>
          <w:rFonts w:eastAsia="Calibri"/>
          <w:lang w:val="es-DO"/>
        </w:rPr>
        <w:t xml:space="preserve">Durante el año 2025, la Dirección General de Museos participó como órgano rector del sistema museístico nacional en el proceso de creación del Museo de las Artes de Santiago, desarrollado en el marco del proyecto del Centro Cultural </w:t>
      </w:r>
      <w:proofErr w:type="spellStart"/>
      <w:r w:rsidRPr="003851B2">
        <w:rPr>
          <w:rFonts w:eastAsia="Calibri"/>
          <w:lang w:val="es-DO"/>
        </w:rPr>
        <w:t>Banreservas</w:t>
      </w:r>
      <w:proofErr w:type="spellEnd"/>
      <w:r w:rsidRPr="003851B2">
        <w:rPr>
          <w:rFonts w:eastAsia="Calibri"/>
          <w:lang w:val="es-DO"/>
        </w:rPr>
        <w:t xml:space="preserve">, ejecutado por el Banco de Reservas. </w:t>
      </w:r>
    </w:p>
    <w:p w14:paraId="38584786" w14:textId="77777777" w:rsidR="00D52943" w:rsidRDefault="00D52943" w:rsidP="00ED3FEF">
      <w:pPr>
        <w:spacing w:line="360" w:lineRule="auto"/>
        <w:contextualSpacing/>
        <w:jc w:val="both"/>
        <w:rPr>
          <w:rFonts w:eastAsia="Calibri"/>
          <w:lang w:val="es-DO"/>
        </w:rPr>
      </w:pPr>
    </w:p>
    <w:p w14:paraId="3B8AF516" w14:textId="36A9797C" w:rsidR="00ED3FEF" w:rsidRPr="003851B2" w:rsidRDefault="00ED3FEF" w:rsidP="00ED3FEF">
      <w:pPr>
        <w:spacing w:line="360" w:lineRule="auto"/>
        <w:contextualSpacing/>
        <w:jc w:val="both"/>
        <w:rPr>
          <w:rFonts w:eastAsia="Calibri"/>
          <w:lang w:val="es-DO"/>
        </w:rPr>
      </w:pPr>
      <w:r w:rsidRPr="003851B2">
        <w:rPr>
          <w:rFonts w:eastAsia="Calibri"/>
          <w:lang w:val="es-DO"/>
        </w:rPr>
        <w:lastRenderedPageBreak/>
        <w:t>La intervención de la DGM se concentró en el componente museístico, brindando</w:t>
      </w:r>
      <w:r w:rsidR="00D52943">
        <w:rPr>
          <w:rFonts w:eastAsia="Calibri"/>
          <w:lang w:val="es-DO"/>
        </w:rPr>
        <w:t xml:space="preserve"> </w:t>
      </w:r>
      <w:r w:rsidRPr="003851B2">
        <w:rPr>
          <w:rFonts w:eastAsia="Calibri"/>
          <w:lang w:val="es-DO"/>
        </w:rPr>
        <w:t>acompañamiento técnico y asesoría especializada en aspectos museológicos, museográficos y de gestión, en coherencia con las políticas públicas en materia de museos.</w:t>
      </w:r>
    </w:p>
    <w:p w14:paraId="5CE91A3E" w14:textId="77777777" w:rsidR="00ED3FEF" w:rsidRDefault="00ED3FEF" w:rsidP="00ED3FEF">
      <w:pPr>
        <w:spacing w:line="360" w:lineRule="auto"/>
        <w:contextualSpacing/>
        <w:jc w:val="both"/>
        <w:rPr>
          <w:rFonts w:eastAsia="Calibri"/>
          <w:lang w:val="es-DO"/>
        </w:rPr>
      </w:pPr>
      <w:r w:rsidRPr="003851B2">
        <w:rPr>
          <w:rFonts w:eastAsia="Calibri"/>
          <w:lang w:val="es-DO"/>
        </w:rPr>
        <w:t xml:space="preserve">Este nuevo museo constituye un aporte relevante a la diversificación de la oferta museística nacional, ampliando las posibilidades de acceso a las artes visuales, la creación contemporánea y las experiencias culturales innovadoras en la región Norte. </w:t>
      </w:r>
    </w:p>
    <w:p w14:paraId="75A0A0C6" w14:textId="77777777" w:rsidR="00ED3FEF" w:rsidRPr="003851B2" w:rsidRDefault="00ED3FEF" w:rsidP="00ED3FEF">
      <w:pPr>
        <w:spacing w:line="360" w:lineRule="auto"/>
        <w:contextualSpacing/>
        <w:jc w:val="both"/>
        <w:rPr>
          <w:rFonts w:eastAsia="Calibri"/>
          <w:lang w:val="es-DO"/>
        </w:rPr>
      </w:pPr>
      <w:r w:rsidRPr="003851B2">
        <w:rPr>
          <w:rFonts w:eastAsia="Calibri"/>
          <w:lang w:val="es-DO"/>
        </w:rPr>
        <w:t>Su puesta en funcionamiento fortalece el posicionamiento de Santiago de los Caballeros como un polo cultural de referencia, contribuyendo a la descentralización de la actividad museística y al equilibrio territorial de la infraestructura cultural del país.</w:t>
      </w:r>
    </w:p>
    <w:p w14:paraId="2E44CD7B" w14:textId="77777777" w:rsidR="00ED3FEF" w:rsidRDefault="00ED3FEF" w:rsidP="00ED3FEF">
      <w:pPr>
        <w:spacing w:line="360" w:lineRule="auto"/>
        <w:contextualSpacing/>
        <w:jc w:val="both"/>
        <w:rPr>
          <w:rFonts w:eastAsia="Calibri"/>
          <w:lang w:val="es-DO"/>
        </w:rPr>
      </w:pPr>
      <w:r w:rsidRPr="003851B2">
        <w:rPr>
          <w:rFonts w:eastAsia="Calibri"/>
          <w:lang w:val="es-DO"/>
        </w:rPr>
        <w:t xml:space="preserve">De manera complementaria, durante 2025 la Dirección General de Museos coordinó con el Banco de Reservas el proceso de definición del modelo de cogestión del nuevo museo, estableciendo lineamientos orientados a garantizar su sostenibilidad operativa, la coherencia con el Sistema Nacional de Museos y la adecuada articulación entre la gestión institucional y la programación cultural. </w:t>
      </w:r>
    </w:p>
    <w:p w14:paraId="208BC3C6" w14:textId="77777777" w:rsidR="00ED3FEF" w:rsidRPr="003851B2" w:rsidRDefault="00ED3FEF" w:rsidP="00ED3FEF">
      <w:pPr>
        <w:spacing w:line="360" w:lineRule="auto"/>
        <w:contextualSpacing/>
        <w:jc w:val="both"/>
        <w:rPr>
          <w:rFonts w:eastAsia="Calibri"/>
          <w:lang w:val="es-DO"/>
        </w:rPr>
      </w:pPr>
      <w:r w:rsidRPr="003851B2">
        <w:rPr>
          <w:rFonts w:eastAsia="Calibri"/>
          <w:lang w:val="es-DO"/>
        </w:rPr>
        <w:t>Este ejercicio de coordinación interinstitucional representa una buena práctica de colaboración, que permite fortalecer la gobernanza cultural y ampliar el impacto social de los proyectos museísticos en el territorio.</w:t>
      </w:r>
    </w:p>
    <w:p w14:paraId="2CE23F79" w14:textId="77777777" w:rsidR="00ED3FEF" w:rsidRDefault="00ED3FEF" w:rsidP="00ED3FEF">
      <w:pPr>
        <w:spacing w:line="360" w:lineRule="auto"/>
        <w:contextualSpacing/>
        <w:jc w:val="both"/>
        <w:rPr>
          <w:rFonts w:eastAsia="Calibri"/>
          <w:lang w:val="es-DO"/>
        </w:rPr>
      </w:pPr>
      <w:r w:rsidRPr="003851B2">
        <w:rPr>
          <w:rFonts w:eastAsia="Calibri"/>
          <w:lang w:val="es-DO"/>
        </w:rPr>
        <w:t>En conjunto, la participación de la DGM en este proyecto reafirma su rol estratégico en la orientación, articulación y fortalecimiento del sistema museístico, promoviendo una oferta cultural más diversa, accesible y territorialmente equilibrada, en beneficio de las comunidades de la región Norte y del país en su conjunto.</w:t>
      </w:r>
    </w:p>
    <w:p w14:paraId="7EA9D5CD" w14:textId="77777777" w:rsidR="00ED3FEF" w:rsidRDefault="00ED3FEF" w:rsidP="00ED3FEF">
      <w:pPr>
        <w:spacing w:line="360" w:lineRule="auto"/>
        <w:contextualSpacing/>
        <w:jc w:val="both"/>
        <w:rPr>
          <w:rFonts w:eastAsia="Calibri"/>
          <w:lang w:val="es-DO"/>
        </w:rPr>
      </w:pPr>
      <w:r w:rsidRPr="007F6064">
        <w:rPr>
          <w:rFonts w:eastAsia="Calibri"/>
          <w:lang w:val="es-DO"/>
        </w:rPr>
        <w:t xml:space="preserve">A modo de cierre, los proyectos de nuevos museos acompañados o impulsados por la Dirección General de Museos durante el período evidencian una agenda de expansión territorial sostenida, orientada a </w:t>
      </w:r>
      <w:r w:rsidRPr="007F6064">
        <w:rPr>
          <w:rFonts w:eastAsia="Calibri"/>
          <w:lang w:val="es-DO"/>
        </w:rPr>
        <w:lastRenderedPageBreak/>
        <w:t xml:space="preserve">diversificar la oferta cultural y a democratizar el acceso al patrimonio en todo el país. </w:t>
      </w:r>
    </w:p>
    <w:p w14:paraId="547C194D" w14:textId="77777777" w:rsidR="00ED3FEF" w:rsidRDefault="00ED3FEF" w:rsidP="00ED3FEF">
      <w:pPr>
        <w:spacing w:line="360" w:lineRule="auto"/>
        <w:contextualSpacing/>
        <w:jc w:val="both"/>
        <w:rPr>
          <w:rFonts w:eastAsia="Calibri"/>
          <w:lang w:val="es-DO"/>
        </w:rPr>
      </w:pPr>
      <w:r w:rsidRPr="007F6064">
        <w:rPr>
          <w:rFonts w:eastAsia="Calibri"/>
          <w:lang w:val="es-DO"/>
        </w:rPr>
        <w:t xml:space="preserve">Iniciativas como el Museo de la Bauxita en Pedernales, el Museo de Historia y Tradiciones de Bayaguana, el Centro de Interpretación y Museo de Sitio del Parque Arqueológico Corral de los </w:t>
      </w:r>
      <w:proofErr w:type="gramStart"/>
      <w:r w:rsidRPr="007F6064">
        <w:rPr>
          <w:rFonts w:eastAsia="Calibri"/>
          <w:lang w:val="es-DO"/>
        </w:rPr>
        <w:t>Indios</w:t>
      </w:r>
      <w:proofErr w:type="gramEnd"/>
      <w:r w:rsidRPr="007F6064">
        <w:rPr>
          <w:rFonts w:eastAsia="Calibri"/>
          <w:lang w:val="es-DO"/>
        </w:rPr>
        <w:t xml:space="preserve"> en San Juan de la Maguana, el Museo de la Cultura Japonesa en Dajabón, así como el Museo de Pepillo Salcedo (</w:t>
      </w:r>
      <w:r>
        <w:rPr>
          <w:rFonts w:eastAsia="Calibri"/>
          <w:lang w:val="es-DO"/>
        </w:rPr>
        <w:t xml:space="preserve">en </w:t>
      </w:r>
      <w:r w:rsidRPr="007F6064">
        <w:rPr>
          <w:rFonts w:eastAsia="Calibri"/>
          <w:lang w:val="es-DO"/>
        </w:rPr>
        <w:t xml:space="preserve">Manzanillo), </w:t>
      </w:r>
      <w:r>
        <w:rPr>
          <w:rFonts w:eastAsia="Calibri"/>
          <w:lang w:val="es-DO"/>
        </w:rPr>
        <w:t>constituyen</w:t>
      </w:r>
      <w:r w:rsidRPr="007F6064">
        <w:rPr>
          <w:rFonts w:eastAsia="Calibri"/>
          <w:lang w:val="es-DO"/>
        </w:rPr>
        <w:t xml:space="preserve"> propuestas aún en etapa embrionaria, pero de alto valor estratégico. </w:t>
      </w:r>
    </w:p>
    <w:p w14:paraId="37E37451" w14:textId="77777777" w:rsidR="00ED3FEF" w:rsidRDefault="00ED3FEF" w:rsidP="00ED3FEF">
      <w:pPr>
        <w:spacing w:line="360" w:lineRule="auto"/>
        <w:contextualSpacing/>
        <w:jc w:val="both"/>
        <w:rPr>
          <w:rFonts w:eastAsia="Calibri"/>
          <w:lang w:val="es-DO"/>
        </w:rPr>
      </w:pPr>
      <w:r w:rsidRPr="007F6064">
        <w:rPr>
          <w:rFonts w:eastAsia="Calibri"/>
          <w:lang w:val="es-DO"/>
        </w:rPr>
        <w:t>En conjunto, estas iniciativas refuerzan el programa de territorialización de museos de la DGM, promueven la equidad territorial, fortalecen las identidades locales y consolidan alianzas público–privadas y comunitarias, sentando las bases para un Sistema Nacional de Museos más inclusivo, diverso y con presencia efectiva en todo el territorio nacional.</w:t>
      </w:r>
    </w:p>
    <w:p w14:paraId="2BF21CFF" w14:textId="77777777" w:rsidR="00ED3FEF" w:rsidRDefault="00ED3FEF" w:rsidP="00ED3FEF">
      <w:pPr>
        <w:spacing w:line="360" w:lineRule="auto"/>
        <w:contextualSpacing/>
        <w:jc w:val="both"/>
        <w:rPr>
          <w:rFonts w:eastAsia="Calibri"/>
          <w:lang w:val="es-DO"/>
        </w:rPr>
      </w:pPr>
    </w:p>
    <w:p w14:paraId="34EAE1FE" w14:textId="1FE64D95" w:rsidR="00ED3FEF" w:rsidRDefault="00ED3FEF" w:rsidP="00427D27">
      <w:pPr>
        <w:spacing w:line="360" w:lineRule="auto"/>
        <w:jc w:val="both"/>
        <w:rPr>
          <w:rFonts w:eastAsia="Calibri"/>
          <w:noProof/>
          <w:lang w:val="es-DO"/>
        </w:rPr>
        <w:sectPr w:rsidR="00ED3FEF" w:rsidSect="00D52943">
          <w:footerReference w:type="default" r:id="rId24"/>
          <w:pgSz w:w="12240" w:h="15840"/>
          <w:pgMar w:top="1440" w:right="2160" w:bottom="1440" w:left="2160" w:header="720" w:footer="737" w:gutter="0"/>
          <w:cols w:space="720"/>
          <w:docGrid w:linePitch="360"/>
        </w:sectPr>
      </w:pPr>
    </w:p>
    <w:p w14:paraId="480AB252" w14:textId="760B2B21" w:rsidR="00654164" w:rsidRPr="0058331C" w:rsidRDefault="00654164" w:rsidP="00654164">
      <w:pPr>
        <w:pStyle w:val="Ttulo1"/>
        <w:rPr>
          <w:rFonts w:cs="Times New Roman"/>
          <w:color w:val="4C4747"/>
          <w:lang w:val="es-DO"/>
        </w:rPr>
      </w:pPr>
      <w:r w:rsidRPr="0058331C">
        <w:rPr>
          <w:rFonts w:cs="Times New Roman"/>
          <w:color w:val="4C4747"/>
          <w:lang w:val="es-DO"/>
        </w:rPr>
        <w:lastRenderedPageBreak/>
        <w:t>RESULTADOS DE LAS ÁREAS TRANSVERSALES Y DE APOYO</w:t>
      </w:r>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55"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1FCBD" id="Straight Connector 15" o:spid="_x0000_s1026" style="position:absolute;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28BDC49E" w:rsidR="00654164" w:rsidRPr="009C7BFB" w:rsidRDefault="00654164" w:rsidP="00654164">
      <w:pPr>
        <w:jc w:val="center"/>
        <w:rPr>
          <w:rFonts w:eastAsia="Calibri"/>
          <w:color w:val="4C4747"/>
          <w:szCs w:val="36"/>
          <w:lang w:val="es-DO"/>
        </w:rPr>
      </w:pPr>
      <w:r w:rsidRPr="009C7BFB">
        <w:rPr>
          <w:rFonts w:eastAsia="Calibri"/>
          <w:color w:val="4C4747"/>
          <w:szCs w:val="36"/>
          <w:lang w:val="es-DO"/>
        </w:rPr>
        <w:t xml:space="preserve">Memoria </w:t>
      </w:r>
      <w:r w:rsidR="009547F0" w:rsidRPr="009C7BFB">
        <w:rPr>
          <w:rFonts w:eastAsia="Calibri"/>
          <w:color w:val="4C4747"/>
          <w:szCs w:val="36"/>
          <w:lang w:val="es-DO"/>
        </w:rPr>
        <w:t>I</w:t>
      </w:r>
      <w:r w:rsidRPr="009C7BFB">
        <w:rPr>
          <w:rFonts w:eastAsia="Calibri"/>
          <w:color w:val="4C4747"/>
          <w:szCs w:val="36"/>
          <w:lang w:val="es-DO"/>
        </w:rPr>
        <w:t xml:space="preserve">nstitucional </w:t>
      </w:r>
      <w:r w:rsidR="007471AC" w:rsidRPr="009C7BFB">
        <w:rPr>
          <w:rFonts w:eastAsia="Calibri"/>
          <w:color w:val="4C4747"/>
          <w:szCs w:val="36"/>
          <w:lang w:val="es-DO"/>
        </w:rPr>
        <w:t>202</w:t>
      </w:r>
      <w:r w:rsidR="002E16D2">
        <w:rPr>
          <w:rFonts w:eastAsia="Calibri"/>
          <w:color w:val="4C4747"/>
          <w:szCs w:val="36"/>
          <w:lang w:val="es-DO"/>
        </w:rPr>
        <w:t>5</w:t>
      </w:r>
    </w:p>
    <w:p w14:paraId="61735DF7" w14:textId="77777777" w:rsidR="006C2A50" w:rsidRPr="006C2A50" w:rsidRDefault="006C2A50" w:rsidP="006C2A50">
      <w:pPr>
        <w:spacing w:line="360" w:lineRule="auto"/>
        <w:jc w:val="both"/>
        <w:rPr>
          <w:rFonts w:eastAsia="Calibri"/>
          <w:b/>
          <w:bCs/>
          <w:lang w:val="es-DO"/>
        </w:rPr>
      </w:pPr>
      <w:r w:rsidRPr="006C2A50">
        <w:rPr>
          <w:rFonts w:eastAsia="Calibri"/>
          <w:b/>
          <w:bCs/>
          <w:lang w:val="es-DO"/>
        </w:rPr>
        <w:t>4.1 Desempeño administrativo y financiero</w:t>
      </w:r>
    </w:p>
    <w:p w14:paraId="21E8A48C" w14:textId="77777777" w:rsidR="006C2A50" w:rsidRPr="006C2A50" w:rsidRDefault="006C2A50" w:rsidP="006C2A50">
      <w:pPr>
        <w:spacing w:line="360" w:lineRule="auto"/>
        <w:jc w:val="both"/>
        <w:rPr>
          <w:rFonts w:eastAsia="Calibri"/>
          <w:b/>
          <w:bCs/>
          <w:lang w:val="es-DO"/>
        </w:rPr>
      </w:pPr>
      <w:r w:rsidRPr="006C2A50">
        <w:rPr>
          <w:rFonts w:eastAsia="Calibri"/>
          <w:b/>
          <w:bCs/>
          <w:lang w:val="es-DO"/>
        </w:rPr>
        <w:t>Presupuesto General del Estado</w:t>
      </w:r>
    </w:p>
    <w:p w14:paraId="37F9F476" w14:textId="0F0AC95A" w:rsidR="006C2A50" w:rsidRPr="006C2A50" w:rsidRDefault="006C2A50" w:rsidP="00427D27">
      <w:pPr>
        <w:spacing w:line="360" w:lineRule="auto"/>
        <w:jc w:val="both"/>
        <w:rPr>
          <w:rFonts w:eastAsia="Calibri"/>
          <w:lang w:val="es-DO"/>
        </w:rPr>
      </w:pPr>
      <w:r w:rsidRPr="006C2A50">
        <w:rPr>
          <w:rFonts w:eastAsia="Calibri"/>
          <w:lang w:val="es-DO"/>
        </w:rPr>
        <w:t>La Ley de Presupuesto General del Estado 2025, aprobado para su ejecución al partir del día 1ero. de enero, consigna a Dirección General de Museos, como Unidad Ejecutora del Ministerio de Cultura (MINC), la suma de RD$348,799,992.00. Ese monto se distribuye conforme la siguiente distribución de cuentas:</w:t>
      </w:r>
    </w:p>
    <w:tbl>
      <w:tblPr>
        <w:tblW w:w="7508" w:type="dxa"/>
        <w:jc w:val="center"/>
        <w:tblCellMar>
          <w:left w:w="70" w:type="dxa"/>
          <w:right w:w="70" w:type="dxa"/>
        </w:tblCellMar>
        <w:tblLook w:val="04A0" w:firstRow="1" w:lastRow="0" w:firstColumn="1" w:lastColumn="0" w:noHBand="0" w:noVBand="1"/>
      </w:tblPr>
      <w:tblGrid>
        <w:gridCol w:w="895"/>
        <w:gridCol w:w="3495"/>
        <w:gridCol w:w="1842"/>
        <w:gridCol w:w="1276"/>
      </w:tblGrid>
      <w:tr w:rsidR="006C2A50" w:rsidRPr="006C2A50" w14:paraId="3B076E33" w14:textId="77777777" w:rsidTr="00321494">
        <w:trPr>
          <w:trHeight w:val="528"/>
          <w:jc w:val="center"/>
        </w:trPr>
        <w:tc>
          <w:tcPr>
            <w:tcW w:w="895"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0B241721" w14:textId="77777777" w:rsidR="006C2A50" w:rsidRPr="006C2A50" w:rsidRDefault="006C2A50" w:rsidP="006C2A50">
            <w:pPr>
              <w:spacing w:after="0" w:line="360" w:lineRule="auto"/>
              <w:jc w:val="center"/>
              <w:rPr>
                <w:rFonts w:eastAsia="Times New Roman"/>
                <w:b/>
                <w:bCs/>
                <w:color w:val="FFFFFF"/>
                <w:spacing w:val="0"/>
                <w:sz w:val="22"/>
                <w:szCs w:val="22"/>
                <w:lang w:val="es-DO" w:eastAsia="es-DO"/>
              </w:rPr>
            </w:pPr>
            <w:r w:rsidRPr="006C2A50">
              <w:rPr>
                <w:rFonts w:eastAsia="Times New Roman"/>
                <w:b/>
                <w:bCs/>
                <w:color w:val="FFFFFF"/>
                <w:spacing w:val="0"/>
                <w:sz w:val="22"/>
                <w:szCs w:val="22"/>
                <w:lang w:val="es-DO" w:eastAsia="es-DO"/>
              </w:rPr>
              <w:t>Cuenta</w:t>
            </w:r>
          </w:p>
        </w:tc>
        <w:tc>
          <w:tcPr>
            <w:tcW w:w="3495" w:type="dxa"/>
            <w:tcBorders>
              <w:top w:val="single" w:sz="4" w:space="0" w:color="auto"/>
              <w:left w:val="nil"/>
              <w:bottom w:val="single" w:sz="4" w:space="0" w:color="auto"/>
              <w:right w:val="single" w:sz="4" w:space="0" w:color="auto"/>
            </w:tcBorders>
            <w:shd w:val="clear" w:color="auto" w:fill="011C50"/>
            <w:noWrap/>
            <w:vAlign w:val="center"/>
          </w:tcPr>
          <w:p w14:paraId="029812AD" w14:textId="77777777" w:rsidR="006C2A50" w:rsidRPr="006C2A50" w:rsidRDefault="006C2A50" w:rsidP="006C2A50">
            <w:pPr>
              <w:spacing w:after="0" w:line="360" w:lineRule="auto"/>
              <w:jc w:val="center"/>
              <w:rPr>
                <w:rFonts w:eastAsia="Times New Roman"/>
                <w:b/>
                <w:bCs/>
                <w:color w:val="FFFFFF"/>
                <w:spacing w:val="0"/>
                <w:sz w:val="22"/>
                <w:szCs w:val="22"/>
                <w:lang w:val="es-DO" w:eastAsia="es-DO"/>
              </w:rPr>
            </w:pPr>
            <w:r w:rsidRPr="006C2A50">
              <w:rPr>
                <w:rFonts w:eastAsia="Times New Roman"/>
                <w:b/>
                <w:bCs/>
                <w:color w:val="FFFFFF"/>
                <w:spacing w:val="0"/>
                <w:sz w:val="22"/>
                <w:szCs w:val="22"/>
                <w:lang w:val="es-DO" w:eastAsia="es-DO"/>
              </w:rPr>
              <w:t>Subcuenta</w:t>
            </w:r>
          </w:p>
        </w:tc>
        <w:tc>
          <w:tcPr>
            <w:tcW w:w="1842" w:type="dxa"/>
            <w:tcBorders>
              <w:top w:val="single" w:sz="4" w:space="0" w:color="auto"/>
              <w:left w:val="nil"/>
              <w:bottom w:val="single" w:sz="4" w:space="0" w:color="auto"/>
              <w:right w:val="single" w:sz="4" w:space="0" w:color="auto"/>
            </w:tcBorders>
            <w:shd w:val="clear" w:color="auto" w:fill="011C50"/>
            <w:vAlign w:val="center"/>
          </w:tcPr>
          <w:p w14:paraId="1F11277A" w14:textId="77777777" w:rsidR="006C2A50" w:rsidRPr="006C2A50" w:rsidRDefault="006C2A50" w:rsidP="006C2A50">
            <w:pPr>
              <w:spacing w:after="0" w:line="36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Presupuesto (RD$)</w:t>
            </w:r>
          </w:p>
        </w:tc>
        <w:tc>
          <w:tcPr>
            <w:tcW w:w="1276" w:type="dxa"/>
            <w:tcBorders>
              <w:top w:val="single" w:sz="4" w:space="0" w:color="auto"/>
              <w:left w:val="nil"/>
              <w:bottom w:val="single" w:sz="4" w:space="0" w:color="auto"/>
              <w:right w:val="single" w:sz="4" w:space="0" w:color="auto"/>
            </w:tcBorders>
            <w:shd w:val="clear" w:color="auto" w:fill="011C50"/>
            <w:vAlign w:val="center"/>
          </w:tcPr>
          <w:p w14:paraId="702448BD" w14:textId="77777777" w:rsidR="006C2A50" w:rsidRPr="006C2A50" w:rsidRDefault="006C2A50" w:rsidP="006C2A50">
            <w:pPr>
              <w:spacing w:after="0" w:line="36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w:t>
            </w:r>
          </w:p>
        </w:tc>
      </w:tr>
      <w:tr w:rsidR="006C2A50" w:rsidRPr="006C2A50" w14:paraId="62788326" w14:textId="77777777" w:rsidTr="00321494">
        <w:trPr>
          <w:trHeight w:val="224"/>
          <w:jc w:val="center"/>
        </w:trPr>
        <w:tc>
          <w:tcPr>
            <w:tcW w:w="895" w:type="dxa"/>
            <w:tcBorders>
              <w:top w:val="nil"/>
              <w:left w:val="single" w:sz="4" w:space="0" w:color="auto"/>
              <w:bottom w:val="single" w:sz="4" w:space="0" w:color="auto"/>
              <w:right w:val="single" w:sz="4" w:space="0" w:color="auto"/>
            </w:tcBorders>
            <w:noWrap/>
            <w:vAlign w:val="center"/>
          </w:tcPr>
          <w:p w14:paraId="271B77F7"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2.1</w:t>
            </w:r>
          </w:p>
        </w:tc>
        <w:tc>
          <w:tcPr>
            <w:tcW w:w="3495" w:type="dxa"/>
            <w:tcBorders>
              <w:top w:val="nil"/>
              <w:left w:val="nil"/>
              <w:bottom w:val="single" w:sz="4" w:space="0" w:color="auto"/>
              <w:right w:val="single" w:sz="4" w:space="0" w:color="auto"/>
            </w:tcBorders>
            <w:noWrap/>
            <w:vAlign w:val="center"/>
          </w:tcPr>
          <w:p w14:paraId="63D6059C"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Remuneraciones y contrataciones</w:t>
            </w:r>
          </w:p>
        </w:tc>
        <w:tc>
          <w:tcPr>
            <w:tcW w:w="1842" w:type="dxa"/>
            <w:tcBorders>
              <w:top w:val="nil"/>
              <w:left w:val="nil"/>
              <w:bottom w:val="single" w:sz="4" w:space="0" w:color="auto"/>
              <w:right w:val="single" w:sz="4" w:space="0" w:color="auto"/>
            </w:tcBorders>
            <w:noWrap/>
            <w:vAlign w:val="center"/>
          </w:tcPr>
          <w:p w14:paraId="24A22B6F"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267,228,376.00</w:t>
            </w:r>
          </w:p>
        </w:tc>
        <w:tc>
          <w:tcPr>
            <w:tcW w:w="1276" w:type="dxa"/>
            <w:tcBorders>
              <w:top w:val="nil"/>
              <w:left w:val="nil"/>
              <w:bottom w:val="single" w:sz="4" w:space="0" w:color="auto"/>
              <w:right w:val="single" w:sz="4" w:space="0" w:color="auto"/>
            </w:tcBorders>
            <w:noWrap/>
            <w:vAlign w:val="center"/>
          </w:tcPr>
          <w:p w14:paraId="7C68FB2A" w14:textId="55F3151C" w:rsidR="006C2A50" w:rsidRPr="006C2A50" w:rsidRDefault="006C2A50" w:rsidP="00321494">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77%</w:t>
            </w:r>
          </w:p>
        </w:tc>
      </w:tr>
      <w:tr w:rsidR="006C2A50" w:rsidRPr="006C2A50" w14:paraId="07FF24C4" w14:textId="77777777" w:rsidTr="00321494">
        <w:trPr>
          <w:trHeight w:val="276"/>
          <w:jc w:val="center"/>
        </w:trPr>
        <w:tc>
          <w:tcPr>
            <w:tcW w:w="895" w:type="dxa"/>
            <w:tcBorders>
              <w:top w:val="nil"/>
              <w:left w:val="single" w:sz="4" w:space="0" w:color="auto"/>
              <w:bottom w:val="single" w:sz="4" w:space="0" w:color="auto"/>
              <w:right w:val="single" w:sz="4" w:space="0" w:color="auto"/>
            </w:tcBorders>
            <w:noWrap/>
            <w:vAlign w:val="center"/>
          </w:tcPr>
          <w:p w14:paraId="444C439D"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2.2</w:t>
            </w:r>
          </w:p>
        </w:tc>
        <w:tc>
          <w:tcPr>
            <w:tcW w:w="3495" w:type="dxa"/>
            <w:tcBorders>
              <w:top w:val="nil"/>
              <w:left w:val="nil"/>
              <w:bottom w:val="single" w:sz="4" w:space="0" w:color="auto"/>
              <w:right w:val="single" w:sz="4" w:space="0" w:color="auto"/>
            </w:tcBorders>
            <w:noWrap/>
            <w:vAlign w:val="center"/>
          </w:tcPr>
          <w:p w14:paraId="3CCAACB6"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Contrataciones de Servicios Básicos</w:t>
            </w:r>
          </w:p>
        </w:tc>
        <w:tc>
          <w:tcPr>
            <w:tcW w:w="1842" w:type="dxa"/>
            <w:tcBorders>
              <w:top w:val="nil"/>
              <w:left w:val="nil"/>
              <w:bottom w:val="single" w:sz="4" w:space="0" w:color="auto"/>
              <w:right w:val="single" w:sz="4" w:space="0" w:color="auto"/>
            </w:tcBorders>
            <w:noWrap/>
            <w:vAlign w:val="center"/>
          </w:tcPr>
          <w:p w14:paraId="46509151"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71,971,616.00</w:t>
            </w:r>
          </w:p>
        </w:tc>
        <w:tc>
          <w:tcPr>
            <w:tcW w:w="1276" w:type="dxa"/>
            <w:tcBorders>
              <w:top w:val="nil"/>
              <w:left w:val="nil"/>
              <w:bottom w:val="single" w:sz="4" w:space="0" w:color="auto"/>
              <w:right w:val="single" w:sz="4" w:space="0" w:color="auto"/>
            </w:tcBorders>
            <w:noWrap/>
            <w:vAlign w:val="center"/>
          </w:tcPr>
          <w:p w14:paraId="1BE3AA0B" w14:textId="697DB4BA" w:rsidR="006C2A50" w:rsidRPr="006C2A50" w:rsidRDefault="006C2A50" w:rsidP="00321494">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21%</w:t>
            </w:r>
          </w:p>
        </w:tc>
      </w:tr>
      <w:tr w:rsidR="006C2A50" w:rsidRPr="006C2A50" w14:paraId="137BA86D" w14:textId="77777777" w:rsidTr="00321494">
        <w:trPr>
          <w:trHeight w:val="276"/>
          <w:jc w:val="center"/>
        </w:trPr>
        <w:tc>
          <w:tcPr>
            <w:tcW w:w="895" w:type="dxa"/>
            <w:tcBorders>
              <w:top w:val="nil"/>
              <w:left w:val="single" w:sz="4" w:space="0" w:color="auto"/>
              <w:bottom w:val="single" w:sz="4" w:space="0" w:color="auto"/>
              <w:right w:val="single" w:sz="4" w:space="0" w:color="auto"/>
            </w:tcBorders>
            <w:noWrap/>
            <w:vAlign w:val="center"/>
          </w:tcPr>
          <w:p w14:paraId="62323297"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2.3</w:t>
            </w:r>
          </w:p>
        </w:tc>
        <w:tc>
          <w:tcPr>
            <w:tcW w:w="3495" w:type="dxa"/>
            <w:tcBorders>
              <w:top w:val="nil"/>
              <w:left w:val="nil"/>
              <w:bottom w:val="single" w:sz="4" w:space="0" w:color="auto"/>
              <w:right w:val="single" w:sz="4" w:space="0" w:color="auto"/>
            </w:tcBorders>
            <w:noWrap/>
            <w:vAlign w:val="center"/>
          </w:tcPr>
          <w:p w14:paraId="3ACBBE52"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Materiales y Suministros</w:t>
            </w:r>
          </w:p>
        </w:tc>
        <w:tc>
          <w:tcPr>
            <w:tcW w:w="1842" w:type="dxa"/>
            <w:tcBorders>
              <w:top w:val="nil"/>
              <w:left w:val="nil"/>
              <w:bottom w:val="single" w:sz="4" w:space="0" w:color="auto"/>
              <w:right w:val="single" w:sz="4" w:space="0" w:color="auto"/>
            </w:tcBorders>
            <w:noWrap/>
            <w:vAlign w:val="center"/>
          </w:tcPr>
          <w:p w14:paraId="3551261C"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5,600,000.00</w:t>
            </w:r>
          </w:p>
        </w:tc>
        <w:tc>
          <w:tcPr>
            <w:tcW w:w="1276" w:type="dxa"/>
            <w:tcBorders>
              <w:top w:val="nil"/>
              <w:left w:val="nil"/>
              <w:bottom w:val="single" w:sz="4" w:space="0" w:color="auto"/>
              <w:right w:val="single" w:sz="4" w:space="0" w:color="auto"/>
            </w:tcBorders>
            <w:noWrap/>
            <w:vAlign w:val="center"/>
          </w:tcPr>
          <w:p w14:paraId="052FBD3E" w14:textId="77777777" w:rsidR="006C2A50" w:rsidRPr="006C2A50" w:rsidRDefault="006C2A50" w:rsidP="00321494">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w:t>
            </w:r>
          </w:p>
        </w:tc>
      </w:tr>
      <w:tr w:rsidR="006C2A50" w:rsidRPr="006C2A50" w14:paraId="1710873B" w14:textId="77777777" w:rsidTr="00321494">
        <w:trPr>
          <w:trHeight w:val="278"/>
          <w:jc w:val="center"/>
        </w:trPr>
        <w:tc>
          <w:tcPr>
            <w:tcW w:w="895" w:type="dxa"/>
            <w:tcBorders>
              <w:top w:val="nil"/>
              <w:left w:val="single" w:sz="4" w:space="0" w:color="auto"/>
              <w:bottom w:val="single" w:sz="4" w:space="0" w:color="auto"/>
              <w:right w:val="single" w:sz="4" w:space="0" w:color="auto"/>
            </w:tcBorders>
            <w:noWrap/>
            <w:vAlign w:val="center"/>
          </w:tcPr>
          <w:p w14:paraId="09F91A38"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2.6</w:t>
            </w:r>
          </w:p>
        </w:tc>
        <w:tc>
          <w:tcPr>
            <w:tcW w:w="3495" w:type="dxa"/>
            <w:tcBorders>
              <w:top w:val="nil"/>
              <w:left w:val="nil"/>
              <w:bottom w:val="single" w:sz="4" w:space="0" w:color="auto"/>
              <w:right w:val="single" w:sz="4" w:space="0" w:color="auto"/>
            </w:tcBorders>
            <w:noWrap/>
            <w:vAlign w:val="center"/>
          </w:tcPr>
          <w:p w14:paraId="346F87CC"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Bienes Muebles, Inmuebles e Intangibles</w:t>
            </w:r>
          </w:p>
        </w:tc>
        <w:tc>
          <w:tcPr>
            <w:tcW w:w="1842" w:type="dxa"/>
            <w:tcBorders>
              <w:top w:val="nil"/>
              <w:left w:val="nil"/>
              <w:bottom w:val="single" w:sz="4" w:space="0" w:color="auto"/>
              <w:right w:val="single" w:sz="4" w:space="0" w:color="auto"/>
            </w:tcBorders>
            <w:noWrap/>
            <w:vAlign w:val="center"/>
          </w:tcPr>
          <w:p w14:paraId="35B97274"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4,000,000.00</w:t>
            </w:r>
          </w:p>
        </w:tc>
        <w:tc>
          <w:tcPr>
            <w:tcW w:w="1276" w:type="dxa"/>
            <w:tcBorders>
              <w:top w:val="nil"/>
              <w:left w:val="nil"/>
              <w:bottom w:val="single" w:sz="4" w:space="0" w:color="auto"/>
              <w:right w:val="single" w:sz="4" w:space="0" w:color="auto"/>
            </w:tcBorders>
            <w:noWrap/>
            <w:vAlign w:val="center"/>
          </w:tcPr>
          <w:p w14:paraId="2668A1B6" w14:textId="77777777" w:rsidR="006C2A50" w:rsidRPr="006C2A50" w:rsidRDefault="006C2A50" w:rsidP="00321494">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1%</w:t>
            </w:r>
          </w:p>
        </w:tc>
      </w:tr>
      <w:tr w:rsidR="006C2A50" w:rsidRPr="006C2A50" w14:paraId="32F9EC95" w14:textId="77777777" w:rsidTr="00321494">
        <w:trPr>
          <w:trHeight w:val="276"/>
          <w:jc w:val="center"/>
        </w:trPr>
        <w:tc>
          <w:tcPr>
            <w:tcW w:w="4390" w:type="dxa"/>
            <w:gridSpan w:val="2"/>
            <w:tcBorders>
              <w:top w:val="nil"/>
              <w:left w:val="single" w:sz="4" w:space="0" w:color="auto"/>
              <w:bottom w:val="single" w:sz="4" w:space="0" w:color="auto"/>
              <w:right w:val="single" w:sz="4" w:space="0" w:color="auto"/>
            </w:tcBorders>
            <w:shd w:val="clear" w:color="auto" w:fill="011C50"/>
            <w:noWrap/>
            <w:vAlign w:val="center"/>
          </w:tcPr>
          <w:p w14:paraId="70209A2D" w14:textId="77777777" w:rsidR="006C2A50" w:rsidRPr="006C2A50" w:rsidRDefault="006C2A50" w:rsidP="006C2A50">
            <w:pPr>
              <w:spacing w:after="0" w:line="240" w:lineRule="auto"/>
              <w:jc w:val="right"/>
              <w:rPr>
                <w:rFonts w:eastAsia="Times New Roman"/>
                <w:color w:val="auto"/>
                <w:spacing w:val="0"/>
                <w:sz w:val="22"/>
                <w:szCs w:val="22"/>
                <w:lang w:val="es-DO" w:eastAsia="es-DO"/>
              </w:rPr>
            </w:pPr>
            <w:r w:rsidRPr="006C2A50">
              <w:rPr>
                <w:rFonts w:eastAsia="Times New Roman"/>
                <w:color w:val="auto"/>
                <w:spacing w:val="0"/>
                <w:sz w:val="22"/>
                <w:szCs w:val="22"/>
                <w:lang w:val="es-DO" w:eastAsia="es-DO"/>
              </w:rPr>
              <w:t>Totales</w:t>
            </w:r>
          </w:p>
        </w:tc>
        <w:tc>
          <w:tcPr>
            <w:tcW w:w="1842" w:type="dxa"/>
            <w:tcBorders>
              <w:top w:val="nil"/>
              <w:left w:val="nil"/>
              <w:bottom w:val="single" w:sz="4" w:space="0" w:color="auto"/>
              <w:right w:val="single" w:sz="4" w:space="0" w:color="auto"/>
            </w:tcBorders>
            <w:shd w:val="clear" w:color="auto" w:fill="011C50"/>
            <w:noWrap/>
            <w:vAlign w:val="center"/>
          </w:tcPr>
          <w:p w14:paraId="2DC7B5F2" w14:textId="77777777" w:rsidR="006C2A50" w:rsidRPr="006C2A50" w:rsidRDefault="006C2A50" w:rsidP="006C2A50">
            <w:pPr>
              <w:spacing w:after="0" w:line="240" w:lineRule="auto"/>
              <w:jc w:val="right"/>
              <w:rPr>
                <w:rFonts w:eastAsia="Times New Roman"/>
                <w:b/>
                <w:bCs/>
                <w:color w:val="auto"/>
                <w:spacing w:val="0"/>
                <w:sz w:val="20"/>
                <w:szCs w:val="20"/>
                <w:lang w:val="es-DO" w:eastAsia="es-DO"/>
              </w:rPr>
            </w:pPr>
            <w:r w:rsidRPr="006C2A50">
              <w:rPr>
                <w:rFonts w:eastAsia="Times New Roman"/>
                <w:b/>
                <w:bCs/>
                <w:color w:val="auto"/>
                <w:spacing w:val="0"/>
                <w:sz w:val="20"/>
                <w:szCs w:val="20"/>
                <w:lang w:val="es-DO" w:eastAsia="es-DO"/>
              </w:rPr>
              <w:t>348,799,992.00</w:t>
            </w:r>
          </w:p>
        </w:tc>
        <w:tc>
          <w:tcPr>
            <w:tcW w:w="1276" w:type="dxa"/>
            <w:tcBorders>
              <w:top w:val="nil"/>
              <w:left w:val="nil"/>
              <w:bottom w:val="single" w:sz="4" w:space="0" w:color="auto"/>
              <w:right w:val="single" w:sz="4" w:space="0" w:color="auto"/>
            </w:tcBorders>
            <w:shd w:val="clear" w:color="auto" w:fill="011C50"/>
            <w:noWrap/>
            <w:vAlign w:val="center"/>
          </w:tcPr>
          <w:p w14:paraId="619BD9A8" w14:textId="77777777" w:rsidR="006C2A50" w:rsidRPr="006C2A50" w:rsidRDefault="006C2A50" w:rsidP="006C2A50">
            <w:pPr>
              <w:spacing w:after="0" w:line="240" w:lineRule="auto"/>
              <w:jc w:val="center"/>
              <w:rPr>
                <w:rFonts w:eastAsia="Times New Roman"/>
                <w:b/>
                <w:bCs/>
                <w:color w:val="auto"/>
                <w:spacing w:val="0"/>
                <w:sz w:val="20"/>
                <w:szCs w:val="20"/>
                <w:lang w:val="es-DO" w:eastAsia="es-DO"/>
              </w:rPr>
            </w:pPr>
            <w:r w:rsidRPr="006C2A50">
              <w:rPr>
                <w:rFonts w:eastAsia="Times New Roman"/>
                <w:b/>
                <w:bCs/>
                <w:color w:val="auto"/>
                <w:spacing w:val="0"/>
                <w:sz w:val="20"/>
                <w:szCs w:val="20"/>
                <w:lang w:val="es-DO" w:eastAsia="es-DO"/>
              </w:rPr>
              <w:t>100.00%</w:t>
            </w:r>
          </w:p>
        </w:tc>
      </w:tr>
    </w:tbl>
    <w:p w14:paraId="38F5CED8" w14:textId="771D9F6F" w:rsidR="006C2A50" w:rsidRPr="006C2A50" w:rsidRDefault="006C2A50" w:rsidP="006C2A50">
      <w:pPr>
        <w:spacing w:after="0" w:line="240" w:lineRule="exact"/>
        <w:jc w:val="both"/>
        <w:rPr>
          <w:rFonts w:eastAsia="Calibri"/>
          <w:i/>
          <w:iCs/>
          <w:sz w:val="18"/>
          <w:szCs w:val="18"/>
          <w:lang w:val="es-DO"/>
        </w:rPr>
      </w:pPr>
      <w:r w:rsidRPr="006C2A50">
        <w:rPr>
          <w:rFonts w:eastAsia="Calibri"/>
          <w:i/>
          <w:iCs/>
          <w:sz w:val="18"/>
          <w:szCs w:val="18"/>
          <w:lang w:val="es-DO"/>
        </w:rPr>
        <w:t xml:space="preserve">Cuadro </w:t>
      </w:r>
      <w:r w:rsidR="00227219">
        <w:rPr>
          <w:rFonts w:eastAsia="Calibri"/>
          <w:i/>
          <w:iCs/>
          <w:sz w:val="18"/>
          <w:szCs w:val="18"/>
          <w:lang w:val="es-DO"/>
        </w:rPr>
        <w:t xml:space="preserve">10. </w:t>
      </w:r>
      <w:r w:rsidRPr="006C2A50">
        <w:rPr>
          <w:rFonts w:eastAsia="Calibri"/>
          <w:i/>
          <w:iCs/>
          <w:sz w:val="18"/>
          <w:szCs w:val="18"/>
          <w:lang w:val="es-DO"/>
        </w:rPr>
        <w:t xml:space="preserve"> Distribución presupuesto año 2025, Fuente: Sistema de Información de la Gestión Financiera (SIGEF)</w:t>
      </w:r>
    </w:p>
    <w:p w14:paraId="708663E8" w14:textId="77777777" w:rsidR="00427D27" w:rsidRDefault="00427D27" w:rsidP="00427D27">
      <w:pPr>
        <w:spacing w:line="360" w:lineRule="auto"/>
        <w:jc w:val="both"/>
        <w:rPr>
          <w:rFonts w:eastAsia="Calibri"/>
          <w:lang w:val="es-DO"/>
        </w:rPr>
      </w:pPr>
    </w:p>
    <w:p w14:paraId="151B9C2D" w14:textId="7472BB3F" w:rsidR="006C2A50" w:rsidRPr="006C2A50" w:rsidRDefault="006C2A50" w:rsidP="00427D27">
      <w:pPr>
        <w:spacing w:line="360" w:lineRule="auto"/>
        <w:jc w:val="both"/>
        <w:rPr>
          <w:rFonts w:eastAsia="Calibri"/>
          <w:lang w:val="es-DO"/>
        </w:rPr>
      </w:pPr>
      <w:r w:rsidRPr="006C2A50">
        <w:rPr>
          <w:rFonts w:eastAsia="Calibri"/>
          <w:lang w:val="es-DO"/>
        </w:rPr>
        <w:t>Conforme se indica en el cuadro No. 14, el 77% del presupuesto aprobado por la Dirección General de Presupuesto (DIGEPRES), corresponde a gastos remuneraciones y contrataciones; un 21% corresponde a la contratación de los servicios básicos de los museos (comunicaciones, energía eléctrica, agua, recogida de basura); para los gastos de compras de materiales y suministros, se destina un 2%; y un 1% para la categoría de bienes muebles, inmuebles e intangibles.</w:t>
      </w:r>
    </w:p>
    <w:p w14:paraId="5F43240A" w14:textId="77777777" w:rsidR="006C2A50" w:rsidRPr="006C2A50" w:rsidRDefault="006C2A50" w:rsidP="00427D27">
      <w:pPr>
        <w:spacing w:line="360" w:lineRule="auto"/>
        <w:jc w:val="both"/>
        <w:rPr>
          <w:rFonts w:eastAsia="Calibri"/>
          <w:lang w:val="es-DO"/>
        </w:rPr>
      </w:pPr>
      <w:r w:rsidRPr="006C2A50">
        <w:rPr>
          <w:rFonts w:eastAsia="Calibri"/>
          <w:lang w:val="es-DO"/>
        </w:rPr>
        <w:t xml:space="preserve">Al día 18 de noviembre, la Ejecución Presupuestaria de la DGM asciende a un monto total de RD$281,079,713.56; equivalente a un nivel de ejecución de un 80.59% del total presupuestario asignado. </w:t>
      </w:r>
    </w:p>
    <w:tbl>
      <w:tblPr>
        <w:tblW w:w="7552" w:type="dxa"/>
        <w:jc w:val="cente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left w:w="70" w:type="dxa"/>
          <w:right w:w="70" w:type="dxa"/>
        </w:tblCellMar>
        <w:tblLook w:val="04A0" w:firstRow="1" w:lastRow="0" w:firstColumn="1" w:lastColumn="0" w:noHBand="0" w:noVBand="1"/>
      </w:tblPr>
      <w:tblGrid>
        <w:gridCol w:w="763"/>
        <w:gridCol w:w="1753"/>
        <w:gridCol w:w="11"/>
        <w:gridCol w:w="1390"/>
        <w:gridCol w:w="1575"/>
        <w:gridCol w:w="10"/>
        <w:gridCol w:w="1050"/>
        <w:gridCol w:w="10"/>
        <w:gridCol w:w="999"/>
      </w:tblGrid>
      <w:tr w:rsidR="006C2A50" w:rsidRPr="006C2A50" w14:paraId="6B3DAD33" w14:textId="77777777" w:rsidTr="006C2A50">
        <w:trPr>
          <w:trHeight w:val="276"/>
          <w:jc w:val="center"/>
        </w:trPr>
        <w:tc>
          <w:tcPr>
            <w:tcW w:w="715" w:type="dxa"/>
            <w:shd w:val="clear" w:color="auto" w:fill="011C50"/>
            <w:vAlign w:val="center"/>
          </w:tcPr>
          <w:p w14:paraId="2DCA8E97"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lastRenderedPageBreak/>
              <w:t>Cuenta</w:t>
            </w:r>
          </w:p>
        </w:tc>
        <w:tc>
          <w:tcPr>
            <w:tcW w:w="1800" w:type="dxa"/>
            <w:shd w:val="clear" w:color="auto" w:fill="011C50"/>
            <w:vAlign w:val="center"/>
          </w:tcPr>
          <w:p w14:paraId="4ECD1377"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Subcuenta</w:t>
            </w:r>
          </w:p>
        </w:tc>
        <w:tc>
          <w:tcPr>
            <w:tcW w:w="1400" w:type="dxa"/>
            <w:gridSpan w:val="2"/>
            <w:shd w:val="clear" w:color="auto" w:fill="011C50"/>
            <w:vAlign w:val="center"/>
          </w:tcPr>
          <w:p w14:paraId="2C70A98D"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Aprobado</w:t>
            </w:r>
          </w:p>
        </w:tc>
        <w:tc>
          <w:tcPr>
            <w:tcW w:w="1575" w:type="dxa"/>
            <w:shd w:val="clear" w:color="auto" w:fill="011C50"/>
            <w:vAlign w:val="center"/>
          </w:tcPr>
          <w:p w14:paraId="79256095"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Ejecutado</w:t>
            </w:r>
          </w:p>
        </w:tc>
        <w:tc>
          <w:tcPr>
            <w:tcW w:w="1060" w:type="dxa"/>
            <w:gridSpan w:val="2"/>
            <w:shd w:val="clear" w:color="auto" w:fill="011C50"/>
            <w:vAlign w:val="center"/>
          </w:tcPr>
          <w:p w14:paraId="29F73695"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 Relativo</w:t>
            </w:r>
          </w:p>
        </w:tc>
        <w:tc>
          <w:tcPr>
            <w:tcW w:w="990" w:type="dxa"/>
            <w:gridSpan w:val="2"/>
            <w:shd w:val="clear" w:color="auto" w:fill="011C50"/>
            <w:vAlign w:val="center"/>
          </w:tcPr>
          <w:p w14:paraId="0BF5AEC0"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 Ejecutado Total</w:t>
            </w:r>
          </w:p>
        </w:tc>
      </w:tr>
      <w:tr w:rsidR="006C2A50" w:rsidRPr="006C2A50" w14:paraId="6217E309" w14:textId="77777777" w:rsidTr="006C2A50">
        <w:trPr>
          <w:trHeight w:val="288"/>
          <w:jc w:val="center"/>
        </w:trPr>
        <w:tc>
          <w:tcPr>
            <w:tcW w:w="715" w:type="dxa"/>
            <w:vAlign w:val="center"/>
          </w:tcPr>
          <w:p w14:paraId="382A793C"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2.1</w:t>
            </w:r>
          </w:p>
        </w:tc>
        <w:tc>
          <w:tcPr>
            <w:tcW w:w="1800" w:type="dxa"/>
            <w:vAlign w:val="center"/>
          </w:tcPr>
          <w:p w14:paraId="5079C870"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Remuneraciones y contrataciones</w:t>
            </w:r>
          </w:p>
        </w:tc>
        <w:tc>
          <w:tcPr>
            <w:tcW w:w="1400" w:type="dxa"/>
            <w:gridSpan w:val="2"/>
            <w:noWrap/>
            <w:vAlign w:val="center"/>
          </w:tcPr>
          <w:p w14:paraId="6B0B6220"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267,228,376.00</w:t>
            </w:r>
          </w:p>
        </w:tc>
        <w:tc>
          <w:tcPr>
            <w:tcW w:w="1575" w:type="dxa"/>
            <w:noWrap/>
            <w:vAlign w:val="center"/>
          </w:tcPr>
          <w:p w14:paraId="2EC065FB"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223,944,458.77</w:t>
            </w:r>
          </w:p>
        </w:tc>
        <w:tc>
          <w:tcPr>
            <w:tcW w:w="1060" w:type="dxa"/>
            <w:gridSpan w:val="2"/>
            <w:noWrap/>
            <w:vAlign w:val="center"/>
          </w:tcPr>
          <w:p w14:paraId="26150781"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83.80%</w:t>
            </w:r>
          </w:p>
        </w:tc>
        <w:tc>
          <w:tcPr>
            <w:tcW w:w="990" w:type="dxa"/>
            <w:gridSpan w:val="2"/>
            <w:vAlign w:val="center"/>
          </w:tcPr>
          <w:p w14:paraId="0FCDB7FB"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64.21%</w:t>
            </w:r>
          </w:p>
        </w:tc>
      </w:tr>
      <w:tr w:rsidR="006C2A50" w:rsidRPr="006C2A50" w14:paraId="1E5D8905" w14:textId="77777777" w:rsidTr="006C2A50">
        <w:trPr>
          <w:trHeight w:val="288"/>
          <w:jc w:val="center"/>
        </w:trPr>
        <w:tc>
          <w:tcPr>
            <w:tcW w:w="715" w:type="dxa"/>
            <w:vAlign w:val="center"/>
          </w:tcPr>
          <w:p w14:paraId="496DBBB7"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2.2</w:t>
            </w:r>
          </w:p>
        </w:tc>
        <w:tc>
          <w:tcPr>
            <w:tcW w:w="1800" w:type="dxa"/>
            <w:vAlign w:val="center"/>
          </w:tcPr>
          <w:p w14:paraId="11C74775"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Contrataciones de Servicios Básicos</w:t>
            </w:r>
          </w:p>
        </w:tc>
        <w:tc>
          <w:tcPr>
            <w:tcW w:w="1400" w:type="dxa"/>
            <w:gridSpan w:val="2"/>
            <w:noWrap/>
            <w:vAlign w:val="center"/>
          </w:tcPr>
          <w:p w14:paraId="250CFD2A"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71,971,616.00</w:t>
            </w:r>
          </w:p>
        </w:tc>
        <w:tc>
          <w:tcPr>
            <w:tcW w:w="1575" w:type="dxa"/>
            <w:noWrap/>
            <w:vAlign w:val="center"/>
          </w:tcPr>
          <w:p w14:paraId="7E590DCB"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50,047,295.00</w:t>
            </w:r>
          </w:p>
        </w:tc>
        <w:tc>
          <w:tcPr>
            <w:tcW w:w="1060" w:type="dxa"/>
            <w:gridSpan w:val="2"/>
            <w:noWrap/>
            <w:vAlign w:val="center"/>
          </w:tcPr>
          <w:p w14:paraId="39732746"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69.54%</w:t>
            </w:r>
          </w:p>
        </w:tc>
        <w:tc>
          <w:tcPr>
            <w:tcW w:w="990" w:type="dxa"/>
            <w:gridSpan w:val="2"/>
            <w:vAlign w:val="center"/>
          </w:tcPr>
          <w:p w14:paraId="11B66C18"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14.35%</w:t>
            </w:r>
          </w:p>
        </w:tc>
      </w:tr>
      <w:tr w:rsidR="006C2A50" w:rsidRPr="006C2A50" w14:paraId="095035AA" w14:textId="77777777" w:rsidTr="006C2A50">
        <w:trPr>
          <w:trHeight w:val="288"/>
          <w:jc w:val="center"/>
        </w:trPr>
        <w:tc>
          <w:tcPr>
            <w:tcW w:w="715" w:type="dxa"/>
            <w:vAlign w:val="center"/>
          </w:tcPr>
          <w:p w14:paraId="055E566B"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2.3</w:t>
            </w:r>
          </w:p>
        </w:tc>
        <w:tc>
          <w:tcPr>
            <w:tcW w:w="1800" w:type="dxa"/>
            <w:vAlign w:val="center"/>
          </w:tcPr>
          <w:p w14:paraId="0F25F2EF"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Materiales y Suministros</w:t>
            </w:r>
          </w:p>
        </w:tc>
        <w:tc>
          <w:tcPr>
            <w:tcW w:w="1400" w:type="dxa"/>
            <w:gridSpan w:val="2"/>
            <w:noWrap/>
            <w:vAlign w:val="center"/>
          </w:tcPr>
          <w:p w14:paraId="3DE566CF"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5,600,000.00</w:t>
            </w:r>
          </w:p>
        </w:tc>
        <w:tc>
          <w:tcPr>
            <w:tcW w:w="1575" w:type="dxa"/>
            <w:noWrap/>
            <w:vAlign w:val="center"/>
          </w:tcPr>
          <w:p w14:paraId="24A5DE94"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3,851,918.96</w:t>
            </w:r>
          </w:p>
        </w:tc>
        <w:tc>
          <w:tcPr>
            <w:tcW w:w="1060" w:type="dxa"/>
            <w:gridSpan w:val="2"/>
            <w:noWrap/>
            <w:vAlign w:val="center"/>
          </w:tcPr>
          <w:p w14:paraId="0A58A345"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68.78%</w:t>
            </w:r>
          </w:p>
        </w:tc>
        <w:tc>
          <w:tcPr>
            <w:tcW w:w="990" w:type="dxa"/>
            <w:gridSpan w:val="2"/>
            <w:vAlign w:val="center"/>
          </w:tcPr>
          <w:p w14:paraId="057C36D5"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1.10%</w:t>
            </w:r>
          </w:p>
        </w:tc>
      </w:tr>
      <w:tr w:rsidR="006C2A50" w:rsidRPr="006C2A50" w14:paraId="0726A591" w14:textId="77777777" w:rsidTr="006C2A50">
        <w:trPr>
          <w:trHeight w:val="540"/>
          <w:jc w:val="center"/>
        </w:trPr>
        <w:tc>
          <w:tcPr>
            <w:tcW w:w="715" w:type="dxa"/>
            <w:vAlign w:val="center"/>
          </w:tcPr>
          <w:p w14:paraId="65277BA5"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2.6</w:t>
            </w:r>
          </w:p>
        </w:tc>
        <w:tc>
          <w:tcPr>
            <w:tcW w:w="1800" w:type="dxa"/>
            <w:vAlign w:val="center"/>
          </w:tcPr>
          <w:p w14:paraId="36BF4E52"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Bienes Muebles, Inmuebles e Intangibles</w:t>
            </w:r>
          </w:p>
        </w:tc>
        <w:tc>
          <w:tcPr>
            <w:tcW w:w="1400" w:type="dxa"/>
            <w:gridSpan w:val="2"/>
            <w:noWrap/>
            <w:vAlign w:val="center"/>
          </w:tcPr>
          <w:p w14:paraId="642C7069"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4,000,000.00</w:t>
            </w:r>
          </w:p>
        </w:tc>
        <w:tc>
          <w:tcPr>
            <w:tcW w:w="1575" w:type="dxa"/>
            <w:noWrap/>
            <w:vAlign w:val="center"/>
          </w:tcPr>
          <w:p w14:paraId="17E15712"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3,236,040.83</w:t>
            </w:r>
          </w:p>
        </w:tc>
        <w:tc>
          <w:tcPr>
            <w:tcW w:w="1060" w:type="dxa"/>
            <w:gridSpan w:val="2"/>
            <w:noWrap/>
            <w:vAlign w:val="center"/>
          </w:tcPr>
          <w:p w14:paraId="3AD608BC"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80.90%</w:t>
            </w:r>
          </w:p>
          <w:p w14:paraId="4019DACE" w14:textId="77777777" w:rsidR="006C2A50" w:rsidRPr="006C2A50" w:rsidRDefault="006C2A50" w:rsidP="006C2A50">
            <w:pPr>
              <w:spacing w:after="0" w:line="240" w:lineRule="auto"/>
              <w:jc w:val="center"/>
              <w:rPr>
                <w:rFonts w:eastAsia="Times New Roman"/>
                <w:spacing w:val="0"/>
                <w:sz w:val="20"/>
                <w:szCs w:val="20"/>
                <w:lang w:val="es-DO" w:eastAsia="es-DO"/>
              </w:rPr>
            </w:pPr>
          </w:p>
        </w:tc>
        <w:tc>
          <w:tcPr>
            <w:tcW w:w="990" w:type="dxa"/>
            <w:gridSpan w:val="2"/>
            <w:vAlign w:val="center"/>
          </w:tcPr>
          <w:p w14:paraId="3AEBE7C1"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0.93%</w:t>
            </w:r>
          </w:p>
        </w:tc>
      </w:tr>
      <w:tr w:rsidR="006C2A50" w:rsidRPr="006C2A50" w14:paraId="1C1EC8CD" w14:textId="77777777" w:rsidTr="006C2A50">
        <w:trPr>
          <w:trHeight w:val="288"/>
          <w:jc w:val="center"/>
        </w:trPr>
        <w:tc>
          <w:tcPr>
            <w:tcW w:w="2527" w:type="dxa"/>
            <w:gridSpan w:val="3"/>
            <w:shd w:val="clear" w:color="auto" w:fill="011C50"/>
            <w:noWrap/>
            <w:vAlign w:val="center"/>
          </w:tcPr>
          <w:p w14:paraId="70AA65F8" w14:textId="77777777" w:rsidR="006C2A50" w:rsidRPr="006C2A50" w:rsidRDefault="006C2A50" w:rsidP="006C2A50">
            <w:pPr>
              <w:spacing w:after="0" w:line="240" w:lineRule="auto"/>
              <w:jc w:val="right"/>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Totales</w:t>
            </w:r>
          </w:p>
        </w:tc>
        <w:tc>
          <w:tcPr>
            <w:tcW w:w="1390" w:type="dxa"/>
            <w:shd w:val="clear" w:color="auto" w:fill="011C50"/>
            <w:noWrap/>
            <w:vAlign w:val="center"/>
          </w:tcPr>
          <w:p w14:paraId="5416C112" w14:textId="77777777" w:rsidR="006C2A50" w:rsidRPr="006C2A50" w:rsidRDefault="006C2A50" w:rsidP="006C2A50">
            <w:pPr>
              <w:spacing w:after="0" w:line="240" w:lineRule="auto"/>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 xml:space="preserve">348,799,992.00 </w:t>
            </w:r>
          </w:p>
        </w:tc>
        <w:tc>
          <w:tcPr>
            <w:tcW w:w="1585" w:type="dxa"/>
            <w:gridSpan w:val="2"/>
            <w:shd w:val="clear" w:color="auto" w:fill="011C50"/>
            <w:noWrap/>
            <w:vAlign w:val="center"/>
          </w:tcPr>
          <w:p w14:paraId="07F9B1A0" w14:textId="77777777" w:rsidR="006C2A50" w:rsidRPr="006C2A50" w:rsidRDefault="006C2A50" w:rsidP="006C2A50">
            <w:pPr>
              <w:spacing w:after="0" w:line="240" w:lineRule="auto"/>
              <w:jc w:val="right"/>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 xml:space="preserve">281,079,713.56 </w:t>
            </w:r>
          </w:p>
        </w:tc>
        <w:tc>
          <w:tcPr>
            <w:tcW w:w="1060" w:type="dxa"/>
            <w:gridSpan w:val="2"/>
            <w:shd w:val="clear" w:color="auto" w:fill="011C50"/>
            <w:noWrap/>
            <w:vAlign w:val="center"/>
          </w:tcPr>
          <w:p w14:paraId="111FF1B0"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80.59%</w:t>
            </w:r>
          </w:p>
        </w:tc>
        <w:tc>
          <w:tcPr>
            <w:tcW w:w="990" w:type="dxa"/>
            <w:shd w:val="clear" w:color="auto" w:fill="011C50"/>
            <w:noWrap/>
            <w:vAlign w:val="center"/>
          </w:tcPr>
          <w:p w14:paraId="1187A703"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80.59%</w:t>
            </w:r>
          </w:p>
        </w:tc>
      </w:tr>
    </w:tbl>
    <w:p w14:paraId="640A287A" w14:textId="2260AE51" w:rsidR="006C2A50" w:rsidRPr="006C2A50" w:rsidRDefault="006C2A50" w:rsidP="006C2A50">
      <w:pPr>
        <w:spacing w:after="0" w:line="240" w:lineRule="auto"/>
        <w:jc w:val="both"/>
        <w:rPr>
          <w:rFonts w:eastAsia="Calibri"/>
          <w:i/>
          <w:iCs/>
          <w:color w:val="4C4747"/>
          <w:sz w:val="20"/>
          <w:szCs w:val="20"/>
          <w:lang w:val="es-DO"/>
        </w:rPr>
      </w:pPr>
      <w:r w:rsidRPr="006C2A50">
        <w:rPr>
          <w:rFonts w:eastAsia="Calibri"/>
          <w:i/>
          <w:iCs/>
          <w:color w:val="4C4747"/>
          <w:sz w:val="20"/>
          <w:szCs w:val="20"/>
          <w:lang w:val="es-DO"/>
        </w:rPr>
        <w:t xml:space="preserve">        Cuadro </w:t>
      </w:r>
      <w:r w:rsidR="00227219">
        <w:rPr>
          <w:rFonts w:eastAsia="Calibri"/>
          <w:i/>
          <w:iCs/>
          <w:color w:val="4C4747"/>
          <w:sz w:val="20"/>
          <w:szCs w:val="20"/>
          <w:lang w:val="es-DO"/>
        </w:rPr>
        <w:t>11</w:t>
      </w:r>
      <w:r w:rsidR="00DB7323">
        <w:rPr>
          <w:rFonts w:eastAsia="Calibri"/>
          <w:i/>
          <w:iCs/>
          <w:color w:val="4C4747"/>
          <w:sz w:val="20"/>
          <w:szCs w:val="20"/>
          <w:lang w:val="es-DO"/>
        </w:rPr>
        <w:t xml:space="preserve">. </w:t>
      </w:r>
      <w:r w:rsidRPr="006C2A50">
        <w:rPr>
          <w:rFonts w:eastAsia="Calibri"/>
          <w:i/>
          <w:iCs/>
          <w:color w:val="4C4747"/>
          <w:sz w:val="20"/>
          <w:szCs w:val="20"/>
          <w:lang w:val="es-DO"/>
        </w:rPr>
        <w:t>Ejecución presupuestaria año 2025</w:t>
      </w:r>
    </w:p>
    <w:p w14:paraId="74BFBF83" w14:textId="77777777" w:rsidR="006C2A50" w:rsidRPr="006C2A50" w:rsidRDefault="006C2A50" w:rsidP="006C2A50">
      <w:pPr>
        <w:spacing w:after="0" w:line="240" w:lineRule="auto"/>
        <w:jc w:val="both"/>
        <w:rPr>
          <w:rFonts w:eastAsia="Calibri"/>
          <w:i/>
          <w:iCs/>
          <w:color w:val="4C4747"/>
          <w:sz w:val="20"/>
          <w:szCs w:val="20"/>
          <w:lang w:val="es-DO"/>
        </w:rPr>
      </w:pPr>
    </w:p>
    <w:p w14:paraId="7B22F3B5" w14:textId="2BDB42A9" w:rsidR="006C2A50" w:rsidRPr="006C2A50" w:rsidRDefault="006C2A50" w:rsidP="006C2A50">
      <w:pPr>
        <w:spacing w:after="0" w:line="240" w:lineRule="auto"/>
        <w:jc w:val="both"/>
        <w:rPr>
          <w:rFonts w:eastAsia="Calibri"/>
          <w:i/>
          <w:iCs/>
          <w:color w:val="4C4747"/>
          <w:sz w:val="20"/>
          <w:szCs w:val="20"/>
          <w:lang w:val="es-DO"/>
        </w:rPr>
      </w:pPr>
      <w:r w:rsidRPr="006C2A50">
        <w:rPr>
          <w:rFonts w:eastAsia="Calibri"/>
          <w:i/>
          <w:iCs/>
          <w:color w:val="4C4747"/>
          <w:sz w:val="20"/>
          <w:szCs w:val="20"/>
          <w:lang w:val="es-DO"/>
        </w:rPr>
        <w:t xml:space="preserve">      </w:t>
      </w:r>
    </w:p>
    <w:p w14:paraId="500BCF64" w14:textId="77777777" w:rsidR="006C2A50" w:rsidRPr="006C2A50" w:rsidRDefault="006C2A50" w:rsidP="00427D27">
      <w:pPr>
        <w:spacing w:line="360" w:lineRule="auto"/>
        <w:jc w:val="both"/>
        <w:rPr>
          <w:rFonts w:eastAsia="Calibri"/>
          <w:lang w:val="es-DO"/>
        </w:rPr>
      </w:pPr>
      <w:r w:rsidRPr="006C2A50">
        <w:rPr>
          <w:rFonts w:eastAsia="Calibri"/>
          <w:lang w:val="es-DO"/>
        </w:rPr>
        <w:t xml:space="preserve">Para el año 2025, la distribución de la ejecución presupuestaria, atendiendo a la categoría del gasto, muestra que el 64.21% del monto ejecutado corresponde a remuneraciones y contrataciones, por un total de doscientos veinte y tres millones novecientos cuarenta y cuatro mil cuatrocientos cincuenta y ocho pesos con setenta y siete centavos (DOP223,944,458.77); el 14.35% corresponde a la contratación de servicios básicos para la operatividad de los museos administrados por la DGM, por un valor de cincuenta millones cuarenta y siete mil doscientos noventa y cinco (DOP 50,047,295.00); el 1.10% corresponde a la compra de materiales y suministros para oficina y la implementación de las actividades misionales de los museos, por un monto de tres millones ochocientos cincuenta y un mil novecientos dieciocho con noventa y seis centavos </w:t>
      </w:r>
      <w:r w:rsidRPr="006C2A50">
        <w:rPr>
          <w:rFonts w:eastAsia="Calibri"/>
          <w:color w:val="auto"/>
          <w:lang w:val="es-DO"/>
        </w:rPr>
        <w:t>(</w:t>
      </w:r>
      <w:r w:rsidRPr="006C2A50">
        <w:rPr>
          <w:rFonts w:eastAsia="Calibri"/>
          <w:lang w:val="es-DO"/>
        </w:rPr>
        <w:t>DOP3,851,918.96</w:t>
      </w:r>
      <w:r w:rsidRPr="006C2A50">
        <w:rPr>
          <w:rFonts w:eastAsia="Calibri"/>
          <w:color w:val="auto"/>
          <w:lang w:val="es-DO"/>
        </w:rPr>
        <w:t xml:space="preserve">).  </w:t>
      </w:r>
      <w:r w:rsidRPr="006C2A50">
        <w:rPr>
          <w:rFonts w:eastAsia="Calibri"/>
          <w:lang w:val="es-DO"/>
        </w:rPr>
        <w:t>Finalmente, un 0.93% del monto ejecutado, por valor de tres millones doscientos treinta y seis cuarenta con ochenta y tres centavos (DOP3,236,040.83), correspondió a la compra de bienes muebles.</w:t>
      </w:r>
    </w:p>
    <w:p w14:paraId="3E19B323" w14:textId="77777777" w:rsidR="006C2A50" w:rsidRPr="006C2A50" w:rsidRDefault="006C2A50" w:rsidP="00427D27">
      <w:pPr>
        <w:spacing w:line="360" w:lineRule="auto"/>
        <w:jc w:val="center"/>
        <w:rPr>
          <w:rFonts w:eastAsia="Calibri"/>
          <w:b/>
          <w:bCs/>
          <w:lang w:val="es-DO"/>
        </w:rPr>
      </w:pPr>
      <w:r w:rsidRPr="006C2A50">
        <w:rPr>
          <w:rFonts w:eastAsia="Calibri"/>
          <w:b/>
          <w:bCs/>
          <w:lang w:val="es-DO"/>
        </w:rPr>
        <w:t>Ejecución de recursos recaudados</w:t>
      </w:r>
    </w:p>
    <w:p w14:paraId="6F1C5B1A" w14:textId="77777777" w:rsidR="00D52943" w:rsidRDefault="006C2A50" w:rsidP="00427D27">
      <w:pPr>
        <w:spacing w:line="360" w:lineRule="auto"/>
        <w:jc w:val="both"/>
        <w:rPr>
          <w:rFonts w:eastAsia="Calibri"/>
          <w:lang w:val="es-DO"/>
        </w:rPr>
      </w:pPr>
      <w:r w:rsidRPr="006C2A50">
        <w:rPr>
          <w:rFonts w:eastAsia="Calibri"/>
          <w:lang w:val="es-DO"/>
        </w:rPr>
        <w:t xml:space="preserve">Durante el año 2025, los museos administrados por la DGM generaron recursos financieros por concepto de ventas de boletas para entrada </w:t>
      </w:r>
    </w:p>
    <w:p w14:paraId="7AFA1403" w14:textId="1EA65BCC" w:rsidR="006C2A50" w:rsidRPr="006C2A50" w:rsidRDefault="006C2A50" w:rsidP="00427D27">
      <w:pPr>
        <w:spacing w:line="360" w:lineRule="auto"/>
        <w:jc w:val="both"/>
        <w:rPr>
          <w:rFonts w:eastAsia="Calibri"/>
          <w:lang w:val="es-DO"/>
        </w:rPr>
      </w:pPr>
      <w:r w:rsidRPr="006C2A50">
        <w:rPr>
          <w:rFonts w:eastAsia="Calibri"/>
          <w:lang w:val="es-DO"/>
        </w:rPr>
        <w:lastRenderedPageBreak/>
        <w:t>a las exposiciones y servicios complementarios ofertados al público, por un monto total de cuarenta y un millones ciento sesenta y siete mil ciento sesenta y cuatro pesos (DOP38,080,286.43), por concepto de cobros entradas, alquileres de espacios y otros servicios.</w:t>
      </w:r>
    </w:p>
    <w:tbl>
      <w:tblPr>
        <w:tblW w:w="6655" w:type="dxa"/>
        <w:jc w:val="center"/>
        <w:tblCellMar>
          <w:left w:w="70" w:type="dxa"/>
          <w:right w:w="70" w:type="dxa"/>
        </w:tblCellMar>
        <w:tblLook w:val="04A0" w:firstRow="1" w:lastRow="0" w:firstColumn="1" w:lastColumn="0" w:noHBand="0" w:noVBand="1"/>
      </w:tblPr>
      <w:tblGrid>
        <w:gridCol w:w="805"/>
        <w:gridCol w:w="3140"/>
        <w:gridCol w:w="7"/>
        <w:gridCol w:w="1593"/>
        <w:gridCol w:w="7"/>
        <w:gridCol w:w="1103"/>
      </w:tblGrid>
      <w:tr w:rsidR="006C2A50" w:rsidRPr="006C2A50" w14:paraId="591733DF" w14:textId="77777777" w:rsidTr="00380477">
        <w:trPr>
          <w:trHeight w:val="312"/>
          <w:jc w:val="center"/>
        </w:trPr>
        <w:tc>
          <w:tcPr>
            <w:tcW w:w="805" w:type="dxa"/>
            <w:tcBorders>
              <w:top w:val="single" w:sz="4" w:space="0" w:color="auto"/>
              <w:left w:val="single" w:sz="4" w:space="0" w:color="auto"/>
              <w:bottom w:val="single" w:sz="4" w:space="0" w:color="auto"/>
              <w:right w:val="single" w:sz="4" w:space="0" w:color="auto"/>
            </w:tcBorders>
            <w:shd w:val="clear" w:color="auto" w:fill="011C50"/>
            <w:vAlign w:val="center"/>
          </w:tcPr>
          <w:p w14:paraId="66DEB02C"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Ítem</w:t>
            </w:r>
          </w:p>
        </w:tc>
        <w:tc>
          <w:tcPr>
            <w:tcW w:w="3140" w:type="dxa"/>
            <w:tcBorders>
              <w:top w:val="single" w:sz="4" w:space="0" w:color="auto"/>
              <w:left w:val="nil"/>
              <w:bottom w:val="single" w:sz="4" w:space="0" w:color="auto"/>
              <w:right w:val="single" w:sz="4" w:space="0" w:color="auto"/>
            </w:tcBorders>
            <w:shd w:val="clear" w:color="auto" w:fill="011C50"/>
            <w:vAlign w:val="center"/>
          </w:tcPr>
          <w:p w14:paraId="08197635"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Tipo de Ingreso</w:t>
            </w:r>
          </w:p>
        </w:tc>
        <w:tc>
          <w:tcPr>
            <w:tcW w:w="1600" w:type="dxa"/>
            <w:gridSpan w:val="2"/>
            <w:tcBorders>
              <w:top w:val="single" w:sz="4" w:space="0" w:color="auto"/>
              <w:left w:val="nil"/>
              <w:bottom w:val="single" w:sz="4" w:space="0" w:color="auto"/>
              <w:right w:val="single" w:sz="4" w:space="0" w:color="auto"/>
            </w:tcBorders>
            <w:shd w:val="clear" w:color="auto" w:fill="011C50"/>
            <w:vAlign w:val="center"/>
          </w:tcPr>
          <w:p w14:paraId="53D88A26"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Monto (DOP)</w:t>
            </w:r>
          </w:p>
        </w:tc>
        <w:tc>
          <w:tcPr>
            <w:tcW w:w="1110" w:type="dxa"/>
            <w:gridSpan w:val="2"/>
            <w:tcBorders>
              <w:top w:val="single" w:sz="4" w:space="0" w:color="auto"/>
              <w:left w:val="nil"/>
              <w:bottom w:val="single" w:sz="4" w:space="0" w:color="auto"/>
              <w:right w:val="single" w:sz="4" w:space="0" w:color="auto"/>
            </w:tcBorders>
            <w:shd w:val="clear" w:color="auto" w:fill="011C50"/>
            <w:vAlign w:val="center"/>
          </w:tcPr>
          <w:p w14:paraId="3538A4CE"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w:t>
            </w:r>
          </w:p>
        </w:tc>
      </w:tr>
      <w:tr w:rsidR="006C2A50" w:rsidRPr="006C2A50" w14:paraId="629D5B00" w14:textId="77777777" w:rsidTr="00380477">
        <w:trPr>
          <w:trHeight w:val="288"/>
          <w:jc w:val="center"/>
        </w:trPr>
        <w:tc>
          <w:tcPr>
            <w:tcW w:w="805" w:type="dxa"/>
            <w:tcBorders>
              <w:top w:val="nil"/>
              <w:left w:val="single" w:sz="4" w:space="0" w:color="auto"/>
              <w:bottom w:val="single" w:sz="4" w:space="0" w:color="auto"/>
              <w:right w:val="single" w:sz="4" w:space="0" w:color="auto"/>
            </w:tcBorders>
            <w:vAlign w:val="center"/>
          </w:tcPr>
          <w:p w14:paraId="6A2DE553"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1</w:t>
            </w:r>
          </w:p>
        </w:tc>
        <w:tc>
          <w:tcPr>
            <w:tcW w:w="3140" w:type="dxa"/>
            <w:tcBorders>
              <w:top w:val="nil"/>
              <w:left w:val="nil"/>
              <w:bottom w:val="single" w:sz="4" w:space="0" w:color="auto"/>
              <w:right w:val="single" w:sz="4" w:space="0" w:color="auto"/>
            </w:tcBorders>
            <w:vAlign w:val="center"/>
          </w:tcPr>
          <w:p w14:paraId="7DC38FE5"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Boletería (entradas a museos)</w:t>
            </w:r>
          </w:p>
        </w:tc>
        <w:tc>
          <w:tcPr>
            <w:tcW w:w="1600" w:type="dxa"/>
            <w:gridSpan w:val="2"/>
            <w:tcBorders>
              <w:top w:val="nil"/>
              <w:left w:val="nil"/>
              <w:bottom w:val="single" w:sz="4" w:space="0" w:color="auto"/>
              <w:right w:val="single" w:sz="4" w:space="0" w:color="auto"/>
            </w:tcBorders>
            <w:noWrap/>
          </w:tcPr>
          <w:p w14:paraId="52742FDD"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Calibri"/>
                <w:sz w:val="20"/>
                <w:szCs w:val="20"/>
              </w:rPr>
              <w:t>35,827,169.02</w:t>
            </w:r>
          </w:p>
        </w:tc>
        <w:tc>
          <w:tcPr>
            <w:tcW w:w="1110" w:type="dxa"/>
            <w:gridSpan w:val="2"/>
            <w:tcBorders>
              <w:top w:val="nil"/>
              <w:left w:val="nil"/>
              <w:bottom w:val="single" w:sz="4" w:space="0" w:color="auto"/>
              <w:right w:val="single" w:sz="4" w:space="0" w:color="auto"/>
            </w:tcBorders>
            <w:noWrap/>
          </w:tcPr>
          <w:p w14:paraId="4E5D0BDF"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Calibri"/>
                <w:sz w:val="20"/>
                <w:szCs w:val="20"/>
              </w:rPr>
              <w:t>94%</w:t>
            </w:r>
          </w:p>
        </w:tc>
      </w:tr>
      <w:tr w:rsidR="006C2A50" w:rsidRPr="006C2A50" w14:paraId="02629FEB" w14:textId="77777777" w:rsidTr="00380477">
        <w:trPr>
          <w:trHeight w:val="288"/>
          <w:jc w:val="center"/>
        </w:trPr>
        <w:tc>
          <w:tcPr>
            <w:tcW w:w="805" w:type="dxa"/>
            <w:tcBorders>
              <w:top w:val="nil"/>
              <w:left w:val="single" w:sz="4" w:space="0" w:color="auto"/>
              <w:bottom w:val="single" w:sz="4" w:space="0" w:color="auto"/>
              <w:right w:val="single" w:sz="4" w:space="0" w:color="auto"/>
            </w:tcBorders>
            <w:vAlign w:val="center"/>
          </w:tcPr>
          <w:p w14:paraId="49B90BE8"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w:t>
            </w:r>
          </w:p>
        </w:tc>
        <w:tc>
          <w:tcPr>
            <w:tcW w:w="3140" w:type="dxa"/>
            <w:tcBorders>
              <w:top w:val="nil"/>
              <w:left w:val="nil"/>
              <w:bottom w:val="single" w:sz="4" w:space="0" w:color="auto"/>
              <w:right w:val="single" w:sz="4" w:space="0" w:color="auto"/>
            </w:tcBorders>
            <w:noWrap/>
            <w:vAlign w:val="center"/>
          </w:tcPr>
          <w:p w14:paraId="5B0A9540"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Alquileres de espacios en museos</w:t>
            </w:r>
          </w:p>
        </w:tc>
        <w:tc>
          <w:tcPr>
            <w:tcW w:w="1600" w:type="dxa"/>
            <w:gridSpan w:val="2"/>
            <w:tcBorders>
              <w:top w:val="nil"/>
              <w:left w:val="nil"/>
              <w:bottom w:val="single" w:sz="4" w:space="0" w:color="auto"/>
              <w:right w:val="single" w:sz="4" w:space="0" w:color="auto"/>
            </w:tcBorders>
            <w:noWrap/>
          </w:tcPr>
          <w:p w14:paraId="400CAD83" w14:textId="77777777" w:rsidR="006C2A50" w:rsidRPr="006C2A50" w:rsidRDefault="006C2A50" w:rsidP="006C2A50">
            <w:pPr>
              <w:spacing w:after="0" w:line="240" w:lineRule="auto"/>
              <w:jc w:val="right"/>
              <w:rPr>
                <w:rFonts w:eastAsia="Times New Roman"/>
                <w:sz w:val="20"/>
                <w:szCs w:val="20"/>
                <w:lang w:val="es-DO" w:eastAsia="es-DO"/>
              </w:rPr>
            </w:pPr>
            <w:r w:rsidRPr="006C2A50">
              <w:rPr>
                <w:rFonts w:eastAsia="Times New Roman"/>
                <w:sz w:val="20"/>
                <w:szCs w:val="20"/>
                <w:lang w:val="es-DO" w:eastAsia="es-DO"/>
              </w:rPr>
              <w:t>398,729.66</w:t>
            </w:r>
          </w:p>
        </w:tc>
        <w:tc>
          <w:tcPr>
            <w:tcW w:w="1110" w:type="dxa"/>
            <w:gridSpan w:val="2"/>
            <w:tcBorders>
              <w:top w:val="nil"/>
              <w:left w:val="nil"/>
              <w:bottom w:val="single" w:sz="4" w:space="0" w:color="auto"/>
              <w:right w:val="single" w:sz="4" w:space="0" w:color="auto"/>
            </w:tcBorders>
            <w:noWrap/>
          </w:tcPr>
          <w:p w14:paraId="41695EB2"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Calibri"/>
                <w:sz w:val="20"/>
                <w:szCs w:val="20"/>
              </w:rPr>
              <w:t>1%</w:t>
            </w:r>
          </w:p>
        </w:tc>
      </w:tr>
      <w:tr w:rsidR="006C2A50" w:rsidRPr="006C2A50" w14:paraId="45677895" w14:textId="77777777" w:rsidTr="00380477">
        <w:trPr>
          <w:trHeight w:val="288"/>
          <w:jc w:val="center"/>
        </w:trPr>
        <w:tc>
          <w:tcPr>
            <w:tcW w:w="805" w:type="dxa"/>
            <w:tcBorders>
              <w:top w:val="nil"/>
              <w:left w:val="single" w:sz="4" w:space="0" w:color="auto"/>
              <w:bottom w:val="single" w:sz="4" w:space="0" w:color="auto"/>
              <w:right w:val="single" w:sz="4" w:space="0" w:color="auto"/>
            </w:tcBorders>
            <w:vAlign w:val="center"/>
          </w:tcPr>
          <w:p w14:paraId="1C9DB844"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3</w:t>
            </w:r>
          </w:p>
        </w:tc>
        <w:tc>
          <w:tcPr>
            <w:tcW w:w="3140" w:type="dxa"/>
            <w:tcBorders>
              <w:top w:val="nil"/>
              <w:left w:val="nil"/>
              <w:bottom w:val="single" w:sz="4" w:space="0" w:color="auto"/>
              <w:right w:val="single" w:sz="4" w:space="0" w:color="auto"/>
            </w:tcBorders>
            <w:noWrap/>
            <w:vAlign w:val="center"/>
          </w:tcPr>
          <w:p w14:paraId="69B2BD87"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Otros servicios</w:t>
            </w:r>
          </w:p>
        </w:tc>
        <w:tc>
          <w:tcPr>
            <w:tcW w:w="1600" w:type="dxa"/>
            <w:gridSpan w:val="2"/>
            <w:tcBorders>
              <w:top w:val="nil"/>
              <w:left w:val="nil"/>
              <w:bottom w:val="single" w:sz="4" w:space="0" w:color="auto"/>
              <w:right w:val="single" w:sz="4" w:space="0" w:color="auto"/>
            </w:tcBorders>
            <w:noWrap/>
          </w:tcPr>
          <w:p w14:paraId="091DD710" w14:textId="77777777" w:rsidR="006C2A50" w:rsidRPr="006C2A50" w:rsidRDefault="006C2A50" w:rsidP="006C2A50">
            <w:pPr>
              <w:spacing w:after="0" w:line="240" w:lineRule="auto"/>
              <w:jc w:val="right"/>
              <w:rPr>
                <w:rFonts w:eastAsia="Times New Roman"/>
                <w:sz w:val="20"/>
                <w:szCs w:val="20"/>
                <w:lang w:val="es-DO" w:eastAsia="es-DO"/>
              </w:rPr>
            </w:pPr>
            <w:r w:rsidRPr="006C2A50">
              <w:rPr>
                <w:rFonts w:eastAsia="Times New Roman"/>
                <w:sz w:val="20"/>
                <w:szCs w:val="20"/>
                <w:lang w:val="es-DO" w:eastAsia="es-DO"/>
              </w:rPr>
              <w:t>1,854,387.75</w:t>
            </w:r>
          </w:p>
        </w:tc>
        <w:tc>
          <w:tcPr>
            <w:tcW w:w="1110" w:type="dxa"/>
            <w:gridSpan w:val="2"/>
            <w:tcBorders>
              <w:top w:val="nil"/>
              <w:left w:val="nil"/>
              <w:bottom w:val="single" w:sz="4" w:space="0" w:color="auto"/>
              <w:right w:val="single" w:sz="4" w:space="0" w:color="auto"/>
            </w:tcBorders>
            <w:noWrap/>
          </w:tcPr>
          <w:p w14:paraId="58D02D52"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Calibri"/>
                <w:sz w:val="20"/>
                <w:szCs w:val="20"/>
              </w:rPr>
              <w:t>4.87%</w:t>
            </w:r>
          </w:p>
        </w:tc>
      </w:tr>
      <w:tr w:rsidR="006C2A50" w:rsidRPr="006C2A50" w14:paraId="03A86738" w14:textId="77777777" w:rsidTr="00380477">
        <w:trPr>
          <w:trHeight w:val="288"/>
          <w:jc w:val="center"/>
        </w:trPr>
        <w:tc>
          <w:tcPr>
            <w:tcW w:w="3952" w:type="dxa"/>
            <w:gridSpan w:val="3"/>
            <w:tcBorders>
              <w:top w:val="single" w:sz="4" w:space="0" w:color="auto"/>
              <w:left w:val="single" w:sz="4" w:space="0" w:color="auto"/>
              <w:bottom w:val="single" w:sz="4" w:space="0" w:color="auto"/>
              <w:right w:val="single" w:sz="4" w:space="0" w:color="auto"/>
            </w:tcBorders>
            <w:shd w:val="clear" w:color="auto" w:fill="011C50"/>
            <w:noWrap/>
            <w:vAlign w:val="center"/>
          </w:tcPr>
          <w:p w14:paraId="2D89C525" w14:textId="77777777" w:rsidR="006C2A50" w:rsidRPr="006C2A50" w:rsidRDefault="006C2A50" w:rsidP="006C2A50">
            <w:pPr>
              <w:spacing w:after="0" w:line="240" w:lineRule="auto"/>
              <w:jc w:val="right"/>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Totales</w:t>
            </w:r>
          </w:p>
        </w:tc>
        <w:tc>
          <w:tcPr>
            <w:tcW w:w="1600" w:type="dxa"/>
            <w:gridSpan w:val="2"/>
            <w:tcBorders>
              <w:top w:val="nil"/>
              <w:left w:val="nil"/>
              <w:bottom w:val="single" w:sz="4" w:space="0" w:color="auto"/>
              <w:right w:val="single" w:sz="4" w:space="0" w:color="auto"/>
            </w:tcBorders>
            <w:shd w:val="clear" w:color="auto" w:fill="011C50"/>
            <w:noWrap/>
            <w:vAlign w:val="center"/>
          </w:tcPr>
          <w:p w14:paraId="195CEE31" w14:textId="77777777" w:rsidR="006C2A50" w:rsidRPr="006C2A50" w:rsidRDefault="006C2A50" w:rsidP="006C2A50">
            <w:pPr>
              <w:spacing w:after="0" w:line="240" w:lineRule="auto"/>
              <w:jc w:val="right"/>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38,080,286.43</w:t>
            </w:r>
          </w:p>
        </w:tc>
        <w:tc>
          <w:tcPr>
            <w:tcW w:w="1103" w:type="dxa"/>
            <w:tcBorders>
              <w:top w:val="nil"/>
              <w:left w:val="nil"/>
              <w:bottom w:val="single" w:sz="4" w:space="0" w:color="auto"/>
              <w:right w:val="single" w:sz="4" w:space="0" w:color="auto"/>
            </w:tcBorders>
            <w:shd w:val="clear" w:color="auto" w:fill="011C50"/>
            <w:noWrap/>
            <w:vAlign w:val="center"/>
          </w:tcPr>
          <w:p w14:paraId="1D2A87CC"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100.00%</w:t>
            </w:r>
          </w:p>
        </w:tc>
      </w:tr>
    </w:tbl>
    <w:p w14:paraId="6E8C751B" w14:textId="3971D893" w:rsidR="006C2A50" w:rsidRPr="006C2A50" w:rsidRDefault="006C2A50" w:rsidP="006C2A50">
      <w:pPr>
        <w:spacing w:after="0" w:line="240" w:lineRule="exact"/>
        <w:ind w:left="270"/>
        <w:jc w:val="both"/>
        <w:rPr>
          <w:rFonts w:eastAsia="Calibri"/>
          <w:i/>
          <w:iCs/>
          <w:sz w:val="20"/>
          <w:szCs w:val="28"/>
          <w:lang w:val="es-DO"/>
        </w:rPr>
      </w:pPr>
      <w:r w:rsidRPr="006C2A50">
        <w:rPr>
          <w:rFonts w:eastAsia="Calibri"/>
          <w:i/>
          <w:iCs/>
          <w:sz w:val="18"/>
          <w:lang w:val="es-DO"/>
        </w:rPr>
        <w:t xml:space="preserve">            </w:t>
      </w:r>
      <w:r w:rsidRPr="006C2A50">
        <w:rPr>
          <w:rFonts w:eastAsia="Calibri"/>
          <w:i/>
          <w:iCs/>
          <w:sz w:val="20"/>
          <w:szCs w:val="28"/>
          <w:lang w:val="es-DO"/>
        </w:rPr>
        <w:t xml:space="preserve">Cuadro </w:t>
      </w:r>
      <w:r w:rsidR="00DB7323">
        <w:rPr>
          <w:rFonts w:eastAsia="Calibri"/>
          <w:i/>
          <w:iCs/>
          <w:sz w:val="20"/>
          <w:szCs w:val="28"/>
          <w:lang w:val="es-DO"/>
        </w:rPr>
        <w:t>1</w:t>
      </w:r>
      <w:r w:rsidR="00227219">
        <w:rPr>
          <w:rFonts w:eastAsia="Calibri"/>
          <w:i/>
          <w:iCs/>
          <w:sz w:val="20"/>
          <w:szCs w:val="28"/>
          <w:lang w:val="es-DO"/>
        </w:rPr>
        <w:t>2</w:t>
      </w:r>
      <w:r w:rsidR="00DB7323">
        <w:rPr>
          <w:rFonts w:eastAsia="Calibri"/>
          <w:i/>
          <w:iCs/>
          <w:sz w:val="20"/>
          <w:szCs w:val="28"/>
          <w:lang w:val="es-DO"/>
        </w:rPr>
        <w:t>.</w:t>
      </w:r>
      <w:r w:rsidRPr="006C2A50">
        <w:rPr>
          <w:rFonts w:eastAsia="Calibri"/>
          <w:i/>
          <w:iCs/>
          <w:sz w:val="20"/>
          <w:szCs w:val="28"/>
          <w:lang w:val="es-DO"/>
        </w:rPr>
        <w:t xml:space="preserve"> Montos recaudados por los museos año 2025</w:t>
      </w:r>
    </w:p>
    <w:p w14:paraId="1D757BA1" w14:textId="77777777" w:rsidR="006C2A50" w:rsidRPr="006C2A50" w:rsidRDefault="006C2A50" w:rsidP="006C2A50">
      <w:pPr>
        <w:spacing w:after="0" w:line="240" w:lineRule="exact"/>
        <w:ind w:left="270"/>
        <w:jc w:val="both"/>
        <w:rPr>
          <w:rFonts w:eastAsia="Calibri"/>
          <w:i/>
          <w:iCs/>
          <w:sz w:val="20"/>
          <w:szCs w:val="28"/>
          <w:lang w:val="es-DO"/>
        </w:rPr>
      </w:pPr>
    </w:p>
    <w:p w14:paraId="3F149BD7" w14:textId="77777777" w:rsidR="006C2A50" w:rsidRPr="006C2A50" w:rsidRDefault="006C2A50" w:rsidP="006C2A50">
      <w:pPr>
        <w:spacing w:after="0" w:line="240" w:lineRule="exact"/>
        <w:ind w:left="270"/>
        <w:jc w:val="both"/>
        <w:rPr>
          <w:rFonts w:eastAsia="Calibri"/>
          <w:i/>
          <w:iCs/>
          <w:spacing w:val="0"/>
          <w:sz w:val="28"/>
          <w:szCs w:val="28"/>
          <w:lang w:val="es-DO"/>
        </w:rPr>
      </w:pPr>
    </w:p>
    <w:p w14:paraId="14AB6478" w14:textId="77777777" w:rsidR="006C2A50" w:rsidRPr="006C2A50" w:rsidRDefault="006C2A50" w:rsidP="00427D27">
      <w:pPr>
        <w:spacing w:line="360" w:lineRule="auto"/>
        <w:jc w:val="both"/>
        <w:rPr>
          <w:rFonts w:eastAsia="Calibri"/>
          <w:lang w:val="es-DO"/>
        </w:rPr>
      </w:pPr>
      <w:r w:rsidRPr="006C2A50">
        <w:rPr>
          <w:rFonts w:eastAsia="Calibri"/>
          <w:lang w:val="es-DO"/>
        </w:rPr>
        <w:t>Conforme a los registros contables del Departamento Administrativo y Financiero de la DGM, el monto total recaudado por los museos administrados por la DGM asciende a DOP38,080,286.43, de los cuales un 94% corresponde a los ingresos por boletería con un monto de DOP35,827,169.02; un 1% corresponde al alquiler de espacios para exposiciones y actividades sociales, por un monto de RD$398,729.66; y el 4.87% equivalente a RD$1,854,387.75 corresponde a la prestación de otros servicios, tales como sesiones de fotografías, filmaciones y similares.</w:t>
      </w:r>
    </w:p>
    <w:p w14:paraId="0E3A0F83" w14:textId="77777777" w:rsidR="006C2A50" w:rsidRPr="006C2A50" w:rsidRDefault="006C2A50" w:rsidP="00427D27">
      <w:pPr>
        <w:spacing w:line="360" w:lineRule="auto"/>
        <w:jc w:val="center"/>
        <w:rPr>
          <w:rFonts w:eastAsia="Calibri"/>
          <w:lang w:val="es-DO"/>
        </w:rPr>
      </w:pPr>
      <w:r w:rsidRPr="006C2A50">
        <w:rPr>
          <w:rFonts w:eastAsia="Calibri"/>
          <w:b/>
          <w:bCs/>
          <w:lang w:val="es-DO"/>
        </w:rPr>
        <w:t>Cuentas por pagar</w:t>
      </w:r>
    </w:p>
    <w:p w14:paraId="6471C5BE" w14:textId="77777777" w:rsidR="006C2A50" w:rsidRDefault="006C2A50" w:rsidP="00427D27">
      <w:pPr>
        <w:spacing w:line="360" w:lineRule="auto"/>
        <w:jc w:val="both"/>
        <w:rPr>
          <w:rFonts w:eastAsia="Calibri"/>
          <w:lang w:val="es-DO"/>
        </w:rPr>
      </w:pPr>
      <w:r w:rsidRPr="006C2A50">
        <w:rPr>
          <w:rFonts w:eastAsia="Calibri"/>
          <w:lang w:val="es-DO"/>
        </w:rPr>
        <w:t>Según análisis de Estados Financieros y Registros en el SIGEF de cuentas por pagar por facturas ya recibidas, durante el período enero-noviembre, la DGM ha cumplido con estos compromisos adquiridos tal como establece la normativa. Del total de registros restan DOP2,046,719.82 que corresponden a facturas cuyo vencimiento no se ha cumplido.</w:t>
      </w:r>
    </w:p>
    <w:p w14:paraId="7BBBE9DA" w14:textId="77777777" w:rsidR="006C2A50" w:rsidRPr="006C2A50" w:rsidRDefault="006C2A50" w:rsidP="00427D27">
      <w:pPr>
        <w:spacing w:line="360" w:lineRule="auto"/>
        <w:jc w:val="center"/>
        <w:rPr>
          <w:rFonts w:eastAsia="Calibri"/>
          <w:b/>
          <w:bCs/>
          <w:lang w:val="es-DO"/>
        </w:rPr>
      </w:pPr>
      <w:r w:rsidRPr="006C2A50">
        <w:rPr>
          <w:rFonts w:eastAsia="Calibri"/>
          <w:b/>
          <w:bCs/>
          <w:lang w:val="es-DO"/>
        </w:rPr>
        <w:t>Resultados de Auditorias</w:t>
      </w:r>
    </w:p>
    <w:p w14:paraId="015DB137" w14:textId="77777777" w:rsidR="00D52943" w:rsidRDefault="00427D27" w:rsidP="00427D27">
      <w:pPr>
        <w:spacing w:line="360" w:lineRule="auto"/>
        <w:jc w:val="both"/>
        <w:rPr>
          <w:rFonts w:eastAsia="Calibri"/>
          <w:lang w:val="es-DO"/>
        </w:rPr>
      </w:pPr>
      <w:r w:rsidRPr="00427D27">
        <w:rPr>
          <w:rFonts w:eastAsia="Calibri"/>
          <w:lang w:val="es-DO"/>
        </w:rPr>
        <w:t xml:space="preserve">Durante el año 2025, la Dirección General de Museos fue objeto de una auditoría institucional a cargo de la Contraloría General de la </w:t>
      </w:r>
    </w:p>
    <w:p w14:paraId="7B79C09E" w14:textId="2DDFE4EA" w:rsidR="00427D27" w:rsidRDefault="00427D27" w:rsidP="00427D27">
      <w:pPr>
        <w:spacing w:line="360" w:lineRule="auto"/>
        <w:jc w:val="both"/>
        <w:rPr>
          <w:rFonts w:eastAsia="Calibri"/>
          <w:lang w:val="es-DO"/>
        </w:rPr>
      </w:pPr>
      <w:r w:rsidRPr="00427D27">
        <w:rPr>
          <w:rFonts w:eastAsia="Calibri"/>
          <w:lang w:val="es-DO"/>
        </w:rPr>
        <w:lastRenderedPageBreak/>
        <w:t xml:space="preserve">República, en el marco de sus atribuciones de control y fiscalización de los recursos públicos. </w:t>
      </w:r>
    </w:p>
    <w:p w14:paraId="7EAA7C9F" w14:textId="77777777" w:rsidR="00427D27" w:rsidRDefault="00427D27" w:rsidP="00427D27">
      <w:pPr>
        <w:spacing w:line="360" w:lineRule="auto"/>
        <w:jc w:val="both"/>
        <w:rPr>
          <w:rFonts w:eastAsia="Calibri"/>
          <w:lang w:val="es-DO"/>
        </w:rPr>
      </w:pPr>
      <w:r w:rsidRPr="00427D27">
        <w:rPr>
          <w:rFonts w:eastAsia="Calibri"/>
          <w:lang w:val="es-DO"/>
        </w:rPr>
        <w:t xml:space="preserve">El proceso fue formalmente iniciado conforme a los procedimientos establecidos; sin embargo, mediante comunicación oficial emitida por el órgano auditor, la auditoría fue suspendida por decisión de la propia Contraloría, quedando inconclusa al cierre del período que se reporta. </w:t>
      </w:r>
    </w:p>
    <w:p w14:paraId="28900AAD" w14:textId="08DF6ECE" w:rsidR="00427D27" w:rsidRPr="00427D27" w:rsidRDefault="00427D27" w:rsidP="00427D27">
      <w:pPr>
        <w:spacing w:line="360" w:lineRule="auto"/>
        <w:jc w:val="both"/>
        <w:rPr>
          <w:rFonts w:eastAsia="Calibri"/>
          <w:lang w:val="es-DO"/>
        </w:rPr>
      </w:pPr>
      <w:r w:rsidRPr="00427D27">
        <w:rPr>
          <w:rFonts w:eastAsia="Calibri"/>
          <w:lang w:val="es-DO"/>
        </w:rPr>
        <w:t>Esta situación fue debidamente notificada a la institución y forma parte de los antecedentes administrativos correspondientes al ejercicio fiscal 2025.</w:t>
      </w:r>
    </w:p>
    <w:p w14:paraId="7C78B5CB" w14:textId="38F666AA" w:rsidR="006C2A50" w:rsidRPr="006C2A50" w:rsidRDefault="006C2A50" w:rsidP="00427D27">
      <w:pPr>
        <w:spacing w:line="360" w:lineRule="auto"/>
        <w:jc w:val="center"/>
        <w:rPr>
          <w:rFonts w:eastAsia="Calibri"/>
          <w:b/>
          <w:bCs/>
          <w:lang w:val="es-DO"/>
        </w:rPr>
      </w:pPr>
      <w:r w:rsidRPr="006C2A50">
        <w:rPr>
          <w:rFonts w:eastAsia="Calibri"/>
          <w:b/>
          <w:bCs/>
          <w:lang w:val="es-DO"/>
        </w:rPr>
        <w:t>Desempeño del Departamento Financiero y Administrativo</w:t>
      </w:r>
    </w:p>
    <w:p w14:paraId="3DE326F4" w14:textId="77777777" w:rsidR="006C2A50" w:rsidRPr="006C2A50" w:rsidRDefault="006C2A50" w:rsidP="00427D27">
      <w:pPr>
        <w:spacing w:line="360" w:lineRule="auto"/>
        <w:jc w:val="both"/>
        <w:rPr>
          <w:rFonts w:eastAsia="Calibri"/>
          <w:lang w:val="es-DO"/>
        </w:rPr>
      </w:pPr>
      <w:r w:rsidRPr="006C2A50">
        <w:rPr>
          <w:rFonts w:eastAsia="Calibri"/>
          <w:lang w:val="es-DO"/>
        </w:rPr>
        <w:t>En la tabla No. 4 se muestra un resumen del desempeño del Departamento Financiero y Administrativo durante el año 2025.</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0"/>
        <w:gridCol w:w="1530"/>
        <w:gridCol w:w="1080"/>
        <w:gridCol w:w="2160"/>
        <w:gridCol w:w="879"/>
        <w:gridCol w:w="1101"/>
      </w:tblGrid>
      <w:tr w:rsidR="006C2A50" w:rsidRPr="006C2A50" w14:paraId="77B10748" w14:textId="77777777" w:rsidTr="00380477">
        <w:trPr>
          <w:trHeight w:val="404"/>
          <w:jc w:val="center"/>
        </w:trPr>
        <w:tc>
          <w:tcPr>
            <w:tcW w:w="7920" w:type="dxa"/>
            <w:gridSpan w:val="6"/>
            <w:vAlign w:val="center"/>
          </w:tcPr>
          <w:p w14:paraId="4E5A425F" w14:textId="77777777" w:rsidR="006C2A50" w:rsidRPr="006C2A50" w:rsidRDefault="006C2A50" w:rsidP="006C2A50">
            <w:pPr>
              <w:spacing w:after="0" w:line="240" w:lineRule="auto"/>
              <w:jc w:val="center"/>
              <w:rPr>
                <w:rFonts w:eastAsia="Times New Roman"/>
                <w:b/>
                <w:bCs/>
                <w:spacing w:val="0"/>
                <w:sz w:val="22"/>
                <w:szCs w:val="22"/>
                <w:lang w:val="es-DO" w:eastAsia="es-DO"/>
              </w:rPr>
            </w:pPr>
            <w:bookmarkStart w:id="4" w:name="_Hlk156386563"/>
            <w:r w:rsidRPr="006C2A50">
              <w:rPr>
                <w:rFonts w:eastAsia="Times New Roman"/>
                <w:b/>
                <w:bCs/>
                <w:spacing w:val="0"/>
                <w:sz w:val="22"/>
                <w:szCs w:val="22"/>
                <w:lang w:val="es-DO" w:eastAsia="es-DO"/>
              </w:rPr>
              <w:t>Desempeño Financiero – Administrativo</w:t>
            </w:r>
          </w:p>
        </w:tc>
      </w:tr>
      <w:tr w:rsidR="006C2A50" w:rsidRPr="006C2A50" w14:paraId="347FD213" w14:textId="77777777" w:rsidTr="00380477">
        <w:trPr>
          <w:trHeight w:val="684"/>
          <w:jc w:val="center"/>
        </w:trPr>
        <w:tc>
          <w:tcPr>
            <w:tcW w:w="1170" w:type="dxa"/>
            <w:shd w:val="clear" w:color="000000" w:fill="142F62"/>
            <w:vAlign w:val="center"/>
          </w:tcPr>
          <w:p w14:paraId="5D714E04"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Cantidad de Cuentas por Pagar</w:t>
            </w:r>
          </w:p>
        </w:tc>
        <w:tc>
          <w:tcPr>
            <w:tcW w:w="1530" w:type="dxa"/>
            <w:shd w:val="clear" w:color="000000" w:fill="142F62"/>
            <w:vAlign w:val="center"/>
          </w:tcPr>
          <w:p w14:paraId="5ECAC8D7"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Saldo de Cuentas por Pagar a Proveedores (RD$)</w:t>
            </w:r>
          </w:p>
        </w:tc>
        <w:tc>
          <w:tcPr>
            <w:tcW w:w="1080" w:type="dxa"/>
            <w:shd w:val="clear" w:color="000000" w:fill="142F62"/>
            <w:vAlign w:val="center"/>
          </w:tcPr>
          <w:p w14:paraId="2487D4B2"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 xml:space="preserve">Política de </w:t>
            </w:r>
            <w:r w:rsidRPr="006C2A50">
              <w:rPr>
                <w:rFonts w:eastAsia="Times New Roman"/>
                <w:b/>
                <w:bCs/>
                <w:color w:val="FFFFFF"/>
                <w:spacing w:val="0"/>
                <w:sz w:val="18"/>
                <w:szCs w:val="18"/>
                <w:lang w:val="es-DO" w:eastAsia="es-DO"/>
              </w:rPr>
              <w:br/>
              <w:t>Pagos</w:t>
            </w:r>
          </w:p>
        </w:tc>
        <w:tc>
          <w:tcPr>
            <w:tcW w:w="2160" w:type="dxa"/>
            <w:shd w:val="clear" w:color="000000" w:fill="142F62"/>
            <w:vAlign w:val="center"/>
          </w:tcPr>
          <w:p w14:paraId="09F77C6C"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 xml:space="preserve">Justificación por Cuentas </w:t>
            </w:r>
            <w:r w:rsidRPr="006C2A50">
              <w:rPr>
                <w:rFonts w:eastAsia="Times New Roman"/>
                <w:b/>
                <w:bCs/>
                <w:color w:val="FFFFFF"/>
                <w:spacing w:val="0"/>
                <w:sz w:val="18"/>
                <w:szCs w:val="18"/>
                <w:lang w:val="es-DO" w:eastAsia="es-DO"/>
              </w:rPr>
              <w:br/>
              <w:t>por Pagar a Proveedores</w:t>
            </w:r>
          </w:p>
        </w:tc>
        <w:tc>
          <w:tcPr>
            <w:tcW w:w="879" w:type="dxa"/>
            <w:shd w:val="clear" w:color="000000" w:fill="142F62"/>
            <w:vAlign w:val="center"/>
          </w:tcPr>
          <w:p w14:paraId="766CE0D8"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 xml:space="preserve">Cuentas por </w:t>
            </w:r>
            <w:r w:rsidRPr="006C2A50">
              <w:rPr>
                <w:rFonts w:eastAsia="Times New Roman"/>
                <w:b/>
                <w:bCs/>
                <w:color w:val="FFFFFF"/>
                <w:spacing w:val="0"/>
                <w:sz w:val="18"/>
                <w:szCs w:val="18"/>
                <w:lang w:val="es-DO" w:eastAsia="es-DO"/>
              </w:rPr>
              <w:br/>
              <w:t>Cobrar</w:t>
            </w:r>
          </w:p>
        </w:tc>
        <w:tc>
          <w:tcPr>
            <w:tcW w:w="1101" w:type="dxa"/>
            <w:shd w:val="clear" w:color="000000" w:fill="142F62"/>
            <w:vAlign w:val="center"/>
          </w:tcPr>
          <w:p w14:paraId="49FAC5B7"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 xml:space="preserve">Resultado de </w:t>
            </w:r>
            <w:r w:rsidRPr="006C2A50">
              <w:rPr>
                <w:rFonts w:eastAsia="Times New Roman"/>
                <w:b/>
                <w:bCs/>
                <w:color w:val="FFFFFF"/>
                <w:spacing w:val="0"/>
                <w:sz w:val="18"/>
                <w:szCs w:val="18"/>
                <w:lang w:val="es-DO" w:eastAsia="es-DO"/>
              </w:rPr>
              <w:br/>
              <w:t>Auditoria</w:t>
            </w:r>
          </w:p>
        </w:tc>
      </w:tr>
      <w:tr w:rsidR="006C2A50" w:rsidRPr="00EE47D5" w14:paraId="70398925" w14:textId="77777777" w:rsidTr="00321494">
        <w:trPr>
          <w:trHeight w:val="1419"/>
          <w:jc w:val="center"/>
        </w:trPr>
        <w:tc>
          <w:tcPr>
            <w:tcW w:w="1170" w:type="dxa"/>
            <w:noWrap/>
            <w:vAlign w:val="center"/>
          </w:tcPr>
          <w:p w14:paraId="26AAFF84"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9</w:t>
            </w:r>
          </w:p>
        </w:tc>
        <w:tc>
          <w:tcPr>
            <w:tcW w:w="1530" w:type="dxa"/>
            <w:noWrap/>
            <w:vAlign w:val="center"/>
          </w:tcPr>
          <w:p w14:paraId="091931EA" w14:textId="77777777" w:rsidR="006C2A50" w:rsidRPr="006C2A50" w:rsidRDefault="006C2A50" w:rsidP="006C2A50">
            <w:pPr>
              <w:spacing w:after="0" w:line="240" w:lineRule="auto"/>
              <w:jc w:val="center"/>
              <w:rPr>
                <w:rFonts w:eastAsia="Calibri"/>
                <w:sz w:val="20"/>
                <w:szCs w:val="20"/>
                <w:lang w:val="es-DO"/>
              </w:rPr>
            </w:pPr>
            <w:r w:rsidRPr="006C2A50">
              <w:rPr>
                <w:rFonts w:eastAsia="Calibri"/>
                <w:sz w:val="20"/>
                <w:szCs w:val="20"/>
                <w:lang w:val="es-DO"/>
              </w:rPr>
              <w:t>DOP</w:t>
            </w:r>
          </w:p>
          <w:p w14:paraId="269C9203"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z w:val="18"/>
                <w:szCs w:val="18"/>
                <w:lang w:val="es-DO" w:eastAsia="es-DO"/>
              </w:rPr>
              <w:t>2,046,719.82</w:t>
            </w:r>
          </w:p>
        </w:tc>
        <w:tc>
          <w:tcPr>
            <w:tcW w:w="1080" w:type="dxa"/>
            <w:noWrap/>
            <w:vAlign w:val="center"/>
          </w:tcPr>
          <w:p w14:paraId="5F9A32D0"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45 días</w:t>
            </w:r>
          </w:p>
        </w:tc>
        <w:tc>
          <w:tcPr>
            <w:tcW w:w="2160" w:type="dxa"/>
            <w:vAlign w:val="center"/>
          </w:tcPr>
          <w:p w14:paraId="399C3878"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 xml:space="preserve">A la fecha de corte del informe financiero, ninguna de las facturas pendientes de saldo supera los 45 días. Cumpliendo cabalmente </w:t>
            </w:r>
            <w:r w:rsidRPr="006C2A50">
              <w:rPr>
                <w:rFonts w:eastAsia="Times New Roman"/>
                <w:spacing w:val="0"/>
                <w:sz w:val="18"/>
                <w:szCs w:val="18"/>
                <w:lang w:val="es-DO" w:eastAsia="es-DO"/>
              </w:rPr>
              <w:br/>
              <w:t>nuestra política de pagos</w:t>
            </w:r>
          </w:p>
        </w:tc>
        <w:tc>
          <w:tcPr>
            <w:tcW w:w="879" w:type="dxa"/>
            <w:noWrap/>
            <w:vAlign w:val="center"/>
          </w:tcPr>
          <w:p w14:paraId="392F2471"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N/A</w:t>
            </w:r>
          </w:p>
        </w:tc>
        <w:tc>
          <w:tcPr>
            <w:tcW w:w="1101" w:type="dxa"/>
            <w:vAlign w:val="center"/>
          </w:tcPr>
          <w:p w14:paraId="6095DC83"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 xml:space="preserve">A la fecha no se han realizado auditorías </w:t>
            </w:r>
          </w:p>
        </w:tc>
      </w:tr>
    </w:tbl>
    <w:bookmarkEnd w:id="4"/>
    <w:p w14:paraId="6A4F3E6F" w14:textId="1DEBF918" w:rsidR="006C2A50" w:rsidRDefault="006C2A50" w:rsidP="006C2A50">
      <w:pPr>
        <w:spacing w:line="360" w:lineRule="auto"/>
        <w:jc w:val="both"/>
        <w:rPr>
          <w:rFonts w:eastAsia="Calibri"/>
          <w:i/>
          <w:iCs/>
          <w:sz w:val="20"/>
          <w:szCs w:val="28"/>
          <w:lang w:val="es-DO"/>
        </w:rPr>
      </w:pPr>
      <w:r w:rsidRPr="006C2A50">
        <w:rPr>
          <w:rFonts w:eastAsia="Calibri"/>
          <w:i/>
          <w:iCs/>
          <w:sz w:val="20"/>
          <w:szCs w:val="28"/>
          <w:lang w:val="es-DO"/>
        </w:rPr>
        <w:t xml:space="preserve">      </w:t>
      </w:r>
      <w:r w:rsidR="00227219">
        <w:rPr>
          <w:rFonts w:eastAsia="Calibri"/>
          <w:i/>
          <w:iCs/>
          <w:sz w:val="20"/>
          <w:szCs w:val="28"/>
          <w:lang w:val="es-DO"/>
        </w:rPr>
        <w:t>Cuadro 13.</w:t>
      </w:r>
      <w:r w:rsidRPr="006C2A50">
        <w:rPr>
          <w:rFonts w:eastAsia="Calibri"/>
          <w:i/>
          <w:iCs/>
          <w:sz w:val="20"/>
          <w:szCs w:val="28"/>
          <w:lang w:val="es-DO"/>
        </w:rPr>
        <w:t xml:space="preserve"> Desempeño Financiero Administrativo año 2025</w:t>
      </w:r>
    </w:p>
    <w:p w14:paraId="135CD1D0" w14:textId="77777777" w:rsidR="006C2A50" w:rsidRPr="006C2A50" w:rsidRDefault="006C2A50" w:rsidP="006C2A50">
      <w:pPr>
        <w:spacing w:after="0" w:line="360" w:lineRule="auto"/>
        <w:jc w:val="both"/>
        <w:rPr>
          <w:rFonts w:eastAsia="Calibri"/>
          <w:b/>
          <w:bCs/>
          <w:sz w:val="28"/>
          <w:szCs w:val="28"/>
          <w:lang w:val="es-DO"/>
        </w:rPr>
      </w:pPr>
      <w:r w:rsidRPr="006C2A50">
        <w:rPr>
          <w:rFonts w:eastAsia="Calibri"/>
          <w:b/>
          <w:bCs/>
          <w:sz w:val="28"/>
          <w:szCs w:val="28"/>
          <w:lang w:val="es-DO"/>
        </w:rPr>
        <w:t>4.2 Desempeño de los Recursos Humanos </w:t>
      </w:r>
    </w:p>
    <w:p w14:paraId="6AE9DD45"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Durante el periodo enero-diciembre del año 2025, el Departamento de Recursos Humanos se ha enfocado en planificar, implementar y desarrollar un sistema de gestión de recursos humanos que, en el marco de la ley No. 41-08, permita garantizar un ambiente laboral favorable para el correcto desarrollo de las funciones de cada uno de los colaboradores, contribuyendo asi al logro de los objetivos de la institución. </w:t>
      </w:r>
    </w:p>
    <w:p w14:paraId="28DA8F90" w14:textId="77777777" w:rsidR="006C2A50" w:rsidRDefault="006C2A50" w:rsidP="00427D27">
      <w:pPr>
        <w:spacing w:line="360" w:lineRule="auto"/>
        <w:jc w:val="both"/>
        <w:rPr>
          <w:rFonts w:eastAsia="Calibri"/>
          <w:lang w:val="es-DO"/>
        </w:rPr>
      </w:pPr>
      <w:r w:rsidRPr="006C2A50">
        <w:rPr>
          <w:rFonts w:eastAsia="Calibri"/>
          <w:lang w:val="es-DO"/>
        </w:rPr>
        <w:lastRenderedPageBreak/>
        <w:t>A diciembre de 2025, la Dirección General de Museos cuenta con un total de 440 colaboradores, distribuidos de la siguiente manera: 37 empleados fijos (8%); 78 pertenecientes a la Carrera Administrativa (18%); 259 servidores bajo estatuto simplificado (59%); 51 colaboradores temporales (12%); 5 servidores de confianza (1%); y 10 empleados de libre nombramiento y remoción (2%).</w:t>
      </w:r>
    </w:p>
    <w:tbl>
      <w:tblPr>
        <w:tblW w:w="5861" w:type="dxa"/>
        <w:jc w:val="center"/>
        <w:tblCellMar>
          <w:left w:w="70" w:type="dxa"/>
          <w:right w:w="70" w:type="dxa"/>
        </w:tblCellMar>
        <w:tblLook w:val="04A0" w:firstRow="1" w:lastRow="0" w:firstColumn="1" w:lastColumn="0" w:noHBand="0" w:noVBand="1"/>
      </w:tblPr>
      <w:tblGrid>
        <w:gridCol w:w="2875"/>
        <w:gridCol w:w="1746"/>
        <w:gridCol w:w="1240"/>
      </w:tblGrid>
      <w:tr w:rsidR="006C2A50" w:rsidRPr="006C2A50" w14:paraId="4E514EBE" w14:textId="77777777" w:rsidTr="00380477">
        <w:trPr>
          <w:cantSplit/>
          <w:trHeight w:val="312"/>
          <w:tblHeader/>
          <w:jc w:val="center"/>
        </w:trPr>
        <w:tc>
          <w:tcPr>
            <w:tcW w:w="2875"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3C24593"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Categoría del Servidor</w:t>
            </w:r>
          </w:p>
        </w:tc>
        <w:tc>
          <w:tcPr>
            <w:tcW w:w="1746" w:type="dxa"/>
            <w:tcBorders>
              <w:top w:val="single" w:sz="4" w:space="0" w:color="auto"/>
              <w:left w:val="nil"/>
              <w:bottom w:val="single" w:sz="4" w:space="0" w:color="auto"/>
              <w:right w:val="single" w:sz="4" w:space="0" w:color="auto"/>
            </w:tcBorders>
            <w:shd w:val="clear" w:color="auto" w:fill="142F62"/>
            <w:vAlign w:val="center"/>
            <w:hideMark/>
          </w:tcPr>
          <w:p w14:paraId="2EF4166F"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Cantidad</w:t>
            </w:r>
          </w:p>
        </w:tc>
        <w:tc>
          <w:tcPr>
            <w:tcW w:w="1240" w:type="dxa"/>
            <w:tcBorders>
              <w:top w:val="single" w:sz="4" w:space="0" w:color="auto"/>
              <w:left w:val="nil"/>
              <w:bottom w:val="single" w:sz="4" w:space="0" w:color="auto"/>
              <w:right w:val="single" w:sz="4" w:space="0" w:color="auto"/>
            </w:tcBorders>
            <w:shd w:val="clear" w:color="auto" w:fill="142F62"/>
            <w:vAlign w:val="center"/>
            <w:hideMark/>
          </w:tcPr>
          <w:p w14:paraId="650D67BB"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w:t>
            </w:r>
          </w:p>
        </w:tc>
      </w:tr>
      <w:tr w:rsidR="006C2A50" w:rsidRPr="006C2A50" w14:paraId="70D49AE6" w14:textId="77777777" w:rsidTr="00380477">
        <w:trPr>
          <w:trHeight w:val="312"/>
          <w:jc w:val="center"/>
        </w:trPr>
        <w:tc>
          <w:tcPr>
            <w:tcW w:w="2875" w:type="dxa"/>
            <w:tcBorders>
              <w:top w:val="nil"/>
              <w:left w:val="single" w:sz="4" w:space="0" w:color="auto"/>
              <w:bottom w:val="single" w:sz="4" w:space="0" w:color="auto"/>
              <w:right w:val="single" w:sz="4" w:space="0" w:color="auto"/>
            </w:tcBorders>
            <w:noWrap/>
            <w:vAlign w:val="center"/>
            <w:hideMark/>
          </w:tcPr>
          <w:p w14:paraId="2046B8C0" w14:textId="77777777" w:rsidR="006C2A50" w:rsidRPr="006C2A50" w:rsidRDefault="006C2A50" w:rsidP="006C2A50">
            <w:pPr>
              <w:spacing w:after="0" w:line="240" w:lineRule="auto"/>
              <w:jc w:val="both"/>
              <w:rPr>
                <w:rFonts w:eastAsia="Times New Roman"/>
                <w:sz w:val="22"/>
                <w:szCs w:val="22"/>
                <w:lang w:val="es-DO" w:eastAsia="es-DO"/>
              </w:rPr>
            </w:pPr>
            <w:r w:rsidRPr="006C2A50">
              <w:rPr>
                <w:rFonts w:eastAsia="Calibri"/>
                <w:noProof/>
                <w:sz w:val="22"/>
                <w:szCs w:val="22"/>
                <w:lang w:val="es-DO" w:eastAsia="es-DO"/>
              </w:rPr>
              <w:t>Carrera Administrativa</w:t>
            </w:r>
          </w:p>
        </w:tc>
        <w:tc>
          <w:tcPr>
            <w:tcW w:w="1746" w:type="dxa"/>
            <w:tcBorders>
              <w:top w:val="nil"/>
              <w:left w:val="nil"/>
              <w:bottom w:val="single" w:sz="4" w:space="0" w:color="auto"/>
              <w:right w:val="single" w:sz="4" w:space="0" w:color="auto"/>
            </w:tcBorders>
            <w:noWrap/>
            <w:vAlign w:val="center"/>
          </w:tcPr>
          <w:p w14:paraId="542A5C8A"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78</w:t>
            </w:r>
          </w:p>
        </w:tc>
        <w:tc>
          <w:tcPr>
            <w:tcW w:w="1240" w:type="dxa"/>
            <w:tcBorders>
              <w:top w:val="nil"/>
              <w:left w:val="nil"/>
              <w:bottom w:val="single" w:sz="4" w:space="0" w:color="auto"/>
              <w:right w:val="single" w:sz="4" w:space="0" w:color="auto"/>
            </w:tcBorders>
            <w:noWrap/>
            <w:vAlign w:val="center"/>
          </w:tcPr>
          <w:p w14:paraId="782CFC36"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18%</w:t>
            </w:r>
          </w:p>
        </w:tc>
      </w:tr>
      <w:tr w:rsidR="006C2A50" w:rsidRPr="006C2A50" w14:paraId="3899D846" w14:textId="77777777" w:rsidTr="00380477">
        <w:trPr>
          <w:trHeight w:val="312"/>
          <w:jc w:val="center"/>
        </w:trPr>
        <w:tc>
          <w:tcPr>
            <w:tcW w:w="2875" w:type="dxa"/>
            <w:tcBorders>
              <w:top w:val="nil"/>
              <w:left w:val="single" w:sz="4" w:space="0" w:color="auto"/>
              <w:bottom w:val="single" w:sz="4" w:space="0" w:color="auto"/>
              <w:right w:val="single" w:sz="4" w:space="0" w:color="auto"/>
            </w:tcBorders>
            <w:noWrap/>
            <w:vAlign w:val="center"/>
            <w:hideMark/>
          </w:tcPr>
          <w:p w14:paraId="2747705A" w14:textId="77777777" w:rsidR="006C2A50" w:rsidRPr="006C2A50" w:rsidRDefault="006C2A50" w:rsidP="006C2A50">
            <w:pPr>
              <w:spacing w:after="0" w:line="240" w:lineRule="auto"/>
              <w:rPr>
                <w:rFonts w:eastAsia="Times New Roman"/>
                <w:sz w:val="22"/>
                <w:szCs w:val="22"/>
                <w:lang w:val="es-DO" w:eastAsia="es-DO"/>
              </w:rPr>
            </w:pPr>
            <w:r w:rsidRPr="006C2A50">
              <w:rPr>
                <w:rFonts w:eastAsia="Calibri"/>
                <w:noProof/>
                <w:sz w:val="22"/>
                <w:szCs w:val="22"/>
                <w:lang w:val="es-DO" w:eastAsia="es-DO"/>
              </w:rPr>
              <w:t>Libre Nombramiento y Remoción</w:t>
            </w:r>
          </w:p>
        </w:tc>
        <w:tc>
          <w:tcPr>
            <w:tcW w:w="1746" w:type="dxa"/>
            <w:tcBorders>
              <w:top w:val="nil"/>
              <w:left w:val="nil"/>
              <w:bottom w:val="single" w:sz="4" w:space="0" w:color="auto"/>
              <w:right w:val="single" w:sz="4" w:space="0" w:color="auto"/>
            </w:tcBorders>
            <w:noWrap/>
            <w:vAlign w:val="center"/>
          </w:tcPr>
          <w:p w14:paraId="7AADFDD7"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10</w:t>
            </w:r>
          </w:p>
        </w:tc>
        <w:tc>
          <w:tcPr>
            <w:tcW w:w="1240" w:type="dxa"/>
            <w:tcBorders>
              <w:top w:val="nil"/>
              <w:left w:val="nil"/>
              <w:bottom w:val="single" w:sz="4" w:space="0" w:color="auto"/>
              <w:right w:val="single" w:sz="4" w:space="0" w:color="auto"/>
            </w:tcBorders>
            <w:noWrap/>
            <w:vAlign w:val="center"/>
          </w:tcPr>
          <w:p w14:paraId="7FF0167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w:t>
            </w:r>
          </w:p>
        </w:tc>
      </w:tr>
      <w:tr w:rsidR="006C2A50" w:rsidRPr="006C2A50" w14:paraId="6874F426" w14:textId="77777777" w:rsidTr="00380477">
        <w:trPr>
          <w:trHeight w:val="312"/>
          <w:jc w:val="center"/>
        </w:trPr>
        <w:tc>
          <w:tcPr>
            <w:tcW w:w="2875" w:type="dxa"/>
            <w:tcBorders>
              <w:top w:val="nil"/>
              <w:left w:val="single" w:sz="4" w:space="0" w:color="auto"/>
              <w:bottom w:val="single" w:sz="4" w:space="0" w:color="auto"/>
              <w:right w:val="single" w:sz="4" w:space="0" w:color="auto"/>
            </w:tcBorders>
            <w:noWrap/>
            <w:vAlign w:val="center"/>
            <w:hideMark/>
          </w:tcPr>
          <w:p w14:paraId="010ACC93" w14:textId="77777777" w:rsidR="006C2A50" w:rsidRPr="006C2A50" w:rsidRDefault="006C2A50" w:rsidP="006C2A50">
            <w:pPr>
              <w:spacing w:after="0" w:line="240" w:lineRule="auto"/>
              <w:jc w:val="both"/>
              <w:rPr>
                <w:rFonts w:eastAsia="Times New Roman"/>
                <w:sz w:val="22"/>
                <w:szCs w:val="22"/>
                <w:lang w:val="es-DO" w:eastAsia="es-DO"/>
              </w:rPr>
            </w:pPr>
            <w:r w:rsidRPr="006C2A50">
              <w:rPr>
                <w:rFonts w:eastAsia="Calibri"/>
                <w:noProof/>
                <w:sz w:val="22"/>
                <w:szCs w:val="22"/>
                <w:lang w:val="es-DO" w:eastAsia="es-DO"/>
              </w:rPr>
              <w:t>Empleados de Confianza</w:t>
            </w:r>
          </w:p>
        </w:tc>
        <w:tc>
          <w:tcPr>
            <w:tcW w:w="1746" w:type="dxa"/>
            <w:tcBorders>
              <w:top w:val="nil"/>
              <w:left w:val="nil"/>
              <w:bottom w:val="single" w:sz="4" w:space="0" w:color="auto"/>
              <w:right w:val="single" w:sz="4" w:space="0" w:color="auto"/>
            </w:tcBorders>
            <w:noWrap/>
            <w:vAlign w:val="center"/>
          </w:tcPr>
          <w:p w14:paraId="1656E066"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5</w:t>
            </w:r>
          </w:p>
        </w:tc>
        <w:tc>
          <w:tcPr>
            <w:tcW w:w="1240" w:type="dxa"/>
            <w:tcBorders>
              <w:top w:val="nil"/>
              <w:left w:val="nil"/>
              <w:bottom w:val="single" w:sz="4" w:space="0" w:color="auto"/>
              <w:right w:val="single" w:sz="4" w:space="0" w:color="auto"/>
            </w:tcBorders>
            <w:noWrap/>
            <w:vAlign w:val="center"/>
          </w:tcPr>
          <w:p w14:paraId="1DEB56FD"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w:t>
            </w:r>
          </w:p>
        </w:tc>
      </w:tr>
      <w:tr w:rsidR="006C2A50" w:rsidRPr="006C2A50" w14:paraId="17A97FEC" w14:textId="77777777" w:rsidTr="00380477">
        <w:trPr>
          <w:trHeight w:val="312"/>
          <w:jc w:val="center"/>
        </w:trPr>
        <w:tc>
          <w:tcPr>
            <w:tcW w:w="2875" w:type="dxa"/>
            <w:tcBorders>
              <w:top w:val="nil"/>
              <w:left w:val="single" w:sz="4" w:space="0" w:color="auto"/>
              <w:bottom w:val="single" w:sz="4" w:space="0" w:color="auto"/>
              <w:right w:val="single" w:sz="4" w:space="0" w:color="auto"/>
            </w:tcBorders>
            <w:noWrap/>
            <w:vAlign w:val="center"/>
            <w:hideMark/>
          </w:tcPr>
          <w:p w14:paraId="69C73BE4" w14:textId="77777777" w:rsidR="006C2A50" w:rsidRPr="006C2A50" w:rsidRDefault="006C2A50" w:rsidP="006C2A50">
            <w:pPr>
              <w:spacing w:after="0" w:line="240" w:lineRule="auto"/>
              <w:jc w:val="both"/>
              <w:rPr>
                <w:rFonts w:eastAsia="Times New Roman"/>
                <w:sz w:val="22"/>
                <w:szCs w:val="22"/>
                <w:lang w:val="es-DO" w:eastAsia="es-DO"/>
              </w:rPr>
            </w:pPr>
            <w:r w:rsidRPr="006C2A50">
              <w:rPr>
                <w:rFonts w:eastAsia="Calibri"/>
                <w:noProof/>
                <w:sz w:val="22"/>
                <w:szCs w:val="22"/>
                <w:lang w:val="es-DO" w:eastAsia="es-DO"/>
              </w:rPr>
              <w:t>Estatus Simplificado</w:t>
            </w:r>
          </w:p>
        </w:tc>
        <w:tc>
          <w:tcPr>
            <w:tcW w:w="1746" w:type="dxa"/>
            <w:tcBorders>
              <w:top w:val="nil"/>
              <w:left w:val="nil"/>
              <w:bottom w:val="single" w:sz="4" w:space="0" w:color="auto"/>
              <w:right w:val="single" w:sz="4" w:space="0" w:color="auto"/>
            </w:tcBorders>
            <w:noWrap/>
            <w:vAlign w:val="center"/>
          </w:tcPr>
          <w:p w14:paraId="1B519982"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259</w:t>
            </w:r>
          </w:p>
        </w:tc>
        <w:tc>
          <w:tcPr>
            <w:tcW w:w="1240" w:type="dxa"/>
            <w:tcBorders>
              <w:top w:val="nil"/>
              <w:left w:val="nil"/>
              <w:bottom w:val="single" w:sz="4" w:space="0" w:color="auto"/>
              <w:right w:val="single" w:sz="4" w:space="0" w:color="auto"/>
            </w:tcBorders>
            <w:noWrap/>
            <w:vAlign w:val="center"/>
          </w:tcPr>
          <w:p w14:paraId="247AD77C"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59%</w:t>
            </w:r>
          </w:p>
        </w:tc>
      </w:tr>
      <w:tr w:rsidR="006C2A50" w:rsidRPr="006C2A50" w14:paraId="2C8851F2" w14:textId="77777777" w:rsidTr="00380477">
        <w:trPr>
          <w:trHeight w:val="312"/>
          <w:jc w:val="center"/>
        </w:trPr>
        <w:tc>
          <w:tcPr>
            <w:tcW w:w="2875" w:type="dxa"/>
            <w:tcBorders>
              <w:top w:val="nil"/>
              <w:left w:val="single" w:sz="4" w:space="0" w:color="auto"/>
              <w:bottom w:val="single" w:sz="4" w:space="0" w:color="auto"/>
              <w:right w:val="single" w:sz="4" w:space="0" w:color="auto"/>
            </w:tcBorders>
            <w:noWrap/>
            <w:vAlign w:val="center"/>
            <w:hideMark/>
          </w:tcPr>
          <w:p w14:paraId="5C9D4C56" w14:textId="77777777" w:rsidR="006C2A50" w:rsidRPr="006C2A50" w:rsidRDefault="006C2A50" w:rsidP="006C2A50">
            <w:pPr>
              <w:spacing w:after="0" w:line="240" w:lineRule="auto"/>
              <w:jc w:val="both"/>
              <w:rPr>
                <w:rFonts w:eastAsia="Times New Roman"/>
                <w:sz w:val="22"/>
                <w:szCs w:val="22"/>
                <w:lang w:val="es-DO" w:eastAsia="es-DO"/>
              </w:rPr>
            </w:pPr>
            <w:r w:rsidRPr="006C2A50">
              <w:rPr>
                <w:rFonts w:eastAsia="Calibri"/>
                <w:noProof/>
                <w:sz w:val="22"/>
                <w:szCs w:val="22"/>
                <w:lang w:val="es-DO" w:eastAsia="es-DO"/>
              </w:rPr>
              <w:t>Empleados Fijos</w:t>
            </w:r>
          </w:p>
        </w:tc>
        <w:tc>
          <w:tcPr>
            <w:tcW w:w="1746" w:type="dxa"/>
            <w:tcBorders>
              <w:top w:val="nil"/>
              <w:left w:val="nil"/>
              <w:bottom w:val="single" w:sz="4" w:space="0" w:color="auto"/>
              <w:right w:val="single" w:sz="4" w:space="0" w:color="auto"/>
            </w:tcBorders>
            <w:noWrap/>
            <w:vAlign w:val="center"/>
          </w:tcPr>
          <w:p w14:paraId="198663A6"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37</w:t>
            </w:r>
          </w:p>
        </w:tc>
        <w:tc>
          <w:tcPr>
            <w:tcW w:w="1240" w:type="dxa"/>
            <w:tcBorders>
              <w:top w:val="nil"/>
              <w:left w:val="nil"/>
              <w:bottom w:val="single" w:sz="4" w:space="0" w:color="auto"/>
              <w:right w:val="single" w:sz="4" w:space="0" w:color="auto"/>
            </w:tcBorders>
            <w:noWrap/>
            <w:vAlign w:val="center"/>
          </w:tcPr>
          <w:p w14:paraId="53A99A1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8%</w:t>
            </w:r>
          </w:p>
        </w:tc>
      </w:tr>
      <w:tr w:rsidR="006C2A50" w:rsidRPr="006C2A50" w14:paraId="20A9A114" w14:textId="77777777" w:rsidTr="00380477">
        <w:trPr>
          <w:trHeight w:val="312"/>
          <w:jc w:val="center"/>
        </w:trPr>
        <w:tc>
          <w:tcPr>
            <w:tcW w:w="2875" w:type="dxa"/>
            <w:tcBorders>
              <w:top w:val="nil"/>
              <w:left w:val="single" w:sz="4" w:space="0" w:color="auto"/>
              <w:bottom w:val="single" w:sz="4" w:space="0" w:color="auto"/>
              <w:right w:val="single" w:sz="4" w:space="0" w:color="auto"/>
            </w:tcBorders>
            <w:noWrap/>
            <w:vAlign w:val="center"/>
            <w:hideMark/>
          </w:tcPr>
          <w:p w14:paraId="04BC8D9B" w14:textId="77777777" w:rsidR="006C2A50" w:rsidRPr="006C2A50" w:rsidRDefault="006C2A50" w:rsidP="006C2A50">
            <w:pPr>
              <w:spacing w:after="0" w:line="240" w:lineRule="auto"/>
              <w:jc w:val="both"/>
              <w:rPr>
                <w:rFonts w:eastAsia="Times New Roman"/>
                <w:sz w:val="22"/>
                <w:szCs w:val="22"/>
                <w:lang w:val="es-DO" w:eastAsia="es-DO"/>
              </w:rPr>
            </w:pPr>
            <w:r w:rsidRPr="006C2A50">
              <w:rPr>
                <w:rFonts w:eastAsia="Calibri"/>
                <w:noProof/>
                <w:sz w:val="22"/>
                <w:szCs w:val="22"/>
                <w:lang w:val="es-DO" w:eastAsia="es-DO"/>
              </w:rPr>
              <w:t>Empleados Temporales</w:t>
            </w:r>
          </w:p>
        </w:tc>
        <w:tc>
          <w:tcPr>
            <w:tcW w:w="1746" w:type="dxa"/>
            <w:tcBorders>
              <w:top w:val="nil"/>
              <w:left w:val="nil"/>
              <w:bottom w:val="single" w:sz="4" w:space="0" w:color="auto"/>
              <w:right w:val="single" w:sz="4" w:space="0" w:color="auto"/>
            </w:tcBorders>
            <w:noWrap/>
            <w:vAlign w:val="center"/>
          </w:tcPr>
          <w:p w14:paraId="50911ADF"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51</w:t>
            </w:r>
          </w:p>
        </w:tc>
        <w:tc>
          <w:tcPr>
            <w:tcW w:w="1240" w:type="dxa"/>
            <w:tcBorders>
              <w:top w:val="nil"/>
              <w:left w:val="nil"/>
              <w:bottom w:val="single" w:sz="4" w:space="0" w:color="auto"/>
              <w:right w:val="single" w:sz="4" w:space="0" w:color="auto"/>
            </w:tcBorders>
            <w:noWrap/>
            <w:vAlign w:val="center"/>
          </w:tcPr>
          <w:p w14:paraId="69C0B34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12%</w:t>
            </w:r>
          </w:p>
        </w:tc>
      </w:tr>
      <w:tr w:rsidR="006C2A50" w:rsidRPr="006C2A50" w14:paraId="5A0CC951" w14:textId="77777777" w:rsidTr="00380477">
        <w:trPr>
          <w:trHeight w:val="312"/>
          <w:jc w:val="center"/>
        </w:trPr>
        <w:tc>
          <w:tcPr>
            <w:tcW w:w="2875" w:type="dxa"/>
            <w:tcBorders>
              <w:top w:val="nil"/>
              <w:left w:val="single" w:sz="4" w:space="0" w:color="auto"/>
              <w:bottom w:val="nil"/>
              <w:right w:val="single" w:sz="4" w:space="0" w:color="auto"/>
            </w:tcBorders>
            <w:shd w:val="clear" w:color="auto" w:fill="142F62"/>
            <w:noWrap/>
            <w:vAlign w:val="center"/>
            <w:hideMark/>
          </w:tcPr>
          <w:p w14:paraId="2695354A" w14:textId="77777777" w:rsidR="006C2A50" w:rsidRPr="006C2A50" w:rsidRDefault="006C2A50" w:rsidP="006C2A50">
            <w:pPr>
              <w:spacing w:after="0" w:line="240" w:lineRule="auto"/>
              <w:jc w:val="center"/>
              <w:rPr>
                <w:rFonts w:eastAsia="Times New Roman"/>
                <w:b/>
                <w:bCs/>
                <w:color w:val="E7E6E6"/>
                <w:sz w:val="22"/>
                <w:szCs w:val="22"/>
                <w:lang w:val="es-DO" w:eastAsia="es-DO"/>
              </w:rPr>
            </w:pPr>
            <w:r w:rsidRPr="006C2A50">
              <w:rPr>
                <w:rFonts w:eastAsia="Times New Roman"/>
                <w:b/>
                <w:bCs/>
                <w:color w:val="E7E6E6"/>
                <w:sz w:val="22"/>
                <w:szCs w:val="22"/>
                <w:lang w:val="es-DO" w:eastAsia="es-DO"/>
              </w:rPr>
              <w:t>Totales</w:t>
            </w:r>
          </w:p>
        </w:tc>
        <w:tc>
          <w:tcPr>
            <w:tcW w:w="1746" w:type="dxa"/>
            <w:tcBorders>
              <w:top w:val="nil"/>
              <w:left w:val="nil"/>
              <w:bottom w:val="nil"/>
              <w:right w:val="single" w:sz="4" w:space="0" w:color="auto"/>
            </w:tcBorders>
            <w:shd w:val="clear" w:color="auto" w:fill="142F62"/>
            <w:noWrap/>
            <w:vAlign w:val="center"/>
            <w:hideMark/>
          </w:tcPr>
          <w:p w14:paraId="452A1420" w14:textId="77777777" w:rsidR="006C2A50" w:rsidRPr="006C2A50" w:rsidRDefault="006C2A50" w:rsidP="006C2A50">
            <w:pPr>
              <w:spacing w:after="0" w:line="240" w:lineRule="auto"/>
              <w:jc w:val="center"/>
              <w:rPr>
                <w:rFonts w:eastAsia="Times New Roman"/>
                <w:b/>
                <w:bCs/>
                <w:color w:val="E7E6E6"/>
                <w:sz w:val="22"/>
                <w:szCs w:val="22"/>
                <w:lang w:val="es-DO" w:eastAsia="es-DO"/>
              </w:rPr>
            </w:pPr>
            <w:r w:rsidRPr="006C2A50">
              <w:rPr>
                <w:rFonts w:eastAsia="Times New Roman"/>
                <w:b/>
                <w:bCs/>
                <w:color w:val="E7E6E6"/>
                <w:sz w:val="22"/>
                <w:szCs w:val="22"/>
                <w:lang w:val="es-DO" w:eastAsia="es-DO"/>
              </w:rPr>
              <w:t>440</w:t>
            </w:r>
          </w:p>
        </w:tc>
        <w:tc>
          <w:tcPr>
            <w:tcW w:w="1240" w:type="dxa"/>
            <w:tcBorders>
              <w:top w:val="nil"/>
              <w:left w:val="nil"/>
              <w:bottom w:val="nil"/>
              <w:right w:val="single" w:sz="4" w:space="0" w:color="auto"/>
            </w:tcBorders>
            <w:shd w:val="clear" w:color="auto" w:fill="142F62"/>
            <w:noWrap/>
            <w:vAlign w:val="center"/>
            <w:hideMark/>
          </w:tcPr>
          <w:p w14:paraId="7A52EAF6" w14:textId="77777777" w:rsidR="006C2A50" w:rsidRPr="006C2A50" w:rsidRDefault="006C2A50" w:rsidP="006C2A50">
            <w:pPr>
              <w:spacing w:after="0" w:line="240" w:lineRule="auto"/>
              <w:jc w:val="center"/>
              <w:rPr>
                <w:rFonts w:eastAsia="Times New Roman"/>
                <w:b/>
                <w:bCs/>
                <w:color w:val="E7E6E6"/>
                <w:sz w:val="22"/>
                <w:szCs w:val="22"/>
                <w:lang w:val="es-DO" w:eastAsia="es-DO"/>
              </w:rPr>
            </w:pPr>
            <w:r w:rsidRPr="006C2A50">
              <w:rPr>
                <w:rFonts w:eastAsia="Times New Roman"/>
                <w:b/>
                <w:bCs/>
                <w:color w:val="E7E6E6"/>
                <w:sz w:val="22"/>
                <w:szCs w:val="22"/>
                <w:lang w:val="es-DO" w:eastAsia="es-DO"/>
              </w:rPr>
              <w:t>100%</w:t>
            </w:r>
          </w:p>
        </w:tc>
      </w:tr>
    </w:tbl>
    <w:p w14:paraId="3793FC45" w14:textId="1121AD35" w:rsidR="006C2A50" w:rsidRPr="00227219" w:rsidRDefault="006C2A50" w:rsidP="006C2A50">
      <w:pPr>
        <w:spacing w:after="0" w:line="240" w:lineRule="auto"/>
        <w:textAlignment w:val="baseline"/>
        <w:rPr>
          <w:rFonts w:eastAsia="Calibri"/>
          <w:i/>
          <w:iCs/>
          <w:sz w:val="18"/>
          <w:szCs w:val="18"/>
          <w:lang w:val="es-DO"/>
        </w:rPr>
      </w:pPr>
      <w:r w:rsidRPr="006C2A50">
        <w:rPr>
          <w:rFonts w:eastAsia="Calibri"/>
          <w:sz w:val="18"/>
          <w:szCs w:val="18"/>
          <w:lang w:val="es-DO"/>
        </w:rPr>
        <w:t xml:space="preserve">                      </w:t>
      </w:r>
      <w:r w:rsidRPr="00227219">
        <w:rPr>
          <w:rFonts w:eastAsia="Calibri"/>
          <w:i/>
          <w:iCs/>
          <w:sz w:val="18"/>
          <w:szCs w:val="18"/>
          <w:lang w:val="es-DO"/>
        </w:rPr>
        <w:t xml:space="preserve">Cuadro </w:t>
      </w:r>
      <w:r w:rsidR="00DB7323" w:rsidRPr="00227219">
        <w:rPr>
          <w:rFonts w:eastAsia="Calibri"/>
          <w:i/>
          <w:iCs/>
          <w:sz w:val="18"/>
          <w:szCs w:val="18"/>
          <w:lang w:val="es-DO"/>
        </w:rPr>
        <w:t>1</w:t>
      </w:r>
      <w:r w:rsidR="00227219" w:rsidRPr="00227219">
        <w:rPr>
          <w:rFonts w:eastAsia="Calibri"/>
          <w:i/>
          <w:iCs/>
          <w:sz w:val="18"/>
          <w:szCs w:val="18"/>
          <w:lang w:val="es-DO"/>
        </w:rPr>
        <w:t>4</w:t>
      </w:r>
      <w:r w:rsidR="00321494" w:rsidRPr="00227219">
        <w:rPr>
          <w:rFonts w:eastAsia="Calibri"/>
          <w:i/>
          <w:iCs/>
          <w:sz w:val="18"/>
          <w:szCs w:val="18"/>
          <w:lang w:val="es-DO"/>
        </w:rPr>
        <w:t>.</w:t>
      </w:r>
      <w:r w:rsidRPr="00227219">
        <w:rPr>
          <w:rFonts w:eastAsia="Calibri"/>
          <w:i/>
          <w:iCs/>
          <w:sz w:val="18"/>
          <w:szCs w:val="18"/>
          <w:lang w:val="es-DO"/>
        </w:rPr>
        <w:t xml:space="preserve"> Cantidad de servidores al 31 de diciembre 2025</w:t>
      </w:r>
    </w:p>
    <w:p w14:paraId="4341C6B9" w14:textId="77777777" w:rsidR="006C2A50" w:rsidRPr="006C2A50" w:rsidRDefault="006C2A50" w:rsidP="006C2A50">
      <w:pPr>
        <w:spacing w:after="0" w:line="240" w:lineRule="auto"/>
        <w:textAlignment w:val="baseline"/>
        <w:rPr>
          <w:rFonts w:eastAsia="Calibri"/>
          <w:sz w:val="18"/>
          <w:szCs w:val="18"/>
          <w:lang w:val="es-DO"/>
        </w:rPr>
      </w:pPr>
    </w:p>
    <w:p w14:paraId="4D717103" w14:textId="77777777" w:rsidR="006C2A50" w:rsidRDefault="006C2A50" w:rsidP="006C2A50">
      <w:pPr>
        <w:spacing w:line="360" w:lineRule="auto"/>
        <w:jc w:val="both"/>
        <w:rPr>
          <w:rFonts w:eastAsia="Calibri"/>
          <w:lang w:val="es-DO"/>
        </w:rPr>
      </w:pPr>
      <w:r w:rsidRPr="006C2A50">
        <w:rPr>
          <w:rFonts w:eastAsia="Calibri"/>
          <w:lang w:val="es-DO"/>
        </w:rPr>
        <w:t>El total de colaboradores se encuentra distribuido en los cinco grupos ocupacionales conforme se indica a continuación.</w:t>
      </w:r>
    </w:p>
    <w:p w14:paraId="4DFD551D" w14:textId="77777777" w:rsidR="00DB7323" w:rsidRPr="006C2A50" w:rsidRDefault="00DB7323" w:rsidP="006C2A50">
      <w:pPr>
        <w:spacing w:line="360" w:lineRule="auto"/>
        <w:jc w:val="both"/>
        <w:rPr>
          <w:rFonts w:eastAsia="Calibri"/>
          <w:noProof/>
          <w:sz w:val="2"/>
          <w:szCs w:val="2"/>
          <w:lang w:val="es-DO"/>
        </w:rPr>
      </w:pPr>
    </w:p>
    <w:tbl>
      <w:tblPr>
        <w:tblW w:w="6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16"/>
        <w:gridCol w:w="2605"/>
        <w:gridCol w:w="1445"/>
        <w:gridCol w:w="1255"/>
      </w:tblGrid>
      <w:tr w:rsidR="006C2A50" w:rsidRPr="006C2A50" w14:paraId="26E14F23" w14:textId="77777777" w:rsidTr="00DB7323">
        <w:trPr>
          <w:trHeight w:val="458"/>
          <w:jc w:val="center"/>
        </w:trPr>
        <w:tc>
          <w:tcPr>
            <w:tcW w:w="1016" w:type="dxa"/>
            <w:vMerge w:val="restart"/>
            <w:shd w:val="clear" w:color="000000" w:fill="142F62"/>
            <w:vAlign w:val="center"/>
            <w:hideMark/>
          </w:tcPr>
          <w:p w14:paraId="140956B6"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Código</w:t>
            </w:r>
          </w:p>
        </w:tc>
        <w:tc>
          <w:tcPr>
            <w:tcW w:w="2605" w:type="dxa"/>
            <w:vMerge w:val="restart"/>
            <w:shd w:val="clear" w:color="000000" w:fill="142F62"/>
            <w:vAlign w:val="center"/>
            <w:hideMark/>
          </w:tcPr>
          <w:p w14:paraId="455036B2"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Grupo Ocupacional</w:t>
            </w:r>
          </w:p>
        </w:tc>
        <w:tc>
          <w:tcPr>
            <w:tcW w:w="1445" w:type="dxa"/>
            <w:vMerge w:val="restart"/>
            <w:shd w:val="clear" w:color="000000" w:fill="142F62"/>
            <w:vAlign w:val="center"/>
            <w:hideMark/>
          </w:tcPr>
          <w:p w14:paraId="314F1572"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Cantidad Servidores</w:t>
            </w:r>
          </w:p>
        </w:tc>
        <w:tc>
          <w:tcPr>
            <w:tcW w:w="1255" w:type="dxa"/>
            <w:vMerge w:val="restart"/>
            <w:shd w:val="clear" w:color="000000" w:fill="142F62"/>
            <w:vAlign w:val="center"/>
            <w:hideMark/>
          </w:tcPr>
          <w:p w14:paraId="41F67488"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w:t>
            </w:r>
          </w:p>
        </w:tc>
      </w:tr>
      <w:tr w:rsidR="006C2A50" w:rsidRPr="006C2A50" w14:paraId="4BE61550" w14:textId="77777777" w:rsidTr="00321494">
        <w:trPr>
          <w:trHeight w:val="458"/>
          <w:jc w:val="center"/>
        </w:trPr>
        <w:tc>
          <w:tcPr>
            <w:tcW w:w="1016" w:type="dxa"/>
            <w:vMerge/>
            <w:vAlign w:val="center"/>
            <w:hideMark/>
          </w:tcPr>
          <w:p w14:paraId="2CA5C15D"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2605" w:type="dxa"/>
            <w:vMerge/>
            <w:vAlign w:val="center"/>
            <w:hideMark/>
          </w:tcPr>
          <w:p w14:paraId="6DF7E9D8"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1445" w:type="dxa"/>
            <w:vMerge/>
            <w:vAlign w:val="center"/>
            <w:hideMark/>
          </w:tcPr>
          <w:p w14:paraId="5AD2F43C"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1255" w:type="dxa"/>
            <w:vMerge/>
            <w:vAlign w:val="center"/>
            <w:hideMark/>
          </w:tcPr>
          <w:p w14:paraId="69F089DF" w14:textId="77777777" w:rsidR="006C2A50" w:rsidRPr="006C2A50" w:rsidRDefault="006C2A50" w:rsidP="006C2A50">
            <w:pPr>
              <w:spacing w:after="0" w:line="240" w:lineRule="auto"/>
              <w:rPr>
                <w:rFonts w:eastAsia="Times New Roman"/>
                <w:b/>
                <w:bCs/>
                <w:color w:val="FFFFFF"/>
                <w:sz w:val="22"/>
                <w:szCs w:val="22"/>
                <w:lang w:val="es-DO" w:eastAsia="es-DO"/>
              </w:rPr>
            </w:pPr>
          </w:p>
        </w:tc>
      </w:tr>
      <w:tr w:rsidR="006C2A50" w:rsidRPr="006C2A50" w14:paraId="61D92882" w14:textId="77777777" w:rsidTr="00DB7323">
        <w:trPr>
          <w:trHeight w:val="324"/>
          <w:jc w:val="center"/>
        </w:trPr>
        <w:tc>
          <w:tcPr>
            <w:tcW w:w="1016" w:type="dxa"/>
            <w:vAlign w:val="center"/>
            <w:hideMark/>
          </w:tcPr>
          <w:p w14:paraId="54CC8E14"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w:t>
            </w:r>
          </w:p>
        </w:tc>
        <w:tc>
          <w:tcPr>
            <w:tcW w:w="2605" w:type="dxa"/>
            <w:vAlign w:val="center"/>
            <w:hideMark/>
          </w:tcPr>
          <w:p w14:paraId="4673844F"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Servicios Generales</w:t>
            </w:r>
          </w:p>
        </w:tc>
        <w:tc>
          <w:tcPr>
            <w:tcW w:w="1445" w:type="dxa"/>
            <w:vAlign w:val="center"/>
            <w:hideMark/>
          </w:tcPr>
          <w:p w14:paraId="58A7ABE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105</w:t>
            </w:r>
          </w:p>
        </w:tc>
        <w:tc>
          <w:tcPr>
            <w:tcW w:w="1255" w:type="dxa"/>
            <w:vAlign w:val="center"/>
            <w:hideMark/>
          </w:tcPr>
          <w:p w14:paraId="3379C722"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23.86%</w:t>
            </w:r>
          </w:p>
        </w:tc>
      </w:tr>
      <w:tr w:rsidR="006C2A50" w:rsidRPr="006C2A50" w14:paraId="76777530" w14:textId="77777777" w:rsidTr="00DB7323">
        <w:trPr>
          <w:trHeight w:val="324"/>
          <w:jc w:val="center"/>
        </w:trPr>
        <w:tc>
          <w:tcPr>
            <w:tcW w:w="1016" w:type="dxa"/>
            <w:vAlign w:val="center"/>
            <w:hideMark/>
          </w:tcPr>
          <w:p w14:paraId="62F3F62A"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GO-II</w:t>
            </w:r>
          </w:p>
        </w:tc>
        <w:tc>
          <w:tcPr>
            <w:tcW w:w="2605" w:type="dxa"/>
            <w:vAlign w:val="center"/>
            <w:hideMark/>
          </w:tcPr>
          <w:p w14:paraId="44379B86"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Supervisión y Apoyo</w:t>
            </w:r>
          </w:p>
        </w:tc>
        <w:tc>
          <w:tcPr>
            <w:tcW w:w="1445" w:type="dxa"/>
            <w:vAlign w:val="center"/>
            <w:hideMark/>
          </w:tcPr>
          <w:p w14:paraId="24563D98"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220</w:t>
            </w:r>
          </w:p>
        </w:tc>
        <w:tc>
          <w:tcPr>
            <w:tcW w:w="1255" w:type="dxa"/>
            <w:vAlign w:val="center"/>
            <w:hideMark/>
          </w:tcPr>
          <w:p w14:paraId="1B85C8DD"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50.00%</w:t>
            </w:r>
          </w:p>
        </w:tc>
      </w:tr>
      <w:tr w:rsidR="006C2A50" w:rsidRPr="006C2A50" w14:paraId="4FDB4171" w14:textId="77777777" w:rsidTr="00DB7323">
        <w:trPr>
          <w:trHeight w:val="324"/>
          <w:jc w:val="center"/>
        </w:trPr>
        <w:tc>
          <w:tcPr>
            <w:tcW w:w="1016" w:type="dxa"/>
            <w:vAlign w:val="center"/>
            <w:hideMark/>
          </w:tcPr>
          <w:p w14:paraId="5FD7A766"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GO-III</w:t>
            </w:r>
          </w:p>
        </w:tc>
        <w:tc>
          <w:tcPr>
            <w:tcW w:w="2605" w:type="dxa"/>
            <w:vAlign w:val="center"/>
            <w:hideMark/>
          </w:tcPr>
          <w:p w14:paraId="6F3DE2B9"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Técnicos</w:t>
            </w:r>
          </w:p>
        </w:tc>
        <w:tc>
          <w:tcPr>
            <w:tcW w:w="1445" w:type="dxa"/>
            <w:vAlign w:val="center"/>
            <w:hideMark/>
          </w:tcPr>
          <w:p w14:paraId="342FB7E9"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25</w:t>
            </w:r>
          </w:p>
        </w:tc>
        <w:tc>
          <w:tcPr>
            <w:tcW w:w="1255" w:type="dxa"/>
            <w:vAlign w:val="center"/>
            <w:hideMark/>
          </w:tcPr>
          <w:p w14:paraId="25AF4448"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5.68%</w:t>
            </w:r>
          </w:p>
        </w:tc>
      </w:tr>
      <w:tr w:rsidR="006C2A50" w:rsidRPr="006C2A50" w14:paraId="4E23E51C" w14:textId="77777777" w:rsidTr="00DB7323">
        <w:trPr>
          <w:trHeight w:val="324"/>
          <w:jc w:val="center"/>
        </w:trPr>
        <w:tc>
          <w:tcPr>
            <w:tcW w:w="1016" w:type="dxa"/>
            <w:vAlign w:val="center"/>
            <w:hideMark/>
          </w:tcPr>
          <w:p w14:paraId="296A6A3D"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GO-IV</w:t>
            </w:r>
          </w:p>
        </w:tc>
        <w:tc>
          <w:tcPr>
            <w:tcW w:w="2605" w:type="dxa"/>
            <w:vAlign w:val="center"/>
            <w:hideMark/>
          </w:tcPr>
          <w:p w14:paraId="727A65FF"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Profesionales</w:t>
            </w:r>
          </w:p>
        </w:tc>
        <w:tc>
          <w:tcPr>
            <w:tcW w:w="1445" w:type="dxa"/>
            <w:vAlign w:val="center"/>
            <w:hideMark/>
          </w:tcPr>
          <w:p w14:paraId="5CA7DE8C"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53</w:t>
            </w:r>
          </w:p>
        </w:tc>
        <w:tc>
          <w:tcPr>
            <w:tcW w:w="1255" w:type="dxa"/>
            <w:vAlign w:val="center"/>
            <w:hideMark/>
          </w:tcPr>
          <w:p w14:paraId="2F1184E4"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12.05%</w:t>
            </w:r>
          </w:p>
        </w:tc>
      </w:tr>
      <w:tr w:rsidR="006C2A50" w:rsidRPr="006C2A50" w14:paraId="3E3E88BC" w14:textId="77777777" w:rsidTr="00DB7323">
        <w:trPr>
          <w:trHeight w:val="324"/>
          <w:jc w:val="center"/>
        </w:trPr>
        <w:tc>
          <w:tcPr>
            <w:tcW w:w="1016" w:type="dxa"/>
            <w:vAlign w:val="center"/>
            <w:hideMark/>
          </w:tcPr>
          <w:p w14:paraId="52194B8C"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GO-V</w:t>
            </w:r>
          </w:p>
        </w:tc>
        <w:tc>
          <w:tcPr>
            <w:tcW w:w="2605" w:type="dxa"/>
            <w:vAlign w:val="center"/>
            <w:hideMark/>
          </w:tcPr>
          <w:p w14:paraId="2F7414AC"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Dirección</w:t>
            </w:r>
          </w:p>
        </w:tc>
        <w:tc>
          <w:tcPr>
            <w:tcW w:w="1445" w:type="dxa"/>
            <w:vAlign w:val="center"/>
            <w:hideMark/>
          </w:tcPr>
          <w:p w14:paraId="1349EA05"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37</w:t>
            </w:r>
          </w:p>
        </w:tc>
        <w:tc>
          <w:tcPr>
            <w:tcW w:w="1255" w:type="dxa"/>
            <w:vAlign w:val="center"/>
            <w:hideMark/>
          </w:tcPr>
          <w:p w14:paraId="15A38C00"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8.41%</w:t>
            </w:r>
          </w:p>
        </w:tc>
      </w:tr>
      <w:tr w:rsidR="006C2A50" w:rsidRPr="006C2A50" w14:paraId="7BA8BBC7" w14:textId="77777777" w:rsidTr="00DB7323">
        <w:trPr>
          <w:trHeight w:val="324"/>
          <w:jc w:val="center"/>
        </w:trPr>
        <w:tc>
          <w:tcPr>
            <w:tcW w:w="1016" w:type="dxa"/>
            <w:shd w:val="clear" w:color="000000" w:fill="142F62"/>
            <w:vAlign w:val="center"/>
            <w:hideMark/>
          </w:tcPr>
          <w:p w14:paraId="001058A3" w14:textId="77777777" w:rsidR="006C2A50" w:rsidRPr="006C2A50" w:rsidRDefault="006C2A50" w:rsidP="006C2A50">
            <w:pPr>
              <w:spacing w:after="0" w:line="240" w:lineRule="auto"/>
              <w:jc w:val="right"/>
              <w:rPr>
                <w:rFonts w:eastAsia="Times New Roman"/>
                <w:b/>
                <w:bCs/>
                <w:color w:val="FFFFFF"/>
                <w:sz w:val="22"/>
                <w:szCs w:val="22"/>
                <w:lang w:val="es-DO" w:eastAsia="es-DO"/>
              </w:rPr>
            </w:pPr>
            <w:r w:rsidRPr="006C2A50">
              <w:rPr>
                <w:rFonts w:eastAsia="Times New Roman"/>
                <w:b/>
                <w:bCs/>
                <w:color w:val="FFFFFF"/>
                <w:sz w:val="22"/>
                <w:szCs w:val="22"/>
                <w:lang w:val="es-DO" w:eastAsia="es-DO"/>
              </w:rPr>
              <w:t> </w:t>
            </w:r>
          </w:p>
        </w:tc>
        <w:tc>
          <w:tcPr>
            <w:tcW w:w="2605" w:type="dxa"/>
            <w:shd w:val="clear" w:color="000000" w:fill="142F62"/>
            <w:vAlign w:val="center"/>
            <w:hideMark/>
          </w:tcPr>
          <w:p w14:paraId="0E250B82" w14:textId="77777777" w:rsidR="006C2A50" w:rsidRPr="006C2A50" w:rsidRDefault="006C2A50" w:rsidP="006C2A50">
            <w:pPr>
              <w:spacing w:after="0" w:line="240" w:lineRule="auto"/>
              <w:jc w:val="right"/>
              <w:rPr>
                <w:rFonts w:eastAsia="Times New Roman"/>
                <w:b/>
                <w:bCs/>
                <w:color w:val="FFFFFF"/>
                <w:sz w:val="22"/>
                <w:szCs w:val="22"/>
                <w:lang w:val="es-DO" w:eastAsia="es-DO"/>
              </w:rPr>
            </w:pPr>
            <w:r w:rsidRPr="006C2A50">
              <w:rPr>
                <w:rFonts w:eastAsia="Times New Roman"/>
                <w:b/>
                <w:bCs/>
                <w:color w:val="FFFFFF"/>
                <w:sz w:val="22"/>
                <w:szCs w:val="22"/>
                <w:lang w:val="es-DO" w:eastAsia="es-DO"/>
              </w:rPr>
              <w:t>Total</w:t>
            </w:r>
          </w:p>
        </w:tc>
        <w:tc>
          <w:tcPr>
            <w:tcW w:w="1445" w:type="dxa"/>
            <w:shd w:val="clear" w:color="000000" w:fill="142F62"/>
            <w:vAlign w:val="center"/>
            <w:hideMark/>
          </w:tcPr>
          <w:p w14:paraId="3E3726BC"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440</w:t>
            </w:r>
          </w:p>
        </w:tc>
        <w:tc>
          <w:tcPr>
            <w:tcW w:w="1255" w:type="dxa"/>
            <w:shd w:val="clear" w:color="000000" w:fill="142F62"/>
            <w:vAlign w:val="center"/>
            <w:hideMark/>
          </w:tcPr>
          <w:p w14:paraId="64D5DDBE"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100%</w:t>
            </w:r>
          </w:p>
        </w:tc>
      </w:tr>
    </w:tbl>
    <w:p w14:paraId="1338C7DE" w14:textId="259B3DDE" w:rsidR="006C2A50" w:rsidRPr="00227219" w:rsidRDefault="006C2A50" w:rsidP="006C2A50">
      <w:pPr>
        <w:spacing w:after="0" w:line="240" w:lineRule="auto"/>
        <w:textAlignment w:val="baseline"/>
        <w:rPr>
          <w:rFonts w:eastAsia="Calibri"/>
          <w:i/>
          <w:iCs/>
          <w:sz w:val="18"/>
          <w:szCs w:val="18"/>
          <w:lang w:val="es-DO"/>
        </w:rPr>
      </w:pPr>
      <w:r w:rsidRPr="006C2A50">
        <w:rPr>
          <w:rFonts w:eastAsia="Calibri"/>
          <w:sz w:val="20"/>
          <w:szCs w:val="20"/>
          <w:lang w:val="es-DO"/>
        </w:rPr>
        <w:t xml:space="preserve">                     </w:t>
      </w:r>
      <w:r w:rsidRPr="00227219">
        <w:rPr>
          <w:rFonts w:eastAsia="Calibri"/>
          <w:i/>
          <w:iCs/>
          <w:sz w:val="18"/>
          <w:szCs w:val="18"/>
          <w:lang w:val="es-DO"/>
        </w:rPr>
        <w:t xml:space="preserve">Cuadro </w:t>
      </w:r>
      <w:r w:rsidR="00DB7323" w:rsidRPr="00227219">
        <w:rPr>
          <w:rFonts w:eastAsia="Calibri"/>
          <w:i/>
          <w:iCs/>
          <w:sz w:val="18"/>
          <w:szCs w:val="18"/>
          <w:lang w:val="es-DO"/>
        </w:rPr>
        <w:t>1</w:t>
      </w:r>
      <w:r w:rsidR="00227219">
        <w:rPr>
          <w:rFonts w:eastAsia="Calibri"/>
          <w:i/>
          <w:iCs/>
          <w:sz w:val="18"/>
          <w:szCs w:val="18"/>
          <w:lang w:val="es-DO"/>
        </w:rPr>
        <w:t>5</w:t>
      </w:r>
      <w:r w:rsidR="00DB7323" w:rsidRPr="00227219">
        <w:rPr>
          <w:rFonts w:eastAsia="Calibri"/>
          <w:i/>
          <w:iCs/>
          <w:sz w:val="18"/>
          <w:szCs w:val="18"/>
          <w:lang w:val="es-DO"/>
        </w:rPr>
        <w:t xml:space="preserve">. </w:t>
      </w:r>
      <w:r w:rsidRPr="00227219">
        <w:rPr>
          <w:rFonts w:eastAsia="Calibri"/>
          <w:i/>
          <w:iCs/>
          <w:sz w:val="18"/>
          <w:szCs w:val="18"/>
          <w:lang w:val="es-DO"/>
        </w:rPr>
        <w:t xml:space="preserve"> Cantidad de servidores por grupo ocupacional</w:t>
      </w:r>
    </w:p>
    <w:p w14:paraId="02D55CB7" w14:textId="77777777" w:rsidR="00DB7323" w:rsidRDefault="00DB7323" w:rsidP="006C2A50">
      <w:pPr>
        <w:spacing w:line="360" w:lineRule="auto"/>
        <w:jc w:val="both"/>
        <w:rPr>
          <w:rFonts w:eastAsia="Calibri"/>
          <w:lang w:val="es-DO"/>
        </w:rPr>
      </w:pPr>
    </w:p>
    <w:p w14:paraId="04584BD2" w14:textId="741C7585" w:rsidR="006C2A50" w:rsidRPr="006C2A50" w:rsidRDefault="006C2A50" w:rsidP="00427D27">
      <w:pPr>
        <w:spacing w:line="360" w:lineRule="auto"/>
        <w:jc w:val="both"/>
        <w:rPr>
          <w:rFonts w:eastAsia="Calibri"/>
          <w:lang w:val="es-DO"/>
        </w:rPr>
      </w:pPr>
      <w:r w:rsidRPr="006C2A50">
        <w:rPr>
          <w:rFonts w:eastAsia="Calibri"/>
          <w:lang w:val="es-DO"/>
        </w:rPr>
        <w:t xml:space="preserve">Se observa que el 23.86% del personal corresponde al Grupo Ocupacional I, conformado por los colaboradores de Servicios Generales; el 50% corresponde al Grupo Ocupacional II, supervisores y personal de apoyo a las labores administrativas; el 5.68% de los </w:t>
      </w:r>
      <w:r w:rsidRPr="006C2A50">
        <w:rPr>
          <w:rFonts w:eastAsia="Calibri"/>
          <w:lang w:val="es-DO"/>
        </w:rPr>
        <w:lastRenderedPageBreak/>
        <w:t>colaboradores pertenecen al Grupo Ocupacional III, nivel técnico; un 12.05% son profesionales y corresponden al Grupo Ocupacional IV; y un 8.41% corresponde al nivel de Dirección, Grupo Ocupacional V.</w:t>
      </w:r>
    </w:p>
    <w:p w14:paraId="4A61654B" w14:textId="77777777" w:rsidR="006C2A50" w:rsidRPr="006C2A50" w:rsidRDefault="006C2A50" w:rsidP="006C2A50">
      <w:pPr>
        <w:spacing w:line="240" w:lineRule="auto"/>
        <w:jc w:val="center"/>
        <w:rPr>
          <w:rFonts w:eastAsia="Calibri"/>
          <w:sz w:val="10"/>
          <w:szCs w:val="8"/>
          <w:lang w:val="es-DO"/>
        </w:rPr>
      </w:pPr>
      <w:r w:rsidRPr="006C2A50">
        <w:rPr>
          <w:rFonts w:eastAsia="Calibri"/>
          <w:noProof/>
        </w:rPr>
        <w:drawing>
          <wp:inline distT="0" distB="0" distL="0" distR="0" wp14:anchorId="71D07E8D" wp14:editId="6693DB5C">
            <wp:extent cx="5025542" cy="3050438"/>
            <wp:effectExtent l="0" t="0" r="3810" b="17145"/>
            <wp:docPr id="480787813" name="Gráfico 480787813">
              <a:extLst xmlns:a="http://schemas.openxmlformats.org/drawingml/2006/main">
                <a:ext uri="{FF2B5EF4-FFF2-40B4-BE49-F238E27FC236}">
                  <a16:creationId xmlns:a16="http://schemas.microsoft.com/office/drawing/2014/main" id="{68C153B3-9EA7-4DC1-8A93-44F632A4B3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577DC52" w14:textId="66D9ABCF" w:rsidR="006C2A50" w:rsidRPr="006C2A50" w:rsidRDefault="006C2A50" w:rsidP="006C2A50">
      <w:pPr>
        <w:spacing w:after="0" w:line="240" w:lineRule="auto"/>
        <w:textAlignment w:val="baseline"/>
        <w:rPr>
          <w:rFonts w:eastAsia="Times New Roman"/>
          <w:i/>
          <w:iCs/>
          <w:spacing w:val="0"/>
          <w:kern w:val="24"/>
          <w:sz w:val="20"/>
          <w:szCs w:val="20"/>
          <w:lang w:val="es-DO" w:eastAsia="es-DO"/>
        </w:rPr>
      </w:pPr>
      <w:r w:rsidRPr="006C2A50">
        <w:rPr>
          <w:rFonts w:eastAsia="Calibri"/>
          <w:sz w:val="18"/>
          <w:szCs w:val="18"/>
          <w:lang w:val="es-DO" w:eastAsia="es-DO"/>
        </w:rPr>
        <w:t xml:space="preserve">     </w:t>
      </w:r>
      <w:r w:rsidRPr="006C2A50">
        <w:rPr>
          <w:rFonts w:eastAsia="Calibri"/>
          <w:i/>
          <w:iCs/>
          <w:sz w:val="18"/>
          <w:szCs w:val="18"/>
          <w:lang w:val="es-DO" w:eastAsia="es-DO"/>
        </w:rPr>
        <w:t xml:space="preserve">Gráfica </w:t>
      </w:r>
      <w:r w:rsidR="00227219">
        <w:rPr>
          <w:rFonts w:eastAsia="Calibri"/>
          <w:i/>
          <w:iCs/>
          <w:sz w:val="18"/>
          <w:szCs w:val="18"/>
          <w:lang w:val="es-DO" w:eastAsia="es-DO"/>
        </w:rPr>
        <w:t>4</w:t>
      </w:r>
      <w:r w:rsidR="00DB7323">
        <w:rPr>
          <w:rFonts w:eastAsia="Calibri"/>
          <w:i/>
          <w:iCs/>
          <w:sz w:val="18"/>
          <w:szCs w:val="18"/>
          <w:lang w:val="es-DO" w:eastAsia="es-DO"/>
        </w:rPr>
        <w:t>.</w:t>
      </w:r>
      <w:r w:rsidRPr="006C2A50">
        <w:rPr>
          <w:rFonts w:eastAsia="Calibri"/>
          <w:i/>
          <w:iCs/>
          <w:sz w:val="18"/>
          <w:szCs w:val="18"/>
          <w:lang w:val="es-DO" w:eastAsia="es-DO"/>
        </w:rPr>
        <w:t xml:space="preserve"> Distribución servidores por grupo ocupacional al 30 de diciembre</w:t>
      </w:r>
      <w:r w:rsidRPr="006C2A50">
        <w:rPr>
          <w:rFonts w:eastAsia="Times New Roman"/>
          <w:i/>
          <w:iCs/>
          <w:spacing w:val="0"/>
          <w:kern w:val="24"/>
          <w:sz w:val="20"/>
          <w:szCs w:val="20"/>
          <w:lang w:val="es-DO" w:eastAsia="es-DO"/>
        </w:rPr>
        <w:t xml:space="preserve"> 2025</w:t>
      </w:r>
    </w:p>
    <w:p w14:paraId="324BE2BF" w14:textId="77777777" w:rsidR="006C2A50" w:rsidRPr="006C2A50" w:rsidRDefault="006C2A50" w:rsidP="006C2A50">
      <w:pPr>
        <w:spacing w:after="0" w:line="240" w:lineRule="auto"/>
        <w:textAlignment w:val="baseline"/>
        <w:rPr>
          <w:rFonts w:eastAsia="Times New Roman"/>
          <w:spacing w:val="0"/>
          <w:kern w:val="24"/>
          <w:sz w:val="20"/>
          <w:szCs w:val="20"/>
          <w:highlight w:val="yellow"/>
          <w:lang w:val="es-DO" w:eastAsia="es-DO"/>
        </w:rPr>
      </w:pPr>
    </w:p>
    <w:p w14:paraId="244692A1" w14:textId="77777777" w:rsidR="006C2A50" w:rsidRPr="006C2A50" w:rsidRDefault="006C2A50" w:rsidP="006C2A50">
      <w:pPr>
        <w:spacing w:after="0" w:line="240" w:lineRule="auto"/>
        <w:textAlignment w:val="baseline"/>
        <w:rPr>
          <w:rFonts w:eastAsia="Times New Roman"/>
          <w:noProof/>
          <w:color w:val="auto"/>
          <w:spacing w:val="0"/>
          <w:highlight w:val="yellow"/>
          <w:lang w:val="es-DO"/>
        </w:rPr>
      </w:pPr>
      <w:r w:rsidRPr="006C2A50">
        <w:rPr>
          <w:rFonts w:eastAsia="Calibri"/>
          <w:sz w:val="18"/>
          <w:szCs w:val="18"/>
          <w:highlight w:val="yellow"/>
          <w:lang w:val="es-DO"/>
        </w:rPr>
        <w:t xml:space="preserve">  </w:t>
      </w:r>
    </w:p>
    <w:p w14:paraId="4273EAC7"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A continuación, se muestran las acciones en el ámbito de los diferentes subsistemas de Recursos Humanos, llevadas a cabo durante el período enero- diciembre de 2025.  </w:t>
      </w:r>
    </w:p>
    <w:p w14:paraId="24FEEA1D" w14:textId="77777777" w:rsidR="006C2A50" w:rsidRPr="006C2A50" w:rsidRDefault="006C2A50" w:rsidP="00427D27">
      <w:pPr>
        <w:spacing w:line="360" w:lineRule="auto"/>
        <w:jc w:val="center"/>
        <w:rPr>
          <w:rFonts w:eastAsia="Calibri"/>
          <w:b/>
          <w:bCs/>
          <w:noProof/>
          <w:lang w:val="es-DO"/>
        </w:rPr>
      </w:pPr>
      <w:r w:rsidRPr="006C2A50">
        <w:rPr>
          <w:rFonts w:eastAsia="Calibri"/>
          <w:b/>
          <w:bCs/>
          <w:noProof/>
          <w:lang w:val="es-DO"/>
        </w:rPr>
        <w:t>Subsistemas de Recursos Humanos</w:t>
      </w:r>
    </w:p>
    <w:p w14:paraId="62681C18" w14:textId="77777777" w:rsidR="006C2A50" w:rsidRPr="006C2A50" w:rsidRDefault="006C2A50" w:rsidP="00427D27">
      <w:pPr>
        <w:spacing w:line="360" w:lineRule="auto"/>
        <w:jc w:val="center"/>
        <w:rPr>
          <w:rFonts w:eastAsia="Calibri"/>
          <w:b/>
          <w:bCs/>
          <w:noProof/>
          <w:lang w:val="es-DO"/>
        </w:rPr>
      </w:pPr>
      <w:r w:rsidRPr="006C2A50">
        <w:rPr>
          <w:rFonts w:eastAsia="Calibri"/>
          <w:b/>
          <w:bCs/>
          <w:noProof/>
          <w:lang w:val="es-DO"/>
        </w:rPr>
        <w:t>Administración del Sistema de Carrera</w:t>
      </w:r>
    </w:p>
    <w:p w14:paraId="4F0AC273"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Mediante este subsitema medimos y gestionamos los trámites relacionados con los 78 empleados que pertenecen a la  carrera administrativa en la Institución, conforme a los lineamientos establecidos en el SISMAP y en cumplimiento a la Ley 41-08 de Función Pública.   </w:t>
      </w:r>
    </w:p>
    <w:p w14:paraId="29ABBFC8" w14:textId="77777777" w:rsidR="006C2A50" w:rsidRPr="006C2A50" w:rsidRDefault="006C2A50" w:rsidP="00427D27">
      <w:pPr>
        <w:spacing w:line="360" w:lineRule="auto"/>
        <w:jc w:val="center"/>
        <w:rPr>
          <w:rFonts w:eastAsia="Calibri"/>
          <w:b/>
          <w:bCs/>
          <w:noProof/>
          <w:lang w:val="es-DO"/>
        </w:rPr>
      </w:pPr>
      <w:r w:rsidRPr="006C2A50">
        <w:rPr>
          <w:rFonts w:eastAsia="Calibri"/>
          <w:b/>
          <w:bCs/>
          <w:noProof/>
          <w:lang w:val="es-DO"/>
        </w:rPr>
        <w:t>Subsistema de Gestión de las Compensaciones y Beneficios</w:t>
      </w:r>
    </w:p>
    <w:p w14:paraId="3CE91D85" w14:textId="77777777" w:rsidR="006C2A50" w:rsidRPr="006C2A50" w:rsidRDefault="006C2A50" w:rsidP="00427D27">
      <w:pPr>
        <w:spacing w:line="360" w:lineRule="auto"/>
        <w:jc w:val="both"/>
        <w:rPr>
          <w:rFonts w:eastAsia="Calibri"/>
          <w:noProof/>
          <w:highlight w:val="yellow"/>
          <w:lang w:val="es-DO"/>
        </w:rPr>
      </w:pPr>
      <w:r w:rsidRPr="006C2A50">
        <w:rPr>
          <w:rFonts w:eastAsia="Calibri"/>
          <w:noProof/>
          <w:lang w:val="es-DO"/>
        </w:rPr>
        <w:lastRenderedPageBreak/>
        <w:t xml:space="preserve">En este subsistema, durante el año 2025, se ha trabajado el rediseño de la estructura organizacional y se ha dado continuidad a la elaboración del Manual de Cargos y el Manual de Organización y Funciones, cuyo nivel de avance al 30 de junio de 2025 es de un 98%.  </w:t>
      </w:r>
    </w:p>
    <w:p w14:paraId="561E4431"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La aprobación de estos instrumentos está prevista para el primer trimestre del 2026, con lo cual se completarán los documentos de sustento de la nueva propuesta de escala salarial; cuya aprobación se prevé para mediado del año 2026.</w:t>
      </w:r>
    </w:p>
    <w:p w14:paraId="622AF393" w14:textId="77777777" w:rsidR="006C2A50" w:rsidRPr="006C2A50" w:rsidRDefault="006C2A50" w:rsidP="00427D27">
      <w:pPr>
        <w:spacing w:line="360" w:lineRule="auto"/>
        <w:jc w:val="center"/>
        <w:rPr>
          <w:rFonts w:eastAsia="Calibri"/>
          <w:b/>
          <w:bCs/>
          <w:noProof/>
          <w:lang w:val="es-DO"/>
        </w:rPr>
      </w:pPr>
      <w:r w:rsidRPr="006C2A50">
        <w:rPr>
          <w:rFonts w:eastAsia="Calibri"/>
          <w:b/>
          <w:bCs/>
          <w:noProof/>
          <w:lang w:val="es-DO"/>
        </w:rPr>
        <w:t>Subsistema de Gestión del Rendimiento</w:t>
      </w:r>
    </w:p>
    <w:p w14:paraId="24CF3E33"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En cuanto a la Evaluación del Desempeño, en el mes de enero se suscribieron los acuerdos de desempeño, conteniendo un total  de cuatrocientos veintisiete (427) acuerdos, de un total correspondientes a igual número de colaboradores activos a la fecha.</w:t>
      </w:r>
    </w:p>
    <w:p w14:paraId="3D91DE4E"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 xml:space="preserve">En adición a esto, se realizaron los monitoreos correspondientes a los cuatro  trimestres del año, conforme a los requerimientos del Ministerio de Administración Pública (MAP). </w:t>
      </w:r>
    </w:p>
    <w:p w14:paraId="200A1D85" w14:textId="77777777" w:rsidR="006C2A50" w:rsidRDefault="006C2A50" w:rsidP="00427D27">
      <w:pPr>
        <w:spacing w:line="360" w:lineRule="auto"/>
        <w:jc w:val="both"/>
        <w:rPr>
          <w:rFonts w:eastAsia="Calibri"/>
          <w:noProof/>
          <w:lang w:val="es-DO"/>
        </w:rPr>
      </w:pPr>
      <w:r w:rsidRPr="006C2A50">
        <w:rPr>
          <w:rFonts w:eastAsia="Calibri"/>
          <w:noProof/>
          <w:lang w:val="es-DO"/>
        </w:rPr>
        <w:t xml:space="preserve">Para diciembre 2025 se recibió un total cuatrocientos cincuenta y cinco, (455) evaluaciones de desempeño, correspondientes al número de colaboradores activos con mas de tres meses en la instución durante este año.  </w:t>
      </w:r>
    </w:p>
    <w:p w14:paraId="137B9A6F" w14:textId="77777777" w:rsidR="006C2A50" w:rsidRPr="006C2A50" w:rsidRDefault="006C2A50" w:rsidP="00427D27">
      <w:pPr>
        <w:spacing w:line="360" w:lineRule="auto"/>
        <w:jc w:val="center"/>
        <w:rPr>
          <w:rFonts w:eastAsia="Calibri"/>
          <w:b/>
          <w:bCs/>
          <w:noProof/>
          <w:lang w:val="es-DO"/>
        </w:rPr>
      </w:pPr>
      <w:r w:rsidRPr="006C2A50">
        <w:rPr>
          <w:rFonts w:eastAsia="Calibri"/>
          <w:b/>
          <w:bCs/>
          <w:noProof/>
          <w:lang w:val="es-DO"/>
        </w:rPr>
        <w:t>Subsistema de Gestión del Desarrollo</w:t>
      </w:r>
    </w:p>
    <w:p w14:paraId="07E051FE" w14:textId="77777777" w:rsidR="006C2A50" w:rsidRPr="006C2A50" w:rsidRDefault="006C2A50" w:rsidP="00427D27">
      <w:pPr>
        <w:spacing w:line="360" w:lineRule="auto"/>
        <w:jc w:val="both"/>
        <w:rPr>
          <w:rFonts w:eastAsia="Calibri"/>
          <w:noProof/>
          <w:lang w:val="es-DO"/>
        </w:rPr>
      </w:pPr>
      <w:r w:rsidRPr="006C2A50">
        <w:rPr>
          <w:rFonts w:eastAsia="Calibri"/>
          <w:lang w:val="es-DO"/>
        </w:rPr>
        <w:t>En materia de Capacitación y Desarrollo, continuamos comprometidos con la formación de los servidores, en coordinación con otras instituciones y con el apoyo de organizaciones igualmente comprometidas con este propósito. Al cierre del tercer trimestre de 2025, logramos impartir 20 capacitaciones, distribuidas entre cursos, charlas y talleres, en las que se formó un total de 485 colaboradores pertenecientes a los cinco grupos ocupacionales.</w:t>
      </w:r>
    </w:p>
    <w:tbl>
      <w:tblPr>
        <w:tblW w:w="602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075"/>
        <w:gridCol w:w="2430"/>
        <w:gridCol w:w="1530"/>
        <w:gridCol w:w="990"/>
      </w:tblGrid>
      <w:tr w:rsidR="006C2A50" w:rsidRPr="006C2A50" w14:paraId="2D628511" w14:textId="77777777" w:rsidTr="00380477">
        <w:trPr>
          <w:trHeight w:val="458"/>
          <w:jc w:val="center"/>
        </w:trPr>
        <w:tc>
          <w:tcPr>
            <w:tcW w:w="1075" w:type="dxa"/>
            <w:vMerge w:val="restart"/>
            <w:shd w:val="clear" w:color="000000" w:fill="142F62"/>
            <w:vAlign w:val="center"/>
            <w:hideMark/>
          </w:tcPr>
          <w:p w14:paraId="43B6438E" w14:textId="77777777" w:rsidR="006C2A50" w:rsidRPr="006C2A50" w:rsidRDefault="006C2A50" w:rsidP="00321494">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lastRenderedPageBreak/>
              <w:t>Código</w:t>
            </w:r>
          </w:p>
        </w:tc>
        <w:tc>
          <w:tcPr>
            <w:tcW w:w="2430" w:type="dxa"/>
            <w:vMerge w:val="restart"/>
            <w:shd w:val="clear" w:color="000000" w:fill="142F62"/>
            <w:vAlign w:val="center"/>
            <w:hideMark/>
          </w:tcPr>
          <w:p w14:paraId="424A86F6" w14:textId="77777777" w:rsidR="006C2A50" w:rsidRPr="006C2A50" w:rsidRDefault="006C2A50" w:rsidP="00321494">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Grupo Ocupacional</w:t>
            </w:r>
          </w:p>
        </w:tc>
        <w:tc>
          <w:tcPr>
            <w:tcW w:w="1530" w:type="dxa"/>
            <w:vMerge w:val="restart"/>
            <w:shd w:val="clear" w:color="000000" w:fill="142F62"/>
            <w:vAlign w:val="center"/>
            <w:hideMark/>
          </w:tcPr>
          <w:p w14:paraId="4028662E" w14:textId="77777777" w:rsidR="006C2A50" w:rsidRPr="006C2A50" w:rsidRDefault="006C2A50" w:rsidP="00321494">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Servidores Capacitados</w:t>
            </w:r>
          </w:p>
        </w:tc>
        <w:tc>
          <w:tcPr>
            <w:tcW w:w="990" w:type="dxa"/>
            <w:vMerge w:val="restart"/>
            <w:shd w:val="clear" w:color="000000" w:fill="142F62"/>
            <w:vAlign w:val="center"/>
            <w:hideMark/>
          </w:tcPr>
          <w:p w14:paraId="68E4D23E" w14:textId="77777777" w:rsidR="006C2A50" w:rsidRPr="006C2A50" w:rsidRDefault="006C2A50" w:rsidP="00321494">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w:t>
            </w:r>
          </w:p>
        </w:tc>
      </w:tr>
      <w:tr w:rsidR="006C2A50" w:rsidRPr="006C2A50" w14:paraId="7BC79DC0" w14:textId="77777777" w:rsidTr="00321494">
        <w:trPr>
          <w:trHeight w:val="458"/>
          <w:jc w:val="center"/>
        </w:trPr>
        <w:tc>
          <w:tcPr>
            <w:tcW w:w="1075" w:type="dxa"/>
            <w:vMerge/>
            <w:vAlign w:val="center"/>
            <w:hideMark/>
          </w:tcPr>
          <w:p w14:paraId="3797B046"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2430" w:type="dxa"/>
            <w:vMerge/>
            <w:vAlign w:val="center"/>
            <w:hideMark/>
          </w:tcPr>
          <w:p w14:paraId="515231C3"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1530" w:type="dxa"/>
            <w:vMerge/>
            <w:vAlign w:val="center"/>
            <w:hideMark/>
          </w:tcPr>
          <w:p w14:paraId="594BF8DB"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990" w:type="dxa"/>
            <w:vMerge/>
            <w:vAlign w:val="center"/>
            <w:hideMark/>
          </w:tcPr>
          <w:p w14:paraId="5296BC6E" w14:textId="77777777" w:rsidR="006C2A50" w:rsidRPr="006C2A50" w:rsidRDefault="006C2A50" w:rsidP="006C2A50">
            <w:pPr>
              <w:spacing w:after="0" w:line="240" w:lineRule="auto"/>
              <w:rPr>
                <w:rFonts w:eastAsia="Times New Roman"/>
                <w:b/>
                <w:bCs/>
                <w:color w:val="FFFFFF"/>
                <w:sz w:val="22"/>
                <w:szCs w:val="22"/>
                <w:lang w:val="es-DO" w:eastAsia="es-DO"/>
              </w:rPr>
            </w:pPr>
          </w:p>
        </w:tc>
      </w:tr>
      <w:tr w:rsidR="006C2A50" w:rsidRPr="006C2A50" w14:paraId="50C32EEB" w14:textId="77777777" w:rsidTr="00380477">
        <w:trPr>
          <w:trHeight w:val="274"/>
          <w:jc w:val="center"/>
        </w:trPr>
        <w:tc>
          <w:tcPr>
            <w:tcW w:w="1075" w:type="dxa"/>
            <w:vAlign w:val="center"/>
            <w:hideMark/>
          </w:tcPr>
          <w:p w14:paraId="33FBCE21"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w:t>
            </w:r>
          </w:p>
        </w:tc>
        <w:tc>
          <w:tcPr>
            <w:tcW w:w="2430" w:type="dxa"/>
            <w:vAlign w:val="center"/>
            <w:hideMark/>
          </w:tcPr>
          <w:p w14:paraId="5E1F99BC"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Servicios Generales</w:t>
            </w:r>
          </w:p>
        </w:tc>
        <w:tc>
          <w:tcPr>
            <w:tcW w:w="1530" w:type="dxa"/>
            <w:vAlign w:val="center"/>
          </w:tcPr>
          <w:p w14:paraId="7D59A1A7"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85</w:t>
            </w:r>
          </w:p>
        </w:tc>
        <w:tc>
          <w:tcPr>
            <w:tcW w:w="990" w:type="dxa"/>
            <w:vAlign w:val="center"/>
          </w:tcPr>
          <w:p w14:paraId="729B7422" w14:textId="77777777" w:rsidR="006C2A50" w:rsidRPr="006C2A50" w:rsidRDefault="006C2A50" w:rsidP="006C2A50">
            <w:pPr>
              <w:spacing w:after="0" w:line="360" w:lineRule="auto"/>
              <w:jc w:val="center"/>
              <w:rPr>
                <w:rFonts w:eastAsia="Times New Roman"/>
                <w:sz w:val="22"/>
                <w:szCs w:val="22"/>
                <w:lang w:val="es-DO" w:eastAsia="es-DO"/>
              </w:rPr>
            </w:pPr>
            <w:r w:rsidRPr="006C2A50">
              <w:rPr>
                <w:rFonts w:eastAsia="Times New Roman"/>
                <w:sz w:val="22"/>
                <w:szCs w:val="22"/>
                <w:lang w:val="es-DO" w:eastAsia="es-DO"/>
              </w:rPr>
              <w:t>17.53%</w:t>
            </w:r>
          </w:p>
        </w:tc>
      </w:tr>
      <w:tr w:rsidR="006C2A50" w:rsidRPr="006C2A50" w14:paraId="470772BC" w14:textId="77777777" w:rsidTr="00380477">
        <w:trPr>
          <w:trHeight w:val="300"/>
          <w:jc w:val="center"/>
        </w:trPr>
        <w:tc>
          <w:tcPr>
            <w:tcW w:w="1075" w:type="dxa"/>
            <w:vAlign w:val="center"/>
            <w:hideMark/>
          </w:tcPr>
          <w:p w14:paraId="6AEBBCDE"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GO-II</w:t>
            </w:r>
          </w:p>
        </w:tc>
        <w:tc>
          <w:tcPr>
            <w:tcW w:w="2430" w:type="dxa"/>
            <w:vAlign w:val="center"/>
            <w:hideMark/>
          </w:tcPr>
          <w:p w14:paraId="70B98622"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Supervisión y Apoyo</w:t>
            </w:r>
          </w:p>
        </w:tc>
        <w:tc>
          <w:tcPr>
            <w:tcW w:w="1530" w:type="dxa"/>
            <w:vAlign w:val="center"/>
          </w:tcPr>
          <w:p w14:paraId="185BBF5D"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271</w:t>
            </w:r>
          </w:p>
        </w:tc>
        <w:tc>
          <w:tcPr>
            <w:tcW w:w="990" w:type="dxa"/>
            <w:vAlign w:val="center"/>
          </w:tcPr>
          <w:p w14:paraId="12C913C0"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55.87%</w:t>
            </w:r>
          </w:p>
        </w:tc>
      </w:tr>
      <w:tr w:rsidR="006C2A50" w:rsidRPr="006C2A50" w14:paraId="05F13098" w14:textId="77777777" w:rsidTr="00380477">
        <w:trPr>
          <w:trHeight w:val="300"/>
          <w:jc w:val="center"/>
        </w:trPr>
        <w:tc>
          <w:tcPr>
            <w:tcW w:w="1075" w:type="dxa"/>
            <w:vAlign w:val="center"/>
            <w:hideMark/>
          </w:tcPr>
          <w:p w14:paraId="03C962CD"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GO-III</w:t>
            </w:r>
          </w:p>
        </w:tc>
        <w:tc>
          <w:tcPr>
            <w:tcW w:w="2430" w:type="dxa"/>
            <w:vAlign w:val="center"/>
            <w:hideMark/>
          </w:tcPr>
          <w:p w14:paraId="5FE01768"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Técnicos</w:t>
            </w:r>
          </w:p>
        </w:tc>
        <w:tc>
          <w:tcPr>
            <w:tcW w:w="1530" w:type="dxa"/>
            <w:vAlign w:val="center"/>
          </w:tcPr>
          <w:p w14:paraId="32EECED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47</w:t>
            </w:r>
          </w:p>
        </w:tc>
        <w:tc>
          <w:tcPr>
            <w:tcW w:w="990" w:type="dxa"/>
            <w:vAlign w:val="center"/>
          </w:tcPr>
          <w:p w14:paraId="0E810032"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9.69%</w:t>
            </w:r>
          </w:p>
        </w:tc>
      </w:tr>
      <w:tr w:rsidR="006C2A50" w:rsidRPr="006C2A50" w14:paraId="69FBB124" w14:textId="77777777" w:rsidTr="00380477">
        <w:trPr>
          <w:trHeight w:val="300"/>
          <w:jc w:val="center"/>
        </w:trPr>
        <w:tc>
          <w:tcPr>
            <w:tcW w:w="1075" w:type="dxa"/>
            <w:vAlign w:val="center"/>
            <w:hideMark/>
          </w:tcPr>
          <w:p w14:paraId="10E1F410"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GO-IV</w:t>
            </w:r>
          </w:p>
        </w:tc>
        <w:tc>
          <w:tcPr>
            <w:tcW w:w="2430" w:type="dxa"/>
            <w:vAlign w:val="center"/>
            <w:hideMark/>
          </w:tcPr>
          <w:p w14:paraId="475CD02C"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Profesionales</w:t>
            </w:r>
          </w:p>
        </w:tc>
        <w:tc>
          <w:tcPr>
            <w:tcW w:w="1530" w:type="dxa"/>
            <w:vAlign w:val="center"/>
          </w:tcPr>
          <w:p w14:paraId="4EAAF0F7"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48</w:t>
            </w:r>
          </w:p>
        </w:tc>
        <w:tc>
          <w:tcPr>
            <w:tcW w:w="990" w:type="dxa"/>
            <w:vAlign w:val="center"/>
          </w:tcPr>
          <w:p w14:paraId="0EEB0A6D"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9.90%</w:t>
            </w:r>
          </w:p>
        </w:tc>
      </w:tr>
      <w:tr w:rsidR="006C2A50" w:rsidRPr="006C2A50" w14:paraId="2BCD48F3" w14:textId="77777777" w:rsidTr="00380477">
        <w:trPr>
          <w:trHeight w:val="300"/>
          <w:jc w:val="center"/>
        </w:trPr>
        <w:tc>
          <w:tcPr>
            <w:tcW w:w="1075" w:type="dxa"/>
            <w:vAlign w:val="center"/>
            <w:hideMark/>
          </w:tcPr>
          <w:p w14:paraId="77C79F19"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GO-V</w:t>
            </w:r>
          </w:p>
        </w:tc>
        <w:tc>
          <w:tcPr>
            <w:tcW w:w="2430" w:type="dxa"/>
            <w:vAlign w:val="center"/>
            <w:hideMark/>
          </w:tcPr>
          <w:p w14:paraId="402F66F0"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Dirección</w:t>
            </w:r>
          </w:p>
        </w:tc>
        <w:tc>
          <w:tcPr>
            <w:tcW w:w="1530" w:type="dxa"/>
            <w:vAlign w:val="center"/>
          </w:tcPr>
          <w:p w14:paraId="758CCB8B"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34</w:t>
            </w:r>
          </w:p>
        </w:tc>
        <w:tc>
          <w:tcPr>
            <w:tcW w:w="990" w:type="dxa"/>
            <w:vAlign w:val="center"/>
          </w:tcPr>
          <w:p w14:paraId="356982D7"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7.01%</w:t>
            </w:r>
          </w:p>
        </w:tc>
      </w:tr>
      <w:tr w:rsidR="006C2A50" w:rsidRPr="006C2A50" w14:paraId="1A9EE675" w14:textId="77777777" w:rsidTr="00380477">
        <w:trPr>
          <w:trHeight w:val="300"/>
          <w:jc w:val="center"/>
        </w:trPr>
        <w:tc>
          <w:tcPr>
            <w:tcW w:w="3505" w:type="dxa"/>
            <w:gridSpan w:val="2"/>
            <w:shd w:val="clear" w:color="000000" w:fill="142F62"/>
            <w:vAlign w:val="center"/>
            <w:hideMark/>
          </w:tcPr>
          <w:p w14:paraId="7D7459C1" w14:textId="77777777" w:rsidR="006C2A50" w:rsidRPr="006C2A50" w:rsidRDefault="006C2A50" w:rsidP="006C2A50">
            <w:pPr>
              <w:spacing w:after="0" w:line="240" w:lineRule="auto"/>
              <w:jc w:val="right"/>
              <w:rPr>
                <w:rFonts w:eastAsia="Times New Roman"/>
                <w:b/>
                <w:bCs/>
                <w:color w:val="FFFFFF"/>
                <w:sz w:val="22"/>
                <w:szCs w:val="22"/>
                <w:lang w:val="es-DO" w:eastAsia="es-DO"/>
              </w:rPr>
            </w:pPr>
            <w:r w:rsidRPr="006C2A50">
              <w:rPr>
                <w:rFonts w:eastAsia="Times New Roman"/>
                <w:b/>
                <w:bCs/>
                <w:color w:val="FFFFFF"/>
                <w:sz w:val="22"/>
                <w:szCs w:val="22"/>
                <w:lang w:val="es-DO" w:eastAsia="es-DO"/>
              </w:rPr>
              <w:t>Total</w:t>
            </w:r>
          </w:p>
        </w:tc>
        <w:tc>
          <w:tcPr>
            <w:tcW w:w="1530" w:type="dxa"/>
            <w:shd w:val="clear" w:color="000000" w:fill="142F62"/>
            <w:vAlign w:val="center"/>
          </w:tcPr>
          <w:p w14:paraId="73A44C41"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485</w:t>
            </w:r>
          </w:p>
        </w:tc>
        <w:tc>
          <w:tcPr>
            <w:tcW w:w="990" w:type="dxa"/>
            <w:shd w:val="clear" w:color="000000" w:fill="142F62"/>
            <w:vAlign w:val="center"/>
          </w:tcPr>
          <w:p w14:paraId="010E3F4C"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100%</w:t>
            </w:r>
          </w:p>
        </w:tc>
      </w:tr>
    </w:tbl>
    <w:p w14:paraId="5CFBD18C" w14:textId="38F3ACA6" w:rsidR="006C2A50" w:rsidRPr="00227219" w:rsidRDefault="006C2A50" w:rsidP="006C2A50">
      <w:pPr>
        <w:rPr>
          <w:rFonts w:eastAsia="Calibri"/>
          <w:b/>
          <w:i/>
          <w:iCs/>
          <w:sz w:val="18"/>
          <w:szCs w:val="18"/>
          <w:highlight w:val="yellow"/>
          <w:lang w:val="es-DO"/>
        </w:rPr>
      </w:pPr>
      <w:r w:rsidRPr="006C2A50">
        <w:rPr>
          <w:rFonts w:eastAsia="Calibri"/>
          <w:noProof/>
          <w:lang w:val="es-DO"/>
        </w:rPr>
        <w:t xml:space="preserve">           </w:t>
      </w:r>
      <w:r w:rsidRPr="00227219">
        <w:rPr>
          <w:rFonts w:eastAsia="Calibri"/>
          <w:i/>
          <w:iCs/>
          <w:noProof/>
          <w:sz w:val="18"/>
          <w:szCs w:val="18"/>
          <w:lang w:val="es-DO"/>
        </w:rPr>
        <w:t xml:space="preserve">Cuadro </w:t>
      </w:r>
      <w:r w:rsidR="00227219" w:rsidRPr="00227219">
        <w:rPr>
          <w:rFonts w:eastAsia="Calibri"/>
          <w:i/>
          <w:iCs/>
          <w:noProof/>
          <w:sz w:val="18"/>
          <w:szCs w:val="18"/>
          <w:lang w:val="es-DO"/>
        </w:rPr>
        <w:t>16</w:t>
      </w:r>
      <w:r w:rsidR="00DB7323" w:rsidRPr="00227219">
        <w:rPr>
          <w:rFonts w:eastAsia="Calibri"/>
          <w:i/>
          <w:iCs/>
          <w:noProof/>
          <w:sz w:val="18"/>
          <w:szCs w:val="18"/>
          <w:lang w:val="es-DO"/>
        </w:rPr>
        <w:t xml:space="preserve">. </w:t>
      </w:r>
      <w:r w:rsidRPr="00227219">
        <w:rPr>
          <w:rFonts w:eastAsia="Calibri"/>
          <w:i/>
          <w:iCs/>
          <w:noProof/>
          <w:sz w:val="18"/>
          <w:szCs w:val="18"/>
          <w:lang w:val="es-DO"/>
        </w:rPr>
        <w:t>Cantidad de servidores capacitados durante el año 2025</w:t>
      </w:r>
    </w:p>
    <w:p w14:paraId="586A7517"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A continuación se indican las capacitaciones de charlas, cursos y talleres  impartidas durante el año del año 2025.</w:t>
      </w:r>
    </w:p>
    <w:p w14:paraId="071AD823" w14:textId="77777777" w:rsidR="006C2A50" w:rsidRPr="006C2A50" w:rsidRDefault="006C2A50" w:rsidP="00427D27">
      <w:pPr>
        <w:numPr>
          <w:ilvl w:val="0"/>
          <w:numId w:val="5"/>
        </w:numPr>
        <w:spacing w:line="360" w:lineRule="auto"/>
        <w:jc w:val="both"/>
        <w:rPr>
          <w:rFonts w:eastAsia="Calibri"/>
          <w:noProof/>
          <w:lang w:val="es-DO"/>
        </w:rPr>
      </w:pPr>
      <w:r w:rsidRPr="006C2A50">
        <w:rPr>
          <w:rFonts w:eastAsia="Calibri"/>
          <w:noProof/>
          <w:lang w:val="es-DO"/>
        </w:rPr>
        <w:t xml:space="preserve">Curso sobre Fundamento del Sistema de Credito Público, impartido por Centro de Capacitación en Política y Gestión Fiscal (CAPGEFI). </w:t>
      </w:r>
    </w:p>
    <w:p w14:paraId="2BE275F5" w14:textId="77777777" w:rsidR="006C2A50" w:rsidRPr="006C2A50" w:rsidRDefault="006C2A50" w:rsidP="00427D27">
      <w:pPr>
        <w:numPr>
          <w:ilvl w:val="0"/>
          <w:numId w:val="5"/>
        </w:numPr>
        <w:spacing w:line="360" w:lineRule="auto"/>
        <w:jc w:val="both"/>
        <w:rPr>
          <w:rFonts w:eastAsia="Calibri"/>
          <w:noProof/>
          <w:lang w:val="es-DO"/>
        </w:rPr>
      </w:pPr>
      <w:r w:rsidRPr="006C2A50">
        <w:rPr>
          <w:rFonts w:eastAsia="Calibri"/>
          <w:noProof/>
          <w:lang w:val="es-DO"/>
        </w:rPr>
        <w:t xml:space="preserve">Curso sobre Gestión de Programas y Proyectos, impartido por Centro de Capacitación en Política y Gestión Fiscal (CAPGEFI). </w:t>
      </w:r>
    </w:p>
    <w:p w14:paraId="29D3F72C" w14:textId="77777777" w:rsidR="006C2A50" w:rsidRPr="006C2A50" w:rsidRDefault="006C2A50" w:rsidP="00427D27">
      <w:pPr>
        <w:numPr>
          <w:ilvl w:val="0"/>
          <w:numId w:val="5"/>
        </w:numPr>
        <w:spacing w:line="360" w:lineRule="auto"/>
        <w:jc w:val="both"/>
        <w:rPr>
          <w:rFonts w:eastAsia="Calibri"/>
          <w:noProof/>
          <w:lang w:val="es-DO"/>
        </w:rPr>
      </w:pPr>
      <w:r w:rsidRPr="006C2A50">
        <w:rPr>
          <w:rFonts w:eastAsia="Calibri"/>
          <w:noProof/>
          <w:lang w:val="es-DO"/>
        </w:rPr>
        <w:t xml:space="preserve">Curso sobre Induccion a la Administración Financiera, impartido por Centro de Capacitación en Política y Gestión Fiscal (CAPGEFI). </w:t>
      </w:r>
    </w:p>
    <w:p w14:paraId="43BE0B2E" w14:textId="77777777" w:rsidR="006C2A50" w:rsidRPr="006C2A50" w:rsidRDefault="006C2A50" w:rsidP="00427D27">
      <w:pPr>
        <w:numPr>
          <w:ilvl w:val="0"/>
          <w:numId w:val="5"/>
        </w:numPr>
        <w:spacing w:line="360" w:lineRule="auto"/>
        <w:jc w:val="both"/>
        <w:rPr>
          <w:rFonts w:eastAsia="Calibri"/>
          <w:noProof/>
          <w:lang w:val="es-DO"/>
        </w:rPr>
      </w:pPr>
      <w:r w:rsidRPr="006C2A50">
        <w:rPr>
          <w:rFonts w:eastAsia="Calibri"/>
          <w:noProof/>
          <w:lang w:val="es-DO"/>
        </w:rPr>
        <w:t>Charla sobre Sistema Dominicano de Seguridad Social, impartido por la Direccion General de Informacion y Defensa de los afiliados de la Seguridad Social (DIDA).</w:t>
      </w:r>
    </w:p>
    <w:p w14:paraId="6CBFC664" w14:textId="77777777" w:rsidR="006C2A50" w:rsidRPr="006C2A50" w:rsidRDefault="006C2A50" w:rsidP="00427D27">
      <w:pPr>
        <w:numPr>
          <w:ilvl w:val="0"/>
          <w:numId w:val="5"/>
        </w:numPr>
        <w:spacing w:line="360" w:lineRule="auto"/>
        <w:jc w:val="both"/>
        <w:rPr>
          <w:rFonts w:eastAsia="Calibri"/>
          <w:noProof/>
          <w:lang w:val="es-DO"/>
        </w:rPr>
      </w:pPr>
      <w:r w:rsidRPr="006C2A50">
        <w:rPr>
          <w:rFonts w:eastAsia="Calibri"/>
          <w:noProof/>
          <w:lang w:val="es-DO"/>
        </w:rPr>
        <w:t>Curso sobre Inducción a la Administración Pública, impartido por Instituto Nacional de Administración Pública (INAP).</w:t>
      </w:r>
    </w:p>
    <w:p w14:paraId="142ACCA3" w14:textId="77777777" w:rsidR="006C2A50" w:rsidRPr="006C2A50" w:rsidRDefault="006C2A50" w:rsidP="00427D27">
      <w:pPr>
        <w:numPr>
          <w:ilvl w:val="0"/>
          <w:numId w:val="5"/>
        </w:numPr>
        <w:spacing w:line="360" w:lineRule="auto"/>
        <w:contextualSpacing/>
        <w:jc w:val="both"/>
        <w:rPr>
          <w:rFonts w:eastAsia="Calibri"/>
          <w:noProof/>
          <w:lang w:val="es-DO"/>
        </w:rPr>
      </w:pPr>
      <w:bookmarkStart w:id="5" w:name="_Hlk198042216"/>
      <w:r w:rsidRPr="006C2A50">
        <w:rPr>
          <w:rFonts w:eastAsia="Calibri"/>
          <w:noProof/>
          <w:lang w:val="es-DO"/>
        </w:rPr>
        <w:t>Curso sobre Inteligencia Emocional,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 xml:space="preserve">el Instituto de Formacion Tecnico Profesional (INFOTEP). </w:t>
      </w:r>
    </w:p>
    <w:p w14:paraId="48F948AE" w14:textId="77777777" w:rsidR="006C2A50" w:rsidRPr="006C2A50" w:rsidRDefault="006C2A50" w:rsidP="00427D27">
      <w:pPr>
        <w:numPr>
          <w:ilvl w:val="0"/>
          <w:numId w:val="5"/>
        </w:numPr>
        <w:spacing w:line="360" w:lineRule="auto"/>
        <w:contextualSpacing/>
        <w:jc w:val="both"/>
        <w:rPr>
          <w:rFonts w:eastAsia="Calibri"/>
          <w:noProof/>
          <w:lang w:val="es-DO"/>
        </w:rPr>
      </w:pPr>
      <w:r w:rsidRPr="006C2A50">
        <w:rPr>
          <w:rFonts w:eastAsia="Calibri"/>
          <w:noProof/>
          <w:lang w:val="es-DO"/>
        </w:rPr>
        <w:t>Curso sobre Manejo de Conflitos,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 xml:space="preserve">el Instituto de Formacion Tecnico Profesional (INFOTEP). </w:t>
      </w:r>
    </w:p>
    <w:p w14:paraId="1E660F48" w14:textId="77777777" w:rsidR="006C2A50" w:rsidRPr="006C2A50" w:rsidRDefault="006C2A50" w:rsidP="00427D27">
      <w:pPr>
        <w:numPr>
          <w:ilvl w:val="0"/>
          <w:numId w:val="5"/>
        </w:numPr>
        <w:spacing w:line="360" w:lineRule="auto"/>
        <w:contextualSpacing/>
        <w:jc w:val="both"/>
        <w:rPr>
          <w:rFonts w:eastAsia="Calibri"/>
          <w:b/>
          <w:bCs/>
          <w:noProof/>
          <w:lang w:val="es-DO"/>
        </w:rPr>
      </w:pPr>
      <w:r w:rsidRPr="006C2A50">
        <w:rPr>
          <w:rFonts w:eastAsia="Calibri"/>
          <w:noProof/>
          <w:lang w:val="es-DO"/>
        </w:rPr>
        <w:lastRenderedPageBreak/>
        <w:t>Curso sobre Formacion para Guias de Museos y Vigilante de Sala,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el Museografo Luis Tejada de la Direccion General de Museos.</w:t>
      </w:r>
    </w:p>
    <w:p w14:paraId="4C650F5A" w14:textId="77777777" w:rsidR="006C2A50" w:rsidRPr="006C2A50" w:rsidRDefault="006C2A50" w:rsidP="00427D27">
      <w:pPr>
        <w:numPr>
          <w:ilvl w:val="0"/>
          <w:numId w:val="5"/>
        </w:numPr>
        <w:spacing w:line="360" w:lineRule="auto"/>
        <w:contextualSpacing/>
        <w:jc w:val="both"/>
        <w:rPr>
          <w:rFonts w:eastAsia="Calibri"/>
          <w:noProof/>
          <w:lang w:val="es-DO"/>
        </w:rPr>
      </w:pPr>
      <w:r w:rsidRPr="006C2A50">
        <w:rPr>
          <w:rFonts w:eastAsia="Calibri"/>
          <w:noProof/>
          <w:lang w:val="es-DO"/>
        </w:rPr>
        <w:t>Curso sobre Trabajo en Equipo,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el Instituto de</w:t>
      </w:r>
      <w:r w:rsidRPr="006C2A50">
        <w:rPr>
          <w:rFonts w:eastAsia="Calibri"/>
          <w:noProof/>
          <w:highlight w:val="yellow"/>
          <w:lang w:val="es-DO"/>
        </w:rPr>
        <w:t xml:space="preserve"> </w:t>
      </w:r>
      <w:r w:rsidRPr="006C2A50">
        <w:rPr>
          <w:rFonts w:eastAsia="Calibri"/>
          <w:noProof/>
          <w:lang w:val="es-DO"/>
        </w:rPr>
        <w:t xml:space="preserve">Formacion Tecnico Profesional (INFOTEP). </w:t>
      </w:r>
    </w:p>
    <w:bookmarkEnd w:id="5"/>
    <w:p w14:paraId="5C0AD380" w14:textId="77777777" w:rsidR="006C2A50" w:rsidRPr="006C2A50" w:rsidRDefault="006C2A50" w:rsidP="00427D27">
      <w:pPr>
        <w:numPr>
          <w:ilvl w:val="0"/>
          <w:numId w:val="5"/>
        </w:numPr>
        <w:spacing w:line="360" w:lineRule="auto"/>
        <w:contextualSpacing/>
        <w:jc w:val="both"/>
        <w:rPr>
          <w:rFonts w:eastAsia="Calibri"/>
          <w:noProof/>
          <w:lang w:val="es-DO"/>
        </w:rPr>
      </w:pPr>
      <w:r w:rsidRPr="006C2A50">
        <w:rPr>
          <w:rFonts w:eastAsia="Calibri"/>
          <w:noProof/>
          <w:lang w:val="es-DO"/>
        </w:rPr>
        <w:t>Curso sobre Calidad en el Servicio,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 xml:space="preserve">el Instituto de Formacion Tecnico Profesional (INFOTEP). </w:t>
      </w:r>
    </w:p>
    <w:p w14:paraId="2660AD3E" w14:textId="77777777" w:rsidR="006C2A50" w:rsidRPr="006C2A50" w:rsidRDefault="006C2A50" w:rsidP="00427D27">
      <w:pPr>
        <w:numPr>
          <w:ilvl w:val="0"/>
          <w:numId w:val="5"/>
        </w:numPr>
        <w:spacing w:line="360" w:lineRule="auto"/>
        <w:contextualSpacing/>
        <w:jc w:val="both"/>
        <w:rPr>
          <w:rFonts w:eastAsia="Calibri"/>
          <w:b/>
          <w:bCs/>
          <w:noProof/>
          <w:lang w:val="es-DO"/>
        </w:rPr>
      </w:pPr>
      <w:r w:rsidRPr="006C2A50">
        <w:rPr>
          <w:rFonts w:eastAsia="Calibri"/>
          <w:noProof/>
          <w:lang w:val="es-DO"/>
        </w:rPr>
        <w:t>Curso sobre Formacion para Guias de Museos y Vigilante de Sala,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el Museografo Luis Tejada de la Direccion General de Museos.</w:t>
      </w:r>
    </w:p>
    <w:p w14:paraId="65E2F1E5" w14:textId="77777777" w:rsidR="006C2A50" w:rsidRPr="006C2A50" w:rsidRDefault="006C2A50" w:rsidP="00427D27">
      <w:pPr>
        <w:numPr>
          <w:ilvl w:val="0"/>
          <w:numId w:val="5"/>
        </w:numPr>
        <w:spacing w:line="360" w:lineRule="auto"/>
        <w:contextualSpacing/>
        <w:jc w:val="both"/>
        <w:rPr>
          <w:rFonts w:eastAsia="Calibri"/>
          <w:b/>
          <w:bCs/>
          <w:noProof/>
          <w:lang w:val="es-DO"/>
        </w:rPr>
      </w:pPr>
      <w:r w:rsidRPr="006C2A50">
        <w:rPr>
          <w:rFonts w:eastAsia="Calibri"/>
          <w:noProof/>
          <w:lang w:val="es-DO"/>
        </w:rPr>
        <w:t>Charla sobre sistema de Repalto  y Pensiones.</w:t>
      </w:r>
    </w:p>
    <w:p w14:paraId="4E66DE3E" w14:textId="77777777" w:rsidR="006C2A50" w:rsidRPr="006C2A50" w:rsidRDefault="006C2A50" w:rsidP="00427D27">
      <w:pPr>
        <w:numPr>
          <w:ilvl w:val="0"/>
          <w:numId w:val="5"/>
        </w:numPr>
        <w:spacing w:line="360" w:lineRule="auto"/>
        <w:contextualSpacing/>
        <w:jc w:val="both"/>
        <w:rPr>
          <w:rFonts w:eastAsia="Calibri"/>
          <w:b/>
          <w:bCs/>
          <w:noProof/>
          <w:lang w:val="es-DO"/>
        </w:rPr>
      </w:pPr>
      <w:r w:rsidRPr="006C2A50">
        <w:rPr>
          <w:rFonts w:eastAsia="Calibri"/>
          <w:noProof/>
          <w:lang w:val="es-DO"/>
        </w:rPr>
        <w:t>Charla sobre Uso Racional de Energia.</w:t>
      </w:r>
    </w:p>
    <w:p w14:paraId="5B68DA9F" w14:textId="77777777" w:rsidR="006C2A50" w:rsidRPr="006C2A50" w:rsidRDefault="006C2A50" w:rsidP="00427D27">
      <w:pPr>
        <w:numPr>
          <w:ilvl w:val="0"/>
          <w:numId w:val="5"/>
        </w:numPr>
        <w:spacing w:line="360" w:lineRule="auto"/>
        <w:contextualSpacing/>
        <w:jc w:val="both"/>
        <w:rPr>
          <w:rFonts w:eastAsia="Calibri"/>
          <w:b/>
          <w:bCs/>
          <w:noProof/>
          <w:lang w:val="es-DO"/>
        </w:rPr>
      </w:pPr>
      <w:r w:rsidRPr="006C2A50">
        <w:rPr>
          <w:rFonts w:eastAsia="Calibri"/>
          <w:noProof/>
          <w:lang w:val="es-DO"/>
        </w:rPr>
        <w:t>Charla Ley 41-08 de Función Pública, impartido por el Ministerio de Administración Pública.</w:t>
      </w:r>
    </w:p>
    <w:p w14:paraId="6097E764" w14:textId="77777777" w:rsidR="006C2A50" w:rsidRPr="006C2A50" w:rsidRDefault="006C2A50" w:rsidP="00427D27">
      <w:pPr>
        <w:numPr>
          <w:ilvl w:val="0"/>
          <w:numId w:val="5"/>
        </w:numPr>
        <w:spacing w:line="360" w:lineRule="auto"/>
        <w:contextualSpacing/>
        <w:jc w:val="both"/>
        <w:rPr>
          <w:rFonts w:eastAsia="Calibri"/>
          <w:noProof/>
          <w:lang w:val="es-DO"/>
        </w:rPr>
      </w:pPr>
      <w:r w:rsidRPr="006C2A50">
        <w:rPr>
          <w:rFonts w:eastAsia="Calibri"/>
          <w:noProof/>
          <w:lang w:val="es-DO"/>
        </w:rPr>
        <w:t>Curso de Manejo Relaciones Interpersonales,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 xml:space="preserve">el Instituto de Formacion Tecnico Profesional (INFOTEP). </w:t>
      </w:r>
    </w:p>
    <w:p w14:paraId="3E94DB2B" w14:textId="77777777" w:rsidR="006C2A50" w:rsidRPr="006C2A50" w:rsidRDefault="006C2A50" w:rsidP="00427D27">
      <w:pPr>
        <w:numPr>
          <w:ilvl w:val="0"/>
          <w:numId w:val="5"/>
        </w:numPr>
        <w:spacing w:line="360" w:lineRule="auto"/>
        <w:contextualSpacing/>
        <w:jc w:val="both"/>
        <w:rPr>
          <w:rFonts w:eastAsia="Calibri"/>
          <w:noProof/>
          <w:lang w:val="es-DO"/>
        </w:rPr>
      </w:pPr>
      <w:r w:rsidRPr="006C2A50">
        <w:rPr>
          <w:rFonts w:eastAsia="Calibri"/>
          <w:noProof/>
          <w:lang w:val="es-DO"/>
        </w:rPr>
        <w:t>Curso Relaciones Humanas, impartido por</w:t>
      </w:r>
      <w:r w:rsidRPr="006C2A50">
        <w:rPr>
          <w:rFonts w:ascii="Arial" w:eastAsia="Times New Roman" w:hAnsi="Arial" w:cs="Arial"/>
          <w:color w:val="1F1F1F"/>
          <w:sz w:val="36"/>
          <w:szCs w:val="36"/>
          <w:lang w:val="es-DO" w:eastAsia="es-DO"/>
        </w:rPr>
        <w:t xml:space="preserve"> </w:t>
      </w:r>
      <w:r w:rsidRPr="006C2A50">
        <w:rPr>
          <w:rFonts w:eastAsia="Calibri"/>
          <w:noProof/>
          <w:lang w:val="es-DO"/>
        </w:rPr>
        <w:t xml:space="preserve">el Instituto de Formacion Tecnico Profesional (INFOTEP). </w:t>
      </w:r>
    </w:p>
    <w:p w14:paraId="6FA8D36A" w14:textId="77777777" w:rsidR="006C2A50" w:rsidRPr="006C2A50" w:rsidRDefault="006C2A50" w:rsidP="00427D27">
      <w:pPr>
        <w:numPr>
          <w:ilvl w:val="0"/>
          <w:numId w:val="5"/>
        </w:numPr>
        <w:spacing w:line="360" w:lineRule="auto"/>
        <w:contextualSpacing/>
        <w:jc w:val="both"/>
        <w:rPr>
          <w:rFonts w:eastAsia="Calibri"/>
          <w:b/>
          <w:bCs/>
          <w:noProof/>
          <w:lang w:val="es-DO"/>
        </w:rPr>
      </w:pPr>
      <w:r w:rsidRPr="006C2A50">
        <w:rPr>
          <w:rFonts w:eastAsia="Calibri"/>
          <w:lang w:val="es-DO"/>
        </w:rPr>
        <w:t>Taller Régimen Ético y Disciplinario</w:t>
      </w:r>
      <w:r w:rsidRPr="006C2A50">
        <w:rPr>
          <w:rFonts w:ascii="Gill Sans MT" w:eastAsia="Calibri" w:hAnsi="Gill Sans MT"/>
          <w:lang w:val="es-DO"/>
        </w:rPr>
        <w:t xml:space="preserve"> </w:t>
      </w:r>
      <w:r w:rsidRPr="006C2A50">
        <w:rPr>
          <w:rFonts w:eastAsia="Calibri"/>
          <w:lang w:val="es-DO"/>
        </w:rPr>
        <w:t>de los Servidores, impartido por el Ministerio de Administración Pública.</w:t>
      </w:r>
    </w:p>
    <w:p w14:paraId="3AC37EB2" w14:textId="77777777" w:rsidR="006C2A50" w:rsidRPr="006C2A50" w:rsidRDefault="006C2A50" w:rsidP="00427D27">
      <w:pPr>
        <w:numPr>
          <w:ilvl w:val="0"/>
          <w:numId w:val="5"/>
        </w:numPr>
        <w:spacing w:line="360" w:lineRule="auto"/>
        <w:contextualSpacing/>
        <w:jc w:val="both"/>
        <w:rPr>
          <w:rFonts w:eastAsia="Calibri"/>
          <w:b/>
          <w:bCs/>
          <w:noProof/>
          <w:lang w:val="es-DO"/>
        </w:rPr>
      </w:pPr>
      <w:r w:rsidRPr="006C2A50">
        <w:rPr>
          <w:rFonts w:eastAsia="Calibri"/>
          <w:lang w:val="es-DO"/>
        </w:rPr>
        <w:t>Talleres en modalidad virtual de Discapacidad y Empleo Desde un Enfoque de Derecho, Trato Digno y Terminología Correcta y Accesibilidad Universal y Diseños para Todos, impartido por el Consejo Nacional de Discapacidad (CONADIS).</w:t>
      </w:r>
    </w:p>
    <w:p w14:paraId="4DFCF1CB" w14:textId="77777777" w:rsidR="00427D27" w:rsidRDefault="00427D27" w:rsidP="00427D27">
      <w:pPr>
        <w:spacing w:line="360" w:lineRule="auto"/>
        <w:jc w:val="center"/>
        <w:rPr>
          <w:rFonts w:eastAsia="Calibri"/>
          <w:b/>
          <w:bCs/>
          <w:noProof/>
          <w:lang w:val="es-DO"/>
        </w:rPr>
      </w:pPr>
    </w:p>
    <w:p w14:paraId="50623CD8" w14:textId="68EFAE41" w:rsidR="006C2A50" w:rsidRPr="006C2A50" w:rsidRDefault="006C2A50" w:rsidP="00427D27">
      <w:pPr>
        <w:spacing w:line="360" w:lineRule="auto"/>
        <w:jc w:val="center"/>
        <w:rPr>
          <w:rFonts w:eastAsia="Calibri"/>
          <w:noProof/>
          <w:lang w:val="es-DO"/>
        </w:rPr>
      </w:pPr>
      <w:r w:rsidRPr="006C2A50">
        <w:rPr>
          <w:rFonts w:eastAsia="Calibri"/>
          <w:b/>
          <w:bCs/>
          <w:noProof/>
          <w:lang w:val="es-DO"/>
        </w:rPr>
        <w:t>Subsistema de Gestión de las Relaciones Laborales y Sociales</w:t>
      </w:r>
    </w:p>
    <w:p w14:paraId="63C50E7F" w14:textId="77777777" w:rsidR="006C2A50" w:rsidRPr="006C2A50" w:rsidRDefault="006C2A50" w:rsidP="00427D27">
      <w:pPr>
        <w:spacing w:line="360" w:lineRule="auto"/>
        <w:jc w:val="both"/>
        <w:rPr>
          <w:rFonts w:eastAsia="Calibri"/>
          <w:noProof/>
          <w:lang w:val="es-DO"/>
        </w:rPr>
      </w:pPr>
      <w:r w:rsidRPr="006C2A50">
        <w:rPr>
          <w:rFonts w:eastAsia="Calibri"/>
          <w:lang w:val="es-DO"/>
        </w:rPr>
        <w:t xml:space="preserve">Conforme a los procedimientos establecidos para el reclutamiento y selección de personal y en atención a las necesidades de la institución, durante el período enero-diciembre de 2025 se incorporaron 49 nuevos </w:t>
      </w:r>
      <w:r w:rsidRPr="006C2A50">
        <w:rPr>
          <w:rFonts w:eastAsia="Calibri"/>
          <w:lang w:val="es-DO"/>
        </w:rPr>
        <w:lastRenderedPageBreak/>
        <w:t>colaboradores, quienes recibieron la inducción correspondiente sobre los procesos y procedimientos internos.</w:t>
      </w:r>
    </w:p>
    <w:p w14:paraId="19CA0AC9"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Por otro lado, durante el referido período se desvincularon 35 colaboradores, conforme se indica en el cuadro siguiente:</w:t>
      </w:r>
    </w:p>
    <w:tbl>
      <w:tblPr>
        <w:tblW w:w="5006"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710"/>
        <w:gridCol w:w="1260"/>
        <w:gridCol w:w="1440"/>
        <w:gridCol w:w="1916"/>
      </w:tblGrid>
      <w:tr w:rsidR="006C2A50" w:rsidRPr="006C2A50" w14:paraId="11A1B91F" w14:textId="77777777" w:rsidTr="00380477">
        <w:trPr>
          <w:trHeight w:val="300"/>
          <w:tblHeader/>
          <w:jc w:val="center"/>
        </w:trPr>
        <w:tc>
          <w:tcPr>
            <w:tcW w:w="710" w:type="dxa"/>
            <w:shd w:val="clear" w:color="000000" w:fill="142F62"/>
            <w:noWrap/>
            <w:vAlign w:val="center"/>
            <w:hideMark/>
          </w:tcPr>
          <w:p w14:paraId="770C8307" w14:textId="77777777" w:rsidR="006C2A50" w:rsidRPr="006C2A50" w:rsidRDefault="006C2A50" w:rsidP="006C2A50">
            <w:pPr>
              <w:spacing w:after="0" w:line="240" w:lineRule="auto"/>
              <w:jc w:val="center"/>
              <w:rPr>
                <w:rFonts w:eastAsia="Times New Roman"/>
                <w:b/>
                <w:bCs/>
                <w:color w:val="FFFFFF"/>
                <w:sz w:val="20"/>
                <w:szCs w:val="20"/>
                <w:lang w:val="es-DO" w:eastAsia="es-DO"/>
              </w:rPr>
            </w:pPr>
            <w:r w:rsidRPr="006C2A50">
              <w:rPr>
                <w:rFonts w:eastAsia="Times New Roman"/>
                <w:b/>
                <w:bCs/>
                <w:color w:val="FFFFFF"/>
                <w:sz w:val="20"/>
                <w:szCs w:val="20"/>
                <w:lang w:val="es-DO" w:eastAsia="es-DO"/>
              </w:rPr>
              <w:t>Ítem</w:t>
            </w:r>
          </w:p>
        </w:tc>
        <w:tc>
          <w:tcPr>
            <w:tcW w:w="1260" w:type="dxa"/>
            <w:shd w:val="clear" w:color="000000" w:fill="142F62"/>
            <w:noWrap/>
            <w:vAlign w:val="center"/>
            <w:hideMark/>
          </w:tcPr>
          <w:p w14:paraId="360BA4B8" w14:textId="77777777" w:rsidR="006C2A50" w:rsidRPr="006C2A50" w:rsidRDefault="006C2A50" w:rsidP="006C2A50">
            <w:pPr>
              <w:spacing w:after="0" w:line="240" w:lineRule="auto"/>
              <w:jc w:val="center"/>
              <w:rPr>
                <w:rFonts w:eastAsia="Times New Roman"/>
                <w:b/>
                <w:bCs/>
                <w:color w:val="FFFFFF"/>
                <w:sz w:val="20"/>
                <w:szCs w:val="20"/>
                <w:lang w:val="es-DO" w:eastAsia="es-DO"/>
              </w:rPr>
            </w:pPr>
            <w:r w:rsidRPr="006C2A50">
              <w:rPr>
                <w:rFonts w:eastAsia="Times New Roman"/>
                <w:b/>
                <w:bCs/>
                <w:color w:val="FFFFFF"/>
                <w:sz w:val="20"/>
                <w:szCs w:val="20"/>
                <w:lang w:val="es-DO" w:eastAsia="es-DO"/>
              </w:rPr>
              <w:t>Meses</w:t>
            </w:r>
          </w:p>
        </w:tc>
        <w:tc>
          <w:tcPr>
            <w:tcW w:w="1440" w:type="dxa"/>
            <w:shd w:val="clear" w:color="000000" w:fill="142F62"/>
            <w:noWrap/>
            <w:vAlign w:val="center"/>
            <w:hideMark/>
          </w:tcPr>
          <w:p w14:paraId="77BB0660" w14:textId="77777777" w:rsidR="006C2A50" w:rsidRPr="006C2A50" w:rsidRDefault="006C2A50" w:rsidP="006C2A50">
            <w:pPr>
              <w:spacing w:after="0" w:line="240" w:lineRule="auto"/>
              <w:jc w:val="center"/>
              <w:rPr>
                <w:rFonts w:eastAsia="Times New Roman"/>
                <w:b/>
                <w:bCs/>
                <w:color w:val="FFFFFF"/>
                <w:sz w:val="20"/>
                <w:szCs w:val="20"/>
                <w:lang w:val="es-DO" w:eastAsia="es-DO"/>
              </w:rPr>
            </w:pPr>
            <w:r w:rsidRPr="006C2A50">
              <w:rPr>
                <w:rFonts w:eastAsia="Times New Roman"/>
                <w:b/>
                <w:bCs/>
                <w:color w:val="FFFFFF"/>
                <w:sz w:val="20"/>
                <w:szCs w:val="20"/>
                <w:lang w:val="es-DO" w:eastAsia="es-DO"/>
              </w:rPr>
              <w:t>Nuevos Ingresos</w:t>
            </w:r>
          </w:p>
        </w:tc>
        <w:tc>
          <w:tcPr>
            <w:tcW w:w="1596" w:type="dxa"/>
            <w:shd w:val="clear" w:color="000000" w:fill="142F62"/>
            <w:noWrap/>
            <w:vAlign w:val="center"/>
            <w:hideMark/>
          </w:tcPr>
          <w:p w14:paraId="5CF0816A" w14:textId="77777777" w:rsidR="006C2A50" w:rsidRPr="006C2A50" w:rsidRDefault="006C2A50" w:rsidP="006C2A50">
            <w:pPr>
              <w:spacing w:after="0" w:line="240" w:lineRule="auto"/>
              <w:jc w:val="center"/>
              <w:rPr>
                <w:rFonts w:eastAsia="Times New Roman"/>
                <w:b/>
                <w:bCs/>
                <w:color w:val="FFFFFF"/>
                <w:sz w:val="20"/>
                <w:szCs w:val="20"/>
                <w:lang w:val="es-DO" w:eastAsia="es-DO"/>
              </w:rPr>
            </w:pPr>
            <w:r w:rsidRPr="006C2A50">
              <w:rPr>
                <w:rFonts w:eastAsia="Times New Roman"/>
                <w:b/>
                <w:bCs/>
                <w:color w:val="FFFFFF"/>
                <w:sz w:val="20"/>
                <w:szCs w:val="20"/>
                <w:lang w:val="es-DO" w:eastAsia="es-DO"/>
              </w:rPr>
              <w:t>Desvinculaciones</w:t>
            </w:r>
          </w:p>
        </w:tc>
      </w:tr>
      <w:tr w:rsidR="006C2A50" w:rsidRPr="006C2A50" w14:paraId="197118CF" w14:textId="77777777" w:rsidTr="00380477">
        <w:trPr>
          <w:trHeight w:val="300"/>
          <w:jc w:val="center"/>
        </w:trPr>
        <w:tc>
          <w:tcPr>
            <w:tcW w:w="710" w:type="dxa"/>
            <w:noWrap/>
            <w:vAlign w:val="center"/>
          </w:tcPr>
          <w:p w14:paraId="0447862C"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w:t>
            </w:r>
          </w:p>
        </w:tc>
        <w:tc>
          <w:tcPr>
            <w:tcW w:w="1260" w:type="dxa"/>
            <w:noWrap/>
            <w:vAlign w:val="center"/>
          </w:tcPr>
          <w:p w14:paraId="46F30A65"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Enero</w:t>
            </w:r>
          </w:p>
        </w:tc>
        <w:tc>
          <w:tcPr>
            <w:tcW w:w="1440" w:type="dxa"/>
            <w:noWrap/>
            <w:vAlign w:val="center"/>
          </w:tcPr>
          <w:p w14:paraId="74E2984F"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15</w:t>
            </w:r>
          </w:p>
        </w:tc>
        <w:tc>
          <w:tcPr>
            <w:tcW w:w="1596" w:type="dxa"/>
            <w:vAlign w:val="center"/>
          </w:tcPr>
          <w:p w14:paraId="33FA03D0"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r>
      <w:tr w:rsidR="006C2A50" w:rsidRPr="006C2A50" w14:paraId="5DC458D9" w14:textId="77777777" w:rsidTr="00380477">
        <w:trPr>
          <w:trHeight w:val="300"/>
          <w:jc w:val="center"/>
        </w:trPr>
        <w:tc>
          <w:tcPr>
            <w:tcW w:w="710" w:type="dxa"/>
            <w:noWrap/>
            <w:vAlign w:val="center"/>
          </w:tcPr>
          <w:p w14:paraId="22D1734D"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2</w:t>
            </w:r>
          </w:p>
        </w:tc>
        <w:tc>
          <w:tcPr>
            <w:tcW w:w="1260" w:type="dxa"/>
            <w:noWrap/>
            <w:vAlign w:val="center"/>
          </w:tcPr>
          <w:p w14:paraId="584109FE"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Febrero</w:t>
            </w:r>
          </w:p>
        </w:tc>
        <w:tc>
          <w:tcPr>
            <w:tcW w:w="1440" w:type="dxa"/>
            <w:noWrap/>
            <w:vAlign w:val="center"/>
          </w:tcPr>
          <w:p w14:paraId="522937E1"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w:t>
            </w:r>
          </w:p>
        </w:tc>
        <w:tc>
          <w:tcPr>
            <w:tcW w:w="1596" w:type="dxa"/>
            <w:noWrap/>
            <w:vAlign w:val="center"/>
          </w:tcPr>
          <w:p w14:paraId="12518E14"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5</w:t>
            </w:r>
          </w:p>
        </w:tc>
      </w:tr>
      <w:tr w:rsidR="006C2A50" w:rsidRPr="006C2A50" w14:paraId="4E87E5A8" w14:textId="77777777" w:rsidTr="00380477">
        <w:trPr>
          <w:trHeight w:val="300"/>
          <w:jc w:val="center"/>
        </w:trPr>
        <w:tc>
          <w:tcPr>
            <w:tcW w:w="710" w:type="dxa"/>
            <w:noWrap/>
            <w:vAlign w:val="center"/>
          </w:tcPr>
          <w:p w14:paraId="509176E4"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3</w:t>
            </w:r>
          </w:p>
        </w:tc>
        <w:tc>
          <w:tcPr>
            <w:tcW w:w="1260" w:type="dxa"/>
            <w:noWrap/>
            <w:vAlign w:val="center"/>
          </w:tcPr>
          <w:p w14:paraId="778ADE8B"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Marzo</w:t>
            </w:r>
          </w:p>
        </w:tc>
        <w:tc>
          <w:tcPr>
            <w:tcW w:w="1440" w:type="dxa"/>
            <w:noWrap/>
            <w:vAlign w:val="center"/>
          </w:tcPr>
          <w:p w14:paraId="258872E8"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11</w:t>
            </w:r>
          </w:p>
        </w:tc>
        <w:tc>
          <w:tcPr>
            <w:tcW w:w="1596" w:type="dxa"/>
            <w:noWrap/>
            <w:vAlign w:val="center"/>
          </w:tcPr>
          <w:p w14:paraId="7EAD0438"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2</w:t>
            </w:r>
          </w:p>
        </w:tc>
      </w:tr>
      <w:tr w:rsidR="006C2A50" w:rsidRPr="006C2A50" w14:paraId="1A7A89DA" w14:textId="77777777" w:rsidTr="00380477">
        <w:trPr>
          <w:trHeight w:val="300"/>
          <w:jc w:val="center"/>
        </w:trPr>
        <w:tc>
          <w:tcPr>
            <w:tcW w:w="710" w:type="dxa"/>
            <w:noWrap/>
            <w:vAlign w:val="center"/>
          </w:tcPr>
          <w:p w14:paraId="4E824E0C"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c>
          <w:tcPr>
            <w:tcW w:w="1260" w:type="dxa"/>
            <w:noWrap/>
            <w:vAlign w:val="center"/>
          </w:tcPr>
          <w:p w14:paraId="77F91166"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Abril</w:t>
            </w:r>
          </w:p>
        </w:tc>
        <w:tc>
          <w:tcPr>
            <w:tcW w:w="1440" w:type="dxa"/>
            <w:noWrap/>
            <w:vAlign w:val="center"/>
          </w:tcPr>
          <w:p w14:paraId="291D7D9A"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c>
          <w:tcPr>
            <w:tcW w:w="1596" w:type="dxa"/>
            <w:noWrap/>
            <w:vAlign w:val="center"/>
          </w:tcPr>
          <w:p w14:paraId="6B68470C"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r>
      <w:tr w:rsidR="006C2A50" w:rsidRPr="006C2A50" w14:paraId="3AEE3170" w14:textId="77777777" w:rsidTr="00380477">
        <w:trPr>
          <w:trHeight w:val="300"/>
          <w:jc w:val="center"/>
        </w:trPr>
        <w:tc>
          <w:tcPr>
            <w:tcW w:w="710" w:type="dxa"/>
            <w:noWrap/>
            <w:vAlign w:val="center"/>
          </w:tcPr>
          <w:p w14:paraId="6A0738A6"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5</w:t>
            </w:r>
          </w:p>
        </w:tc>
        <w:tc>
          <w:tcPr>
            <w:tcW w:w="1260" w:type="dxa"/>
            <w:noWrap/>
            <w:vAlign w:val="center"/>
          </w:tcPr>
          <w:p w14:paraId="32152AF2"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Mayo</w:t>
            </w:r>
          </w:p>
        </w:tc>
        <w:tc>
          <w:tcPr>
            <w:tcW w:w="1440" w:type="dxa"/>
            <w:noWrap/>
            <w:vAlign w:val="center"/>
          </w:tcPr>
          <w:p w14:paraId="711D5C4E"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w:t>
            </w:r>
          </w:p>
        </w:tc>
        <w:tc>
          <w:tcPr>
            <w:tcW w:w="1596" w:type="dxa"/>
            <w:noWrap/>
            <w:vAlign w:val="center"/>
          </w:tcPr>
          <w:p w14:paraId="0E6B06BD"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w:t>
            </w:r>
          </w:p>
        </w:tc>
      </w:tr>
      <w:tr w:rsidR="006C2A50" w:rsidRPr="006C2A50" w14:paraId="7E9484C6" w14:textId="77777777" w:rsidTr="00380477">
        <w:trPr>
          <w:trHeight w:val="300"/>
          <w:jc w:val="center"/>
        </w:trPr>
        <w:tc>
          <w:tcPr>
            <w:tcW w:w="710" w:type="dxa"/>
            <w:noWrap/>
            <w:vAlign w:val="center"/>
          </w:tcPr>
          <w:p w14:paraId="5EEB790A"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6</w:t>
            </w:r>
          </w:p>
        </w:tc>
        <w:tc>
          <w:tcPr>
            <w:tcW w:w="1260" w:type="dxa"/>
            <w:noWrap/>
            <w:vAlign w:val="center"/>
          </w:tcPr>
          <w:p w14:paraId="0A8F6F4B"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Junio</w:t>
            </w:r>
          </w:p>
        </w:tc>
        <w:tc>
          <w:tcPr>
            <w:tcW w:w="1440" w:type="dxa"/>
            <w:noWrap/>
            <w:vAlign w:val="center"/>
          </w:tcPr>
          <w:p w14:paraId="3BAD50FC"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2</w:t>
            </w:r>
          </w:p>
        </w:tc>
        <w:tc>
          <w:tcPr>
            <w:tcW w:w="1596" w:type="dxa"/>
            <w:noWrap/>
            <w:vAlign w:val="center"/>
          </w:tcPr>
          <w:p w14:paraId="0308AAFE"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r>
      <w:tr w:rsidR="006C2A50" w:rsidRPr="006C2A50" w14:paraId="0EE7904C" w14:textId="77777777" w:rsidTr="00380477">
        <w:trPr>
          <w:trHeight w:val="300"/>
          <w:jc w:val="center"/>
        </w:trPr>
        <w:tc>
          <w:tcPr>
            <w:tcW w:w="710" w:type="dxa"/>
            <w:noWrap/>
            <w:vAlign w:val="center"/>
          </w:tcPr>
          <w:p w14:paraId="22B68A1C"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7</w:t>
            </w:r>
          </w:p>
        </w:tc>
        <w:tc>
          <w:tcPr>
            <w:tcW w:w="1260" w:type="dxa"/>
            <w:noWrap/>
            <w:vAlign w:val="center"/>
          </w:tcPr>
          <w:p w14:paraId="4FDD070C"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Julio</w:t>
            </w:r>
          </w:p>
        </w:tc>
        <w:tc>
          <w:tcPr>
            <w:tcW w:w="1440" w:type="dxa"/>
            <w:noWrap/>
            <w:vAlign w:val="center"/>
          </w:tcPr>
          <w:p w14:paraId="6D643E02"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w:t>
            </w:r>
          </w:p>
        </w:tc>
        <w:tc>
          <w:tcPr>
            <w:tcW w:w="1596" w:type="dxa"/>
            <w:noWrap/>
            <w:vAlign w:val="center"/>
          </w:tcPr>
          <w:p w14:paraId="39ABCD16"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r>
      <w:tr w:rsidR="006C2A50" w:rsidRPr="006C2A50" w14:paraId="6EB5B86B" w14:textId="77777777" w:rsidTr="00380477">
        <w:trPr>
          <w:trHeight w:val="300"/>
          <w:jc w:val="center"/>
        </w:trPr>
        <w:tc>
          <w:tcPr>
            <w:tcW w:w="710" w:type="dxa"/>
            <w:noWrap/>
            <w:vAlign w:val="center"/>
          </w:tcPr>
          <w:p w14:paraId="64977C23"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8</w:t>
            </w:r>
          </w:p>
        </w:tc>
        <w:tc>
          <w:tcPr>
            <w:tcW w:w="1260" w:type="dxa"/>
            <w:noWrap/>
            <w:vAlign w:val="center"/>
          </w:tcPr>
          <w:p w14:paraId="22824453"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Agosto</w:t>
            </w:r>
          </w:p>
        </w:tc>
        <w:tc>
          <w:tcPr>
            <w:tcW w:w="1440" w:type="dxa"/>
            <w:noWrap/>
            <w:vAlign w:val="center"/>
          </w:tcPr>
          <w:p w14:paraId="7A83F66C"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2</w:t>
            </w:r>
          </w:p>
        </w:tc>
        <w:tc>
          <w:tcPr>
            <w:tcW w:w="1596" w:type="dxa"/>
            <w:noWrap/>
            <w:vAlign w:val="center"/>
          </w:tcPr>
          <w:p w14:paraId="33917802"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0</w:t>
            </w:r>
          </w:p>
        </w:tc>
      </w:tr>
      <w:tr w:rsidR="006C2A50" w:rsidRPr="006C2A50" w14:paraId="7A5C6EE9" w14:textId="77777777" w:rsidTr="00380477">
        <w:trPr>
          <w:trHeight w:val="300"/>
          <w:jc w:val="center"/>
        </w:trPr>
        <w:tc>
          <w:tcPr>
            <w:tcW w:w="710" w:type="dxa"/>
            <w:noWrap/>
            <w:vAlign w:val="center"/>
          </w:tcPr>
          <w:p w14:paraId="4C70DCF4"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9</w:t>
            </w:r>
          </w:p>
        </w:tc>
        <w:tc>
          <w:tcPr>
            <w:tcW w:w="1260" w:type="dxa"/>
            <w:noWrap/>
            <w:vAlign w:val="center"/>
          </w:tcPr>
          <w:p w14:paraId="20D94EB0"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Septiembre</w:t>
            </w:r>
          </w:p>
        </w:tc>
        <w:tc>
          <w:tcPr>
            <w:tcW w:w="1440" w:type="dxa"/>
            <w:noWrap/>
            <w:vAlign w:val="center"/>
          </w:tcPr>
          <w:p w14:paraId="4BAC8BCE"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3</w:t>
            </w:r>
          </w:p>
        </w:tc>
        <w:tc>
          <w:tcPr>
            <w:tcW w:w="1596" w:type="dxa"/>
            <w:noWrap/>
            <w:vAlign w:val="center"/>
          </w:tcPr>
          <w:p w14:paraId="357C3DD2"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r>
      <w:tr w:rsidR="006C2A50" w:rsidRPr="006C2A50" w14:paraId="0B09A4C1" w14:textId="77777777" w:rsidTr="00380477">
        <w:trPr>
          <w:trHeight w:val="300"/>
          <w:jc w:val="center"/>
        </w:trPr>
        <w:tc>
          <w:tcPr>
            <w:tcW w:w="710" w:type="dxa"/>
            <w:noWrap/>
            <w:vAlign w:val="center"/>
          </w:tcPr>
          <w:p w14:paraId="4717E7BD"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10</w:t>
            </w:r>
          </w:p>
        </w:tc>
        <w:tc>
          <w:tcPr>
            <w:tcW w:w="1260" w:type="dxa"/>
            <w:noWrap/>
            <w:vAlign w:val="center"/>
          </w:tcPr>
          <w:p w14:paraId="7B222AAD"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Octubre</w:t>
            </w:r>
          </w:p>
        </w:tc>
        <w:tc>
          <w:tcPr>
            <w:tcW w:w="1440" w:type="dxa"/>
            <w:noWrap/>
            <w:vAlign w:val="center"/>
          </w:tcPr>
          <w:p w14:paraId="68CC3A10"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3</w:t>
            </w:r>
          </w:p>
        </w:tc>
        <w:tc>
          <w:tcPr>
            <w:tcW w:w="1596" w:type="dxa"/>
            <w:noWrap/>
            <w:vAlign w:val="center"/>
          </w:tcPr>
          <w:p w14:paraId="7DDC6488"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2</w:t>
            </w:r>
          </w:p>
        </w:tc>
      </w:tr>
      <w:tr w:rsidR="006C2A50" w:rsidRPr="006C2A50" w14:paraId="2E208737" w14:textId="77777777" w:rsidTr="00380477">
        <w:trPr>
          <w:trHeight w:val="300"/>
          <w:jc w:val="center"/>
        </w:trPr>
        <w:tc>
          <w:tcPr>
            <w:tcW w:w="710" w:type="dxa"/>
            <w:noWrap/>
            <w:vAlign w:val="center"/>
          </w:tcPr>
          <w:p w14:paraId="0C023098"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11</w:t>
            </w:r>
          </w:p>
        </w:tc>
        <w:tc>
          <w:tcPr>
            <w:tcW w:w="1260" w:type="dxa"/>
            <w:noWrap/>
            <w:vAlign w:val="center"/>
          </w:tcPr>
          <w:p w14:paraId="4B0EFEB3"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Noviembre</w:t>
            </w:r>
          </w:p>
        </w:tc>
        <w:tc>
          <w:tcPr>
            <w:tcW w:w="1440" w:type="dxa"/>
            <w:noWrap/>
            <w:vAlign w:val="center"/>
          </w:tcPr>
          <w:p w14:paraId="194DFDCF"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w:t>
            </w:r>
          </w:p>
        </w:tc>
        <w:tc>
          <w:tcPr>
            <w:tcW w:w="1596" w:type="dxa"/>
            <w:noWrap/>
            <w:vAlign w:val="center"/>
          </w:tcPr>
          <w:p w14:paraId="600EAD70"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4</w:t>
            </w:r>
          </w:p>
        </w:tc>
      </w:tr>
      <w:tr w:rsidR="006C2A50" w:rsidRPr="006C2A50" w14:paraId="47383A64" w14:textId="77777777" w:rsidTr="00380477">
        <w:trPr>
          <w:trHeight w:val="300"/>
          <w:jc w:val="center"/>
        </w:trPr>
        <w:tc>
          <w:tcPr>
            <w:tcW w:w="710" w:type="dxa"/>
            <w:noWrap/>
            <w:vAlign w:val="center"/>
          </w:tcPr>
          <w:p w14:paraId="30F0278B"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12</w:t>
            </w:r>
          </w:p>
        </w:tc>
        <w:tc>
          <w:tcPr>
            <w:tcW w:w="1260" w:type="dxa"/>
            <w:noWrap/>
            <w:vAlign w:val="center"/>
          </w:tcPr>
          <w:p w14:paraId="0829BBD1" w14:textId="77777777" w:rsidR="006C2A50" w:rsidRPr="006C2A50" w:rsidRDefault="006C2A50" w:rsidP="006C2A50">
            <w:pPr>
              <w:spacing w:after="0" w:line="240" w:lineRule="auto"/>
              <w:rPr>
                <w:rFonts w:eastAsia="Times New Roman"/>
                <w:sz w:val="20"/>
                <w:szCs w:val="20"/>
                <w:lang w:val="es-DO" w:eastAsia="es-DO"/>
              </w:rPr>
            </w:pPr>
            <w:r w:rsidRPr="006C2A50">
              <w:rPr>
                <w:rFonts w:eastAsia="Times New Roman"/>
                <w:sz w:val="20"/>
                <w:szCs w:val="20"/>
                <w:lang w:val="es-DO" w:eastAsia="es-DO"/>
              </w:rPr>
              <w:t>Diciembre</w:t>
            </w:r>
          </w:p>
        </w:tc>
        <w:tc>
          <w:tcPr>
            <w:tcW w:w="1440" w:type="dxa"/>
            <w:noWrap/>
            <w:vAlign w:val="center"/>
          </w:tcPr>
          <w:p w14:paraId="4416FCDE"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5</w:t>
            </w:r>
          </w:p>
        </w:tc>
        <w:tc>
          <w:tcPr>
            <w:tcW w:w="1596" w:type="dxa"/>
            <w:noWrap/>
            <w:vAlign w:val="center"/>
          </w:tcPr>
          <w:p w14:paraId="40EFB67A" w14:textId="77777777" w:rsidR="006C2A50" w:rsidRPr="006C2A50" w:rsidRDefault="006C2A50" w:rsidP="006C2A50">
            <w:pPr>
              <w:spacing w:after="0" w:line="240" w:lineRule="auto"/>
              <w:jc w:val="center"/>
              <w:rPr>
                <w:rFonts w:eastAsia="Times New Roman"/>
                <w:sz w:val="20"/>
                <w:szCs w:val="20"/>
                <w:lang w:val="es-DO" w:eastAsia="es-DO"/>
              </w:rPr>
            </w:pPr>
            <w:r w:rsidRPr="006C2A50">
              <w:rPr>
                <w:rFonts w:eastAsia="Times New Roman"/>
                <w:sz w:val="20"/>
                <w:szCs w:val="20"/>
                <w:lang w:val="es-DO" w:eastAsia="es-DO"/>
              </w:rPr>
              <w:t>1</w:t>
            </w:r>
          </w:p>
        </w:tc>
      </w:tr>
      <w:tr w:rsidR="006C2A50" w:rsidRPr="006C2A50" w14:paraId="5A5067C2" w14:textId="77777777" w:rsidTr="00380477">
        <w:trPr>
          <w:trHeight w:val="300"/>
          <w:jc w:val="center"/>
        </w:trPr>
        <w:tc>
          <w:tcPr>
            <w:tcW w:w="1970" w:type="dxa"/>
            <w:gridSpan w:val="2"/>
            <w:shd w:val="clear" w:color="000000" w:fill="142F62"/>
            <w:vAlign w:val="center"/>
            <w:hideMark/>
          </w:tcPr>
          <w:p w14:paraId="5324E086" w14:textId="77777777" w:rsidR="006C2A50" w:rsidRPr="006C2A50" w:rsidRDefault="006C2A50" w:rsidP="006C2A50">
            <w:pPr>
              <w:spacing w:after="0" w:line="240" w:lineRule="auto"/>
              <w:jc w:val="right"/>
              <w:rPr>
                <w:rFonts w:eastAsia="Times New Roman"/>
                <w:b/>
                <w:bCs/>
                <w:color w:val="FFFFFF"/>
                <w:sz w:val="20"/>
                <w:szCs w:val="20"/>
                <w:lang w:val="es-DO" w:eastAsia="es-DO"/>
              </w:rPr>
            </w:pPr>
            <w:r w:rsidRPr="006C2A50">
              <w:rPr>
                <w:rFonts w:eastAsia="Times New Roman"/>
                <w:b/>
                <w:bCs/>
                <w:color w:val="FFFFFF"/>
                <w:sz w:val="20"/>
                <w:szCs w:val="20"/>
                <w:lang w:val="es-DO" w:eastAsia="es-DO"/>
              </w:rPr>
              <w:t>Totales </w:t>
            </w:r>
          </w:p>
        </w:tc>
        <w:tc>
          <w:tcPr>
            <w:tcW w:w="1440" w:type="dxa"/>
            <w:shd w:val="clear" w:color="000000" w:fill="142F62"/>
            <w:vAlign w:val="center"/>
            <w:hideMark/>
          </w:tcPr>
          <w:p w14:paraId="48C6587C" w14:textId="77777777" w:rsidR="006C2A50" w:rsidRPr="006C2A50" w:rsidRDefault="006C2A50" w:rsidP="006C2A50">
            <w:pPr>
              <w:spacing w:after="0" w:line="240" w:lineRule="auto"/>
              <w:jc w:val="center"/>
              <w:rPr>
                <w:rFonts w:eastAsia="Times New Roman"/>
                <w:b/>
                <w:bCs/>
                <w:color w:val="FFFFFF"/>
                <w:sz w:val="20"/>
                <w:szCs w:val="20"/>
                <w:lang w:val="es-DO" w:eastAsia="es-DO"/>
              </w:rPr>
            </w:pPr>
            <w:r w:rsidRPr="006C2A50">
              <w:rPr>
                <w:rFonts w:eastAsia="Times New Roman"/>
                <w:b/>
                <w:bCs/>
                <w:color w:val="FFFFFF"/>
                <w:sz w:val="20"/>
                <w:szCs w:val="20"/>
                <w:lang w:val="es-DO" w:eastAsia="es-DO"/>
              </w:rPr>
              <w:t>49</w:t>
            </w:r>
          </w:p>
        </w:tc>
        <w:tc>
          <w:tcPr>
            <w:tcW w:w="1596" w:type="dxa"/>
            <w:shd w:val="clear" w:color="000000" w:fill="142F62"/>
            <w:vAlign w:val="center"/>
            <w:hideMark/>
          </w:tcPr>
          <w:p w14:paraId="7C3D64C9" w14:textId="77777777" w:rsidR="006C2A50" w:rsidRPr="006C2A50" w:rsidRDefault="006C2A50" w:rsidP="006C2A50">
            <w:pPr>
              <w:spacing w:after="0" w:line="240" w:lineRule="auto"/>
              <w:jc w:val="center"/>
              <w:rPr>
                <w:rFonts w:eastAsia="Times New Roman"/>
                <w:b/>
                <w:bCs/>
                <w:color w:val="FFFFFF"/>
                <w:sz w:val="20"/>
                <w:szCs w:val="20"/>
                <w:lang w:val="es-DO" w:eastAsia="es-DO"/>
              </w:rPr>
            </w:pPr>
            <w:r w:rsidRPr="006C2A50">
              <w:rPr>
                <w:rFonts w:eastAsia="Times New Roman"/>
                <w:b/>
                <w:bCs/>
                <w:color w:val="FFFFFF"/>
                <w:sz w:val="20"/>
                <w:szCs w:val="20"/>
                <w:lang w:val="es-DO" w:eastAsia="es-DO"/>
              </w:rPr>
              <w:t>35</w:t>
            </w:r>
          </w:p>
        </w:tc>
      </w:tr>
    </w:tbl>
    <w:p w14:paraId="59A95750" w14:textId="64C77F90" w:rsidR="006C2A50" w:rsidRPr="00227219" w:rsidRDefault="006C2A50" w:rsidP="006C2A50">
      <w:pPr>
        <w:spacing w:line="360" w:lineRule="auto"/>
        <w:jc w:val="center"/>
        <w:rPr>
          <w:rFonts w:eastAsia="Calibri"/>
          <w:i/>
          <w:iCs/>
          <w:noProof/>
          <w:sz w:val="18"/>
          <w:szCs w:val="18"/>
          <w:lang w:val="es-DO"/>
        </w:rPr>
      </w:pPr>
      <w:r w:rsidRPr="006C2A50">
        <w:rPr>
          <w:rFonts w:eastAsia="Calibri"/>
          <w:sz w:val="20"/>
          <w:szCs w:val="20"/>
          <w:lang w:val="es-DO"/>
        </w:rPr>
        <w:t xml:space="preserve"> </w:t>
      </w:r>
      <w:r w:rsidRPr="00227219">
        <w:rPr>
          <w:rFonts w:eastAsia="Calibri"/>
          <w:i/>
          <w:iCs/>
          <w:sz w:val="18"/>
          <w:szCs w:val="18"/>
          <w:lang w:val="es-DO"/>
        </w:rPr>
        <w:t>Cuadro</w:t>
      </w:r>
      <w:r w:rsidRPr="00227219">
        <w:rPr>
          <w:rFonts w:eastAsia="Calibri"/>
          <w:i/>
          <w:iCs/>
          <w:noProof/>
          <w:sz w:val="18"/>
          <w:szCs w:val="18"/>
          <w:lang w:val="es-DO"/>
        </w:rPr>
        <w:t xml:space="preserve"> </w:t>
      </w:r>
      <w:r w:rsidR="00227219" w:rsidRPr="00227219">
        <w:rPr>
          <w:rFonts w:eastAsia="Calibri"/>
          <w:i/>
          <w:iCs/>
          <w:noProof/>
          <w:sz w:val="18"/>
          <w:szCs w:val="18"/>
          <w:lang w:val="es-DO"/>
        </w:rPr>
        <w:t>17</w:t>
      </w:r>
      <w:r w:rsidRPr="00227219">
        <w:rPr>
          <w:rFonts w:eastAsia="Calibri"/>
          <w:i/>
          <w:iCs/>
          <w:noProof/>
          <w:sz w:val="18"/>
          <w:szCs w:val="18"/>
          <w:lang w:val="es-DO"/>
        </w:rPr>
        <w:t xml:space="preserve"> Acciones de personal durante el año 2025</w:t>
      </w:r>
    </w:p>
    <w:p w14:paraId="50879019" w14:textId="2140CDB8" w:rsidR="006C2A50" w:rsidRPr="006C2A50" w:rsidRDefault="006C2A50" w:rsidP="006C2A50">
      <w:pPr>
        <w:spacing w:line="360" w:lineRule="auto"/>
        <w:jc w:val="center"/>
        <w:rPr>
          <w:rFonts w:eastAsia="Calibri"/>
          <w:b/>
          <w:bCs/>
          <w:noProof/>
          <w:lang w:val="es-DO"/>
        </w:rPr>
      </w:pPr>
      <w:r w:rsidRPr="006C2A50">
        <w:rPr>
          <w:rFonts w:eastAsia="Calibri"/>
          <w:b/>
          <w:bCs/>
          <w:noProof/>
          <w:lang w:val="es-DO"/>
        </w:rPr>
        <w:t>Resultados del SISMAP</w:t>
      </w:r>
    </w:p>
    <w:p w14:paraId="7BAFE878"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 xml:space="preserve">A raíz del decreto 251-22, mediante el cual se ordena la desconcentración financiera y operativa de la DGM, se iniciaron las gestiones pertinentes para la adhesión al Sistema de Monitoreo de la Administración Pública (SISMAP). </w:t>
      </w:r>
    </w:p>
    <w:p w14:paraId="2676382F"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 xml:space="preserve">Durante el período del </w:t>
      </w:r>
      <w:r w:rsidRPr="006C2A50">
        <w:rPr>
          <w:rFonts w:eastAsia="Calibri"/>
          <w:lang w:val="es-DO"/>
        </w:rPr>
        <w:t xml:space="preserve">del 28 de febrero al 28 de marzo de 2025, </w:t>
      </w:r>
      <w:r w:rsidRPr="006C2A50">
        <w:rPr>
          <w:rFonts w:eastAsia="Calibri"/>
          <w:noProof/>
          <w:lang w:val="es-DO"/>
        </w:rPr>
        <w:t xml:space="preserve">se aplicó la Encuesta de Clima y Cultura Organizacional con una muestra de 196 códigos Guid distribuidos entre los colaboradores que tienen mas de 6 meses en la instución. </w:t>
      </w:r>
    </w:p>
    <w:p w14:paraId="20562ED4" w14:textId="77777777" w:rsidR="006C2A50" w:rsidRPr="006C2A50" w:rsidRDefault="006C2A50" w:rsidP="00427D27">
      <w:pPr>
        <w:spacing w:line="360" w:lineRule="auto"/>
        <w:jc w:val="both"/>
        <w:rPr>
          <w:rFonts w:eastAsia="Calibri"/>
          <w:lang w:val="es-DO"/>
        </w:rPr>
      </w:pPr>
      <w:r w:rsidRPr="006C2A50">
        <w:rPr>
          <w:rFonts w:eastAsia="Calibri"/>
          <w:noProof/>
          <w:lang w:val="es-DO"/>
        </w:rPr>
        <w:t xml:space="preserve">Esta </w:t>
      </w:r>
      <w:r w:rsidRPr="006C2A50">
        <w:rPr>
          <w:rFonts w:eastAsia="Calibri"/>
          <w:lang w:val="es-DO"/>
        </w:rPr>
        <w:t>herramienta permitió evaluar la percepción y satisfacción de los colaboradores respecto a diferentes dimensiones del clima laboral con un nivel de satisfacción general de un 73%.</w:t>
      </w:r>
    </w:p>
    <w:p w14:paraId="6D635F27" w14:textId="2D3A2FD9" w:rsidR="006C2A50" w:rsidRPr="006C2A50" w:rsidRDefault="006C2A50" w:rsidP="00427D27">
      <w:pPr>
        <w:spacing w:line="360" w:lineRule="auto"/>
        <w:jc w:val="both"/>
        <w:rPr>
          <w:rFonts w:eastAsia="Calibri"/>
          <w:lang w:val="es-DO"/>
        </w:rPr>
      </w:pPr>
      <w:r w:rsidRPr="006C2A50">
        <w:rPr>
          <w:rFonts w:eastAsia="Calibri"/>
          <w:lang w:val="es-DO"/>
        </w:rPr>
        <w:lastRenderedPageBreak/>
        <w:t>Durante la encuesta, los participantes expresaron sus opiniones y brindaron retroalimentación sobre 22 dimensiones cruciales del ambiente laboral, tales como liderazgo, comunicación, cultura organizacional, reconocimiento laboral, equidad y género y permitió identificar fortalezas y debilidades en el clima laboral de la institución.</w:t>
      </w:r>
    </w:p>
    <w:p w14:paraId="1846560E" w14:textId="77777777" w:rsidR="006C2A50" w:rsidRPr="006C2A50" w:rsidRDefault="006C2A50" w:rsidP="00427D27">
      <w:pPr>
        <w:spacing w:line="360" w:lineRule="auto"/>
        <w:jc w:val="both"/>
        <w:rPr>
          <w:rFonts w:eastAsia="Calibri"/>
          <w:noProof/>
          <w:lang w:val="es-DO"/>
        </w:rPr>
      </w:pPr>
      <w:r w:rsidRPr="006C2A50">
        <w:rPr>
          <w:rFonts w:eastAsia="Calibri"/>
          <w:lang w:val="es-DO"/>
        </w:rPr>
        <w:t>En este contexto, se identificaron las mejoras y las estrategias a implementar, las cuales fueron incorporadas al plan de acción. Estas estrategias se ejecutarán durante el próximo año con el propósito de fortalecer el ambiente de trabajo y mejorar la productividad de los colaboradores.</w:t>
      </w:r>
    </w:p>
    <w:p w14:paraId="5D60065D"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En términos generales, de los 16 requerimientos establecidos por el MAP para la adhesión al SISMAP, la Dirección General de Museos ha completado 6 al 30 de junio de 2025; 6 se encuentran en proceso de cumplimiento y 4 no han sido iniciados; representando un porcentaje de avance equivalente al 60%, conforme se indica a continuación.</w:t>
      </w:r>
    </w:p>
    <w:tbl>
      <w:tblPr>
        <w:tblW w:w="7195" w:type="dxa"/>
        <w:jc w:val="center"/>
        <w:tblCellMar>
          <w:left w:w="70" w:type="dxa"/>
          <w:right w:w="70" w:type="dxa"/>
        </w:tblCellMar>
        <w:tblLook w:val="04A0" w:firstRow="1" w:lastRow="0" w:firstColumn="1" w:lastColumn="0" w:noHBand="0" w:noVBand="1"/>
      </w:tblPr>
      <w:tblGrid>
        <w:gridCol w:w="1522"/>
        <w:gridCol w:w="1911"/>
        <w:gridCol w:w="1489"/>
        <w:gridCol w:w="1126"/>
        <w:gridCol w:w="1170"/>
      </w:tblGrid>
      <w:tr w:rsidR="006C2A50" w:rsidRPr="00EE47D5" w14:paraId="2011FE10" w14:textId="77777777" w:rsidTr="00380477">
        <w:trPr>
          <w:trHeight w:val="324"/>
          <w:tblHeader/>
          <w:jc w:val="center"/>
        </w:trPr>
        <w:tc>
          <w:tcPr>
            <w:tcW w:w="7195" w:type="dxa"/>
            <w:gridSpan w:val="5"/>
            <w:tcBorders>
              <w:top w:val="single" w:sz="4" w:space="0" w:color="767171"/>
              <w:left w:val="single" w:sz="4" w:space="0" w:color="767171"/>
              <w:bottom w:val="single" w:sz="4" w:space="0" w:color="767171"/>
              <w:right w:val="nil"/>
            </w:tcBorders>
            <w:shd w:val="clear" w:color="000000" w:fill="142F62"/>
            <w:vAlign w:val="center"/>
            <w:hideMark/>
          </w:tcPr>
          <w:p w14:paraId="47E10F3A"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Estado de Avance del Proceso de Adhesión al SISMAP</w:t>
            </w:r>
          </w:p>
        </w:tc>
      </w:tr>
      <w:tr w:rsidR="006C2A50" w:rsidRPr="006C2A50" w14:paraId="7B64F482" w14:textId="77777777" w:rsidTr="00380477">
        <w:trPr>
          <w:trHeight w:val="528"/>
          <w:tblHeader/>
          <w:jc w:val="center"/>
        </w:trPr>
        <w:tc>
          <w:tcPr>
            <w:tcW w:w="1979" w:type="dxa"/>
            <w:tcBorders>
              <w:top w:val="single" w:sz="4" w:space="0" w:color="767171"/>
              <w:left w:val="single" w:sz="4" w:space="0" w:color="767171"/>
              <w:bottom w:val="single" w:sz="4" w:space="0" w:color="767171"/>
              <w:right w:val="single" w:sz="4" w:space="0" w:color="auto"/>
            </w:tcBorders>
            <w:shd w:val="clear" w:color="000000" w:fill="142F62"/>
            <w:vAlign w:val="center"/>
            <w:hideMark/>
          </w:tcPr>
          <w:p w14:paraId="6D4C650E"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Estatus</w:t>
            </w:r>
          </w:p>
        </w:tc>
        <w:tc>
          <w:tcPr>
            <w:tcW w:w="1631" w:type="dxa"/>
            <w:tcBorders>
              <w:top w:val="single" w:sz="4" w:space="0" w:color="767171"/>
              <w:left w:val="nil"/>
              <w:bottom w:val="single" w:sz="4" w:space="0" w:color="767171"/>
              <w:right w:val="single" w:sz="4" w:space="0" w:color="auto"/>
            </w:tcBorders>
            <w:shd w:val="clear" w:color="000000" w:fill="142F62"/>
            <w:vAlign w:val="center"/>
            <w:hideMark/>
          </w:tcPr>
          <w:p w14:paraId="26CDC199"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Requerimientos</w:t>
            </w:r>
          </w:p>
        </w:tc>
        <w:tc>
          <w:tcPr>
            <w:tcW w:w="1289" w:type="dxa"/>
            <w:tcBorders>
              <w:top w:val="single" w:sz="4" w:space="0" w:color="767171"/>
              <w:left w:val="nil"/>
              <w:bottom w:val="single" w:sz="4" w:space="0" w:color="767171"/>
              <w:right w:val="single" w:sz="4" w:space="0" w:color="auto"/>
            </w:tcBorders>
            <w:shd w:val="clear" w:color="000000" w:fill="142F62"/>
            <w:vAlign w:val="center"/>
            <w:hideMark/>
          </w:tcPr>
          <w:p w14:paraId="3E88D9A2"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Completado</w:t>
            </w:r>
          </w:p>
        </w:tc>
        <w:tc>
          <w:tcPr>
            <w:tcW w:w="1126" w:type="dxa"/>
            <w:tcBorders>
              <w:top w:val="single" w:sz="4" w:space="0" w:color="767171"/>
              <w:left w:val="nil"/>
              <w:bottom w:val="single" w:sz="4" w:space="0" w:color="767171"/>
              <w:right w:val="single" w:sz="4" w:space="0" w:color="auto"/>
            </w:tcBorders>
            <w:shd w:val="clear" w:color="000000" w:fill="142F62"/>
            <w:vAlign w:val="center"/>
            <w:hideMark/>
          </w:tcPr>
          <w:p w14:paraId="2311E788"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Peso Relativo</w:t>
            </w:r>
          </w:p>
        </w:tc>
        <w:tc>
          <w:tcPr>
            <w:tcW w:w="1170" w:type="dxa"/>
            <w:tcBorders>
              <w:top w:val="single" w:sz="4" w:space="0" w:color="767171"/>
              <w:left w:val="nil"/>
              <w:bottom w:val="single" w:sz="4" w:space="0" w:color="767171"/>
              <w:right w:val="single" w:sz="4" w:space="0" w:color="auto"/>
            </w:tcBorders>
            <w:shd w:val="clear" w:color="000000" w:fill="142F62"/>
            <w:vAlign w:val="center"/>
            <w:hideMark/>
          </w:tcPr>
          <w:p w14:paraId="00EC116B"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 Total Avance</w:t>
            </w:r>
          </w:p>
        </w:tc>
      </w:tr>
      <w:tr w:rsidR="006C2A50" w:rsidRPr="006C2A50" w14:paraId="0745C65B" w14:textId="77777777" w:rsidTr="00380477">
        <w:trPr>
          <w:trHeight w:val="324"/>
          <w:jc w:val="center"/>
        </w:trPr>
        <w:tc>
          <w:tcPr>
            <w:tcW w:w="1979" w:type="dxa"/>
            <w:tcBorders>
              <w:top w:val="single" w:sz="4" w:space="0" w:color="767171"/>
              <w:left w:val="single" w:sz="4" w:space="0" w:color="767171"/>
              <w:bottom w:val="single" w:sz="4" w:space="0" w:color="767171"/>
              <w:right w:val="single" w:sz="8" w:space="0" w:color="auto"/>
            </w:tcBorders>
            <w:vAlign w:val="center"/>
            <w:hideMark/>
          </w:tcPr>
          <w:p w14:paraId="6B0519BC"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Completados</w:t>
            </w:r>
          </w:p>
        </w:tc>
        <w:tc>
          <w:tcPr>
            <w:tcW w:w="1631" w:type="dxa"/>
            <w:tcBorders>
              <w:top w:val="single" w:sz="4" w:space="0" w:color="767171"/>
              <w:left w:val="nil"/>
              <w:bottom w:val="single" w:sz="4" w:space="0" w:color="767171"/>
              <w:right w:val="single" w:sz="8" w:space="0" w:color="auto"/>
            </w:tcBorders>
            <w:noWrap/>
            <w:vAlign w:val="center"/>
            <w:hideMark/>
          </w:tcPr>
          <w:p w14:paraId="3DB92613"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6</w:t>
            </w:r>
          </w:p>
        </w:tc>
        <w:tc>
          <w:tcPr>
            <w:tcW w:w="1289" w:type="dxa"/>
            <w:tcBorders>
              <w:top w:val="single" w:sz="4" w:space="0" w:color="767171"/>
              <w:left w:val="nil"/>
              <w:bottom w:val="single" w:sz="4" w:space="0" w:color="767171"/>
              <w:right w:val="single" w:sz="8" w:space="0" w:color="auto"/>
            </w:tcBorders>
            <w:noWrap/>
            <w:vAlign w:val="center"/>
            <w:hideMark/>
          </w:tcPr>
          <w:p w14:paraId="02F68C96"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100%</w:t>
            </w:r>
          </w:p>
        </w:tc>
        <w:tc>
          <w:tcPr>
            <w:tcW w:w="1126" w:type="dxa"/>
            <w:tcBorders>
              <w:top w:val="single" w:sz="4" w:space="0" w:color="767171"/>
              <w:left w:val="nil"/>
              <w:bottom w:val="single" w:sz="4" w:space="0" w:color="767171"/>
              <w:right w:val="single" w:sz="8" w:space="0" w:color="auto"/>
            </w:tcBorders>
            <w:noWrap/>
            <w:vAlign w:val="center"/>
            <w:hideMark/>
          </w:tcPr>
          <w:p w14:paraId="477BF643"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38%</w:t>
            </w:r>
          </w:p>
        </w:tc>
        <w:tc>
          <w:tcPr>
            <w:tcW w:w="1170" w:type="dxa"/>
            <w:tcBorders>
              <w:top w:val="single" w:sz="4" w:space="0" w:color="767171"/>
              <w:left w:val="nil"/>
              <w:bottom w:val="single" w:sz="4" w:space="0" w:color="767171"/>
              <w:right w:val="single" w:sz="8" w:space="0" w:color="auto"/>
            </w:tcBorders>
            <w:noWrap/>
            <w:vAlign w:val="center"/>
            <w:hideMark/>
          </w:tcPr>
          <w:p w14:paraId="79A342C7"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38%</w:t>
            </w:r>
          </w:p>
        </w:tc>
      </w:tr>
      <w:tr w:rsidR="006C2A50" w:rsidRPr="006C2A50" w14:paraId="6586E6E3" w14:textId="77777777" w:rsidTr="00380477">
        <w:trPr>
          <w:trHeight w:val="324"/>
          <w:jc w:val="center"/>
        </w:trPr>
        <w:tc>
          <w:tcPr>
            <w:tcW w:w="1979" w:type="dxa"/>
            <w:tcBorders>
              <w:top w:val="single" w:sz="4" w:space="0" w:color="767171"/>
              <w:left w:val="single" w:sz="4" w:space="0" w:color="767171"/>
              <w:bottom w:val="single" w:sz="4" w:space="0" w:color="767171"/>
              <w:right w:val="single" w:sz="8" w:space="0" w:color="auto"/>
            </w:tcBorders>
            <w:vAlign w:val="center"/>
            <w:hideMark/>
          </w:tcPr>
          <w:p w14:paraId="1AD7407E"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Iniciados</w:t>
            </w:r>
          </w:p>
        </w:tc>
        <w:tc>
          <w:tcPr>
            <w:tcW w:w="1631" w:type="dxa"/>
            <w:tcBorders>
              <w:top w:val="single" w:sz="4" w:space="0" w:color="767171"/>
              <w:left w:val="nil"/>
              <w:bottom w:val="single" w:sz="4" w:space="0" w:color="767171"/>
              <w:right w:val="single" w:sz="8" w:space="0" w:color="auto"/>
            </w:tcBorders>
            <w:noWrap/>
            <w:vAlign w:val="center"/>
            <w:hideMark/>
          </w:tcPr>
          <w:p w14:paraId="4ED1D46D"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6</w:t>
            </w:r>
          </w:p>
        </w:tc>
        <w:tc>
          <w:tcPr>
            <w:tcW w:w="1289" w:type="dxa"/>
            <w:tcBorders>
              <w:top w:val="single" w:sz="4" w:space="0" w:color="767171"/>
              <w:left w:val="nil"/>
              <w:bottom w:val="single" w:sz="4" w:space="0" w:color="767171"/>
              <w:right w:val="single" w:sz="8" w:space="0" w:color="auto"/>
            </w:tcBorders>
            <w:noWrap/>
            <w:vAlign w:val="center"/>
            <w:hideMark/>
          </w:tcPr>
          <w:p w14:paraId="62CF2B58"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60.84%</w:t>
            </w:r>
          </w:p>
        </w:tc>
        <w:tc>
          <w:tcPr>
            <w:tcW w:w="1126" w:type="dxa"/>
            <w:tcBorders>
              <w:top w:val="single" w:sz="4" w:space="0" w:color="767171"/>
              <w:left w:val="nil"/>
              <w:bottom w:val="single" w:sz="4" w:space="0" w:color="767171"/>
              <w:right w:val="single" w:sz="8" w:space="0" w:color="auto"/>
            </w:tcBorders>
            <w:noWrap/>
            <w:vAlign w:val="center"/>
            <w:hideMark/>
          </w:tcPr>
          <w:p w14:paraId="40BEAF54"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38%</w:t>
            </w:r>
          </w:p>
        </w:tc>
        <w:tc>
          <w:tcPr>
            <w:tcW w:w="1170" w:type="dxa"/>
            <w:tcBorders>
              <w:top w:val="single" w:sz="4" w:space="0" w:color="767171"/>
              <w:left w:val="nil"/>
              <w:bottom w:val="single" w:sz="4" w:space="0" w:color="767171"/>
              <w:right w:val="single" w:sz="8" w:space="0" w:color="auto"/>
            </w:tcBorders>
            <w:noWrap/>
            <w:vAlign w:val="center"/>
            <w:hideMark/>
          </w:tcPr>
          <w:p w14:paraId="6E58F39E"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23%</w:t>
            </w:r>
          </w:p>
        </w:tc>
      </w:tr>
      <w:tr w:rsidR="006C2A50" w:rsidRPr="006C2A50" w14:paraId="4B5BAB74" w14:textId="77777777" w:rsidTr="00380477">
        <w:trPr>
          <w:trHeight w:val="324"/>
          <w:jc w:val="center"/>
        </w:trPr>
        <w:tc>
          <w:tcPr>
            <w:tcW w:w="1979" w:type="dxa"/>
            <w:tcBorders>
              <w:top w:val="single" w:sz="4" w:space="0" w:color="767171"/>
              <w:left w:val="single" w:sz="4" w:space="0" w:color="767171"/>
              <w:bottom w:val="single" w:sz="4" w:space="0" w:color="767171"/>
              <w:right w:val="single" w:sz="8" w:space="0" w:color="auto"/>
            </w:tcBorders>
            <w:vAlign w:val="center"/>
            <w:hideMark/>
          </w:tcPr>
          <w:p w14:paraId="0354814A"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Sin iniciar</w:t>
            </w:r>
          </w:p>
        </w:tc>
        <w:tc>
          <w:tcPr>
            <w:tcW w:w="1631" w:type="dxa"/>
            <w:tcBorders>
              <w:top w:val="single" w:sz="4" w:space="0" w:color="767171"/>
              <w:left w:val="nil"/>
              <w:bottom w:val="single" w:sz="4" w:space="0" w:color="767171"/>
              <w:right w:val="single" w:sz="8" w:space="0" w:color="auto"/>
            </w:tcBorders>
            <w:noWrap/>
            <w:vAlign w:val="center"/>
            <w:hideMark/>
          </w:tcPr>
          <w:p w14:paraId="5BF099CC"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4</w:t>
            </w:r>
          </w:p>
        </w:tc>
        <w:tc>
          <w:tcPr>
            <w:tcW w:w="1289" w:type="dxa"/>
            <w:tcBorders>
              <w:top w:val="single" w:sz="4" w:space="0" w:color="767171"/>
              <w:left w:val="nil"/>
              <w:bottom w:val="single" w:sz="4" w:space="0" w:color="767171"/>
              <w:right w:val="single" w:sz="8" w:space="0" w:color="auto"/>
            </w:tcBorders>
            <w:noWrap/>
            <w:vAlign w:val="center"/>
            <w:hideMark/>
          </w:tcPr>
          <w:p w14:paraId="3848FD8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0%</w:t>
            </w:r>
          </w:p>
        </w:tc>
        <w:tc>
          <w:tcPr>
            <w:tcW w:w="1126" w:type="dxa"/>
            <w:tcBorders>
              <w:top w:val="single" w:sz="4" w:space="0" w:color="767171"/>
              <w:left w:val="nil"/>
              <w:bottom w:val="single" w:sz="4" w:space="0" w:color="767171"/>
              <w:right w:val="single" w:sz="8" w:space="0" w:color="auto"/>
            </w:tcBorders>
            <w:noWrap/>
            <w:vAlign w:val="center"/>
            <w:hideMark/>
          </w:tcPr>
          <w:p w14:paraId="633218E6"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25%</w:t>
            </w:r>
          </w:p>
        </w:tc>
        <w:tc>
          <w:tcPr>
            <w:tcW w:w="1170" w:type="dxa"/>
            <w:tcBorders>
              <w:top w:val="single" w:sz="4" w:space="0" w:color="767171"/>
              <w:left w:val="nil"/>
              <w:bottom w:val="single" w:sz="4" w:space="0" w:color="767171"/>
              <w:right w:val="single" w:sz="8" w:space="0" w:color="auto"/>
            </w:tcBorders>
            <w:noWrap/>
            <w:vAlign w:val="center"/>
            <w:hideMark/>
          </w:tcPr>
          <w:p w14:paraId="13F223FF"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0%</w:t>
            </w:r>
          </w:p>
        </w:tc>
      </w:tr>
      <w:tr w:rsidR="006C2A50" w:rsidRPr="006C2A50" w14:paraId="23EDE965" w14:textId="77777777" w:rsidTr="00380477">
        <w:trPr>
          <w:trHeight w:val="288"/>
          <w:jc w:val="center"/>
        </w:trPr>
        <w:tc>
          <w:tcPr>
            <w:tcW w:w="1979" w:type="dxa"/>
            <w:tcBorders>
              <w:top w:val="single" w:sz="4" w:space="0" w:color="767171"/>
              <w:left w:val="single" w:sz="4" w:space="0" w:color="767171"/>
              <w:bottom w:val="single" w:sz="4" w:space="0" w:color="auto"/>
              <w:right w:val="single" w:sz="4" w:space="0" w:color="auto"/>
            </w:tcBorders>
            <w:shd w:val="clear" w:color="000000" w:fill="142F62"/>
            <w:vAlign w:val="center"/>
            <w:hideMark/>
          </w:tcPr>
          <w:p w14:paraId="16CD555D"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Total</w:t>
            </w:r>
          </w:p>
        </w:tc>
        <w:tc>
          <w:tcPr>
            <w:tcW w:w="1631" w:type="dxa"/>
            <w:tcBorders>
              <w:top w:val="single" w:sz="4" w:space="0" w:color="767171"/>
              <w:left w:val="nil"/>
              <w:bottom w:val="single" w:sz="4" w:space="0" w:color="auto"/>
              <w:right w:val="single" w:sz="4" w:space="0" w:color="auto"/>
            </w:tcBorders>
            <w:shd w:val="clear" w:color="000000" w:fill="142F62"/>
            <w:vAlign w:val="center"/>
            <w:hideMark/>
          </w:tcPr>
          <w:p w14:paraId="5E508A8E"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16</w:t>
            </w:r>
          </w:p>
        </w:tc>
        <w:tc>
          <w:tcPr>
            <w:tcW w:w="1289" w:type="dxa"/>
            <w:tcBorders>
              <w:top w:val="single" w:sz="4" w:space="0" w:color="767171"/>
              <w:left w:val="nil"/>
              <w:bottom w:val="single" w:sz="4" w:space="0" w:color="auto"/>
              <w:right w:val="single" w:sz="4" w:space="0" w:color="auto"/>
            </w:tcBorders>
            <w:shd w:val="clear" w:color="000000" w:fill="142F62"/>
            <w:vAlign w:val="center"/>
            <w:hideMark/>
          </w:tcPr>
          <w:p w14:paraId="52E04526"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 </w:t>
            </w:r>
          </w:p>
        </w:tc>
        <w:tc>
          <w:tcPr>
            <w:tcW w:w="1126" w:type="dxa"/>
            <w:tcBorders>
              <w:top w:val="single" w:sz="4" w:space="0" w:color="767171"/>
              <w:left w:val="nil"/>
              <w:bottom w:val="single" w:sz="4" w:space="0" w:color="auto"/>
              <w:right w:val="single" w:sz="4" w:space="0" w:color="auto"/>
            </w:tcBorders>
            <w:shd w:val="clear" w:color="000000" w:fill="142F62"/>
            <w:vAlign w:val="center"/>
            <w:hideMark/>
          </w:tcPr>
          <w:p w14:paraId="00C99B4D"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100%</w:t>
            </w:r>
          </w:p>
        </w:tc>
        <w:tc>
          <w:tcPr>
            <w:tcW w:w="1170" w:type="dxa"/>
            <w:tcBorders>
              <w:top w:val="single" w:sz="4" w:space="0" w:color="767171"/>
              <w:left w:val="nil"/>
              <w:bottom w:val="single" w:sz="4" w:space="0" w:color="auto"/>
              <w:right w:val="single" w:sz="4" w:space="0" w:color="auto"/>
            </w:tcBorders>
            <w:shd w:val="clear" w:color="000000" w:fill="142F62"/>
            <w:vAlign w:val="center"/>
            <w:hideMark/>
          </w:tcPr>
          <w:p w14:paraId="515779F1"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60%</w:t>
            </w:r>
          </w:p>
        </w:tc>
      </w:tr>
    </w:tbl>
    <w:p w14:paraId="791F9AA2" w14:textId="67670AFB" w:rsidR="006C2A50" w:rsidRPr="00227219" w:rsidRDefault="006C2A50" w:rsidP="00E413CE">
      <w:pPr>
        <w:spacing w:line="360" w:lineRule="auto"/>
        <w:ind w:left="720"/>
        <w:contextualSpacing/>
        <w:rPr>
          <w:rFonts w:eastAsia="Calibri"/>
          <w:i/>
          <w:iCs/>
          <w:noProof/>
          <w:spacing w:val="0"/>
          <w:sz w:val="20"/>
          <w:szCs w:val="20"/>
          <w:lang w:val="es-DO"/>
        </w:rPr>
      </w:pPr>
      <w:r w:rsidRPr="00227219">
        <w:rPr>
          <w:rFonts w:eastAsia="Calibri"/>
          <w:i/>
          <w:iCs/>
          <w:noProof/>
          <w:spacing w:val="0"/>
          <w:sz w:val="20"/>
          <w:szCs w:val="20"/>
          <w:lang w:val="es-DO"/>
        </w:rPr>
        <w:t xml:space="preserve">Cuadro </w:t>
      </w:r>
      <w:r w:rsidR="00227219">
        <w:rPr>
          <w:rFonts w:eastAsia="Calibri"/>
          <w:i/>
          <w:iCs/>
          <w:noProof/>
          <w:spacing w:val="0"/>
          <w:sz w:val="20"/>
          <w:szCs w:val="20"/>
          <w:lang w:val="es-DO"/>
        </w:rPr>
        <w:t>18</w:t>
      </w:r>
      <w:r w:rsidR="00DB7323" w:rsidRPr="00227219">
        <w:rPr>
          <w:rFonts w:eastAsia="Calibri"/>
          <w:i/>
          <w:iCs/>
          <w:noProof/>
          <w:spacing w:val="0"/>
          <w:sz w:val="20"/>
          <w:szCs w:val="20"/>
          <w:lang w:val="es-DO"/>
        </w:rPr>
        <w:t xml:space="preserve">. </w:t>
      </w:r>
      <w:r w:rsidRPr="00227219">
        <w:rPr>
          <w:rFonts w:eastAsia="Calibri"/>
          <w:i/>
          <w:iCs/>
          <w:noProof/>
          <w:spacing w:val="0"/>
          <w:sz w:val="20"/>
          <w:szCs w:val="20"/>
          <w:lang w:val="es-DO"/>
        </w:rPr>
        <w:t>Estado de avance indicadores del SISMAP</w:t>
      </w:r>
    </w:p>
    <w:p w14:paraId="4C7C3BFA" w14:textId="77777777" w:rsidR="006C2A50" w:rsidRDefault="006C2A50" w:rsidP="00427D27">
      <w:pPr>
        <w:spacing w:line="360" w:lineRule="auto"/>
        <w:jc w:val="both"/>
        <w:rPr>
          <w:rFonts w:eastAsia="Calibri"/>
          <w:noProof/>
          <w:lang w:val="es-DO"/>
        </w:rPr>
      </w:pPr>
      <w:r w:rsidRPr="006C2A50">
        <w:rPr>
          <w:rFonts w:eastAsia="Calibri"/>
          <w:noProof/>
          <w:lang w:val="es-DO"/>
        </w:rPr>
        <w:t>En ese contexto, en lo referente a los indicadores correspondientes al Departamento de Recursos Humanos, al 31 de diciembre de 2025, se han alcanzado los avances siguientes:</w:t>
      </w:r>
    </w:p>
    <w:p w14:paraId="60A674E2" w14:textId="77777777" w:rsidR="00D52943" w:rsidRPr="006C2A50" w:rsidRDefault="00D52943" w:rsidP="00427D27">
      <w:pPr>
        <w:spacing w:line="360" w:lineRule="auto"/>
        <w:jc w:val="both"/>
        <w:rPr>
          <w:rFonts w:eastAsia="Calibri"/>
          <w:noProof/>
          <w:lang w:val="es-DO"/>
        </w:rPr>
      </w:pPr>
    </w:p>
    <w:tbl>
      <w:tblPr>
        <w:tblStyle w:val="Tablaconcuadrcula3"/>
        <w:tblW w:w="0" w:type="auto"/>
        <w:jc w:val="center"/>
        <w:tblLook w:val="04A0" w:firstRow="1" w:lastRow="0" w:firstColumn="1" w:lastColumn="0" w:noHBand="0" w:noVBand="1"/>
      </w:tblPr>
      <w:tblGrid>
        <w:gridCol w:w="5755"/>
        <w:gridCol w:w="1350"/>
      </w:tblGrid>
      <w:tr w:rsidR="006C2A50" w:rsidRPr="006C2A50" w14:paraId="6CE4548F" w14:textId="77777777" w:rsidTr="00380477">
        <w:trPr>
          <w:tblHeader/>
          <w:jc w:val="center"/>
        </w:trPr>
        <w:tc>
          <w:tcPr>
            <w:tcW w:w="5755" w:type="dxa"/>
            <w:shd w:val="clear" w:color="auto" w:fill="142F62"/>
            <w:vAlign w:val="center"/>
          </w:tcPr>
          <w:p w14:paraId="5515BADD" w14:textId="77777777" w:rsidR="006C2A50" w:rsidRPr="006C2A50" w:rsidRDefault="006C2A50" w:rsidP="00DB7323">
            <w:pPr>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lastRenderedPageBreak/>
              <w:t>Requerimientos</w:t>
            </w:r>
          </w:p>
        </w:tc>
        <w:tc>
          <w:tcPr>
            <w:tcW w:w="1350" w:type="dxa"/>
            <w:shd w:val="clear" w:color="auto" w:fill="142F62"/>
            <w:vAlign w:val="center"/>
          </w:tcPr>
          <w:p w14:paraId="3DAE9058" w14:textId="77777777" w:rsidR="006C2A50" w:rsidRPr="006C2A50" w:rsidRDefault="006C2A50" w:rsidP="00DB7323">
            <w:pPr>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Nivel de Avance</w:t>
            </w:r>
          </w:p>
        </w:tc>
      </w:tr>
      <w:tr w:rsidR="006C2A50" w:rsidRPr="006C2A50" w14:paraId="2F8BC673" w14:textId="77777777" w:rsidTr="00227219">
        <w:trPr>
          <w:trHeight w:val="343"/>
          <w:jc w:val="center"/>
        </w:trPr>
        <w:tc>
          <w:tcPr>
            <w:tcW w:w="5755" w:type="dxa"/>
            <w:vAlign w:val="center"/>
          </w:tcPr>
          <w:p w14:paraId="0E8CF4ED"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Manual de Cargos elaborado</w:t>
            </w:r>
          </w:p>
        </w:tc>
        <w:tc>
          <w:tcPr>
            <w:tcW w:w="1350" w:type="dxa"/>
            <w:vAlign w:val="center"/>
          </w:tcPr>
          <w:p w14:paraId="509CEF0E"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95%</w:t>
            </w:r>
          </w:p>
        </w:tc>
      </w:tr>
      <w:tr w:rsidR="006C2A50" w:rsidRPr="006C2A50" w14:paraId="4BF672A6" w14:textId="77777777" w:rsidTr="00380477">
        <w:trPr>
          <w:jc w:val="center"/>
        </w:trPr>
        <w:tc>
          <w:tcPr>
            <w:tcW w:w="5755" w:type="dxa"/>
            <w:vAlign w:val="center"/>
          </w:tcPr>
          <w:p w14:paraId="204905DE"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Manual de Funciones elaborado</w:t>
            </w:r>
          </w:p>
        </w:tc>
        <w:tc>
          <w:tcPr>
            <w:tcW w:w="1350" w:type="dxa"/>
            <w:vAlign w:val="center"/>
          </w:tcPr>
          <w:p w14:paraId="2C72D231"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95%</w:t>
            </w:r>
          </w:p>
        </w:tc>
      </w:tr>
      <w:tr w:rsidR="006C2A50" w:rsidRPr="006C2A50" w14:paraId="6EFC2D78" w14:textId="77777777" w:rsidTr="00380477">
        <w:trPr>
          <w:jc w:val="center"/>
        </w:trPr>
        <w:tc>
          <w:tcPr>
            <w:tcW w:w="5755" w:type="dxa"/>
            <w:vAlign w:val="center"/>
          </w:tcPr>
          <w:p w14:paraId="489923C5"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Escala Salarial Aprobada</w:t>
            </w:r>
          </w:p>
        </w:tc>
        <w:tc>
          <w:tcPr>
            <w:tcW w:w="1350" w:type="dxa"/>
            <w:vAlign w:val="center"/>
          </w:tcPr>
          <w:p w14:paraId="35FE11C3"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40%</w:t>
            </w:r>
          </w:p>
        </w:tc>
      </w:tr>
      <w:tr w:rsidR="006C2A50" w:rsidRPr="006C2A50" w14:paraId="15D7289A" w14:textId="77777777" w:rsidTr="00380477">
        <w:trPr>
          <w:trHeight w:val="355"/>
          <w:jc w:val="center"/>
        </w:trPr>
        <w:tc>
          <w:tcPr>
            <w:tcW w:w="5755" w:type="dxa"/>
            <w:vAlign w:val="center"/>
          </w:tcPr>
          <w:p w14:paraId="5B69474F"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 xml:space="preserve">Estructura Organizacional Aprobada </w:t>
            </w:r>
          </w:p>
        </w:tc>
        <w:tc>
          <w:tcPr>
            <w:tcW w:w="1350" w:type="dxa"/>
            <w:vAlign w:val="center"/>
          </w:tcPr>
          <w:p w14:paraId="70E17F22"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95%</w:t>
            </w:r>
          </w:p>
        </w:tc>
      </w:tr>
      <w:tr w:rsidR="006C2A50" w:rsidRPr="006C2A50" w14:paraId="4213E601" w14:textId="77777777" w:rsidTr="00380477">
        <w:trPr>
          <w:jc w:val="center"/>
        </w:trPr>
        <w:tc>
          <w:tcPr>
            <w:tcW w:w="5755" w:type="dxa"/>
            <w:vAlign w:val="center"/>
          </w:tcPr>
          <w:p w14:paraId="7A3D4920"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Plan Operativo Anual (POA) de Recursos Humanos 2025 elaborado</w:t>
            </w:r>
          </w:p>
        </w:tc>
        <w:tc>
          <w:tcPr>
            <w:tcW w:w="1350" w:type="dxa"/>
            <w:vAlign w:val="center"/>
          </w:tcPr>
          <w:p w14:paraId="1C2B3EC6"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50%</w:t>
            </w:r>
          </w:p>
        </w:tc>
      </w:tr>
      <w:tr w:rsidR="006C2A50" w:rsidRPr="006C2A50" w14:paraId="3AE47841" w14:textId="77777777" w:rsidTr="00380477">
        <w:trPr>
          <w:jc w:val="center"/>
        </w:trPr>
        <w:tc>
          <w:tcPr>
            <w:tcW w:w="5755" w:type="dxa"/>
            <w:vAlign w:val="center"/>
          </w:tcPr>
          <w:p w14:paraId="106B976C"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Sistema Transversal de Gestión Humana y Nómina implementado</w:t>
            </w:r>
          </w:p>
        </w:tc>
        <w:tc>
          <w:tcPr>
            <w:tcW w:w="1350" w:type="dxa"/>
            <w:vAlign w:val="center"/>
          </w:tcPr>
          <w:p w14:paraId="0A9CC2A9"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100%</w:t>
            </w:r>
          </w:p>
        </w:tc>
      </w:tr>
      <w:tr w:rsidR="006C2A50" w:rsidRPr="006C2A50" w14:paraId="31D6F0A3" w14:textId="77777777" w:rsidTr="00380477">
        <w:trPr>
          <w:jc w:val="center"/>
        </w:trPr>
        <w:tc>
          <w:tcPr>
            <w:tcW w:w="5755" w:type="dxa"/>
            <w:vAlign w:val="center"/>
          </w:tcPr>
          <w:p w14:paraId="69E62B8E"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Gestión de Acuerdos de Desempeño implementado</w:t>
            </w:r>
          </w:p>
        </w:tc>
        <w:tc>
          <w:tcPr>
            <w:tcW w:w="1350" w:type="dxa"/>
            <w:vAlign w:val="center"/>
          </w:tcPr>
          <w:p w14:paraId="3E21CD8A"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100%</w:t>
            </w:r>
          </w:p>
        </w:tc>
      </w:tr>
      <w:tr w:rsidR="006C2A50" w:rsidRPr="006C2A50" w14:paraId="72617C42" w14:textId="77777777" w:rsidTr="00380477">
        <w:trPr>
          <w:trHeight w:val="58"/>
          <w:jc w:val="center"/>
        </w:trPr>
        <w:tc>
          <w:tcPr>
            <w:tcW w:w="5755" w:type="dxa"/>
            <w:vAlign w:val="center"/>
          </w:tcPr>
          <w:p w14:paraId="1DDA7E53"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Evaluaciones de Desempeño y Resultados por Competencia implementado</w:t>
            </w:r>
          </w:p>
        </w:tc>
        <w:tc>
          <w:tcPr>
            <w:tcW w:w="1350" w:type="dxa"/>
            <w:vAlign w:val="center"/>
          </w:tcPr>
          <w:p w14:paraId="622CF936"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100%</w:t>
            </w:r>
          </w:p>
        </w:tc>
      </w:tr>
      <w:tr w:rsidR="006C2A50" w:rsidRPr="006C2A50" w14:paraId="5850AEC3" w14:textId="77777777" w:rsidTr="00380477">
        <w:trPr>
          <w:jc w:val="center"/>
        </w:trPr>
        <w:tc>
          <w:tcPr>
            <w:tcW w:w="5755" w:type="dxa"/>
            <w:vAlign w:val="center"/>
          </w:tcPr>
          <w:p w14:paraId="20E8E28B" w14:textId="77777777" w:rsidR="006C2A50" w:rsidRPr="006C2A50" w:rsidRDefault="006C2A50" w:rsidP="00DB7323">
            <w:pPr>
              <w:rPr>
                <w:rFonts w:eastAsia="Calibri"/>
                <w:color w:val="767171"/>
                <w:kern w:val="2"/>
                <w:lang w:val="es-ES"/>
                <w14:ligatures w14:val="standardContextual"/>
              </w:rPr>
            </w:pPr>
            <w:r w:rsidRPr="006C2A50">
              <w:rPr>
                <w:rFonts w:eastAsia="Calibri"/>
                <w:color w:val="767171"/>
                <w:kern w:val="2"/>
                <w:lang w:val="es-ES"/>
                <w14:ligatures w14:val="standardContextual"/>
              </w:rPr>
              <w:t>Plan de Capacitación año 2025 diseñado</w:t>
            </w:r>
          </w:p>
        </w:tc>
        <w:tc>
          <w:tcPr>
            <w:tcW w:w="1350" w:type="dxa"/>
            <w:vAlign w:val="center"/>
          </w:tcPr>
          <w:p w14:paraId="2147BDFF" w14:textId="77777777" w:rsidR="006C2A50" w:rsidRPr="006C2A50" w:rsidRDefault="006C2A50" w:rsidP="00DB7323">
            <w:pPr>
              <w:jc w:val="center"/>
              <w:rPr>
                <w:rFonts w:eastAsia="Calibri"/>
                <w:color w:val="767171"/>
                <w:kern w:val="2"/>
                <w:lang w:val="es-ES"/>
                <w14:ligatures w14:val="standardContextual"/>
              </w:rPr>
            </w:pPr>
            <w:r w:rsidRPr="006C2A50">
              <w:rPr>
                <w:rFonts w:eastAsia="Calibri"/>
                <w:color w:val="767171"/>
                <w:kern w:val="2"/>
                <w:lang w:val="es-ES"/>
                <w14:ligatures w14:val="standardContextual"/>
              </w:rPr>
              <w:t>50%</w:t>
            </w:r>
          </w:p>
        </w:tc>
      </w:tr>
    </w:tbl>
    <w:p w14:paraId="2A4D417D" w14:textId="3A6345BB" w:rsidR="006C2A50" w:rsidRPr="00227219" w:rsidRDefault="00E413CE" w:rsidP="00E413CE">
      <w:pPr>
        <w:spacing w:line="360" w:lineRule="auto"/>
        <w:contextualSpacing/>
        <w:rPr>
          <w:rFonts w:eastAsia="Calibri"/>
          <w:i/>
          <w:iCs/>
          <w:noProof/>
          <w:spacing w:val="0"/>
          <w:sz w:val="20"/>
          <w:szCs w:val="20"/>
          <w:lang w:val="es-DO"/>
        </w:rPr>
      </w:pPr>
      <w:r w:rsidRPr="00227219">
        <w:rPr>
          <w:rFonts w:eastAsia="Calibri"/>
          <w:i/>
          <w:iCs/>
          <w:noProof/>
          <w:spacing w:val="0"/>
          <w:sz w:val="20"/>
          <w:szCs w:val="20"/>
          <w:lang w:val="es-DO"/>
        </w:rPr>
        <w:t xml:space="preserve">        </w:t>
      </w:r>
      <w:r w:rsidR="006C2A50" w:rsidRPr="00227219">
        <w:rPr>
          <w:rFonts w:eastAsia="Calibri"/>
          <w:i/>
          <w:iCs/>
          <w:noProof/>
          <w:spacing w:val="0"/>
          <w:sz w:val="20"/>
          <w:szCs w:val="20"/>
          <w:lang w:val="es-DO"/>
        </w:rPr>
        <w:t xml:space="preserve">Cuadro </w:t>
      </w:r>
      <w:r w:rsidR="00DB7323" w:rsidRPr="00227219">
        <w:rPr>
          <w:rFonts w:eastAsia="Calibri"/>
          <w:i/>
          <w:iCs/>
          <w:noProof/>
          <w:spacing w:val="0"/>
          <w:sz w:val="20"/>
          <w:szCs w:val="20"/>
          <w:lang w:val="es-DO"/>
        </w:rPr>
        <w:t>1</w:t>
      </w:r>
      <w:r w:rsidR="00227219" w:rsidRPr="00227219">
        <w:rPr>
          <w:rFonts w:eastAsia="Calibri"/>
          <w:i/>
          <w:iCs/>
          <w:noProof/>
          <w:spacing w:val="0"/>
          <w:sz w:val="20"/>
          <w:szCs w:val="20"/>
          <w:lang w:val="es-DO"/>
        </w:rPr>
        <w:t>9</w:t>
      </w:r>
      <w:r w:rsidR="00DB7323" w:rsidRPr="00227219">
        <w:rPr>
          <w:rFonts w:eastAsia="Calibri"/>
          <w:i/>
          <w:iCs/>
          <w:noProof/>
          <w:spacing w:val="0"/>
          <w:sz w:val="20"/>
          <w:szCs w:val="20"/>
          <w:lang w:val="es-DO"/>
        </w:rPr>
        <w:t xml:space="preserve">. </w:t>
      </w:r>
      <w:r w:rsidR="006C2A50" w:rsidRPr="00227219">
        <w:rPr>
          <w:rFonts w:eastAsia="Calibri"/>
          <w:i/>
          <w:iCs/>
          <w:noProof/>
          <w:spacing w:val="0"/>
          <w:sz w:val="20"/>
          <w:szCs w:val="20"/>
          <w:lang w:val="es-DO"/>
        </w:rPr>
        <w:t xml:space="preserve"> Estado de avance indicadores RRHH  del SISMAP durante el año 2025</w:t>
      </w:r>
    </w:p>
    <w:p w14:paraId="3DFBAEF6" w14:textId="77777777" w:rsidR="00D52943" w:rsidRDefault="00D52943" w:rsidP="00ED3FEF">
      <w:pPr>
        <w:spacing w:line="360" w:lineRule="auto"/>
        <w:jc w:val="center"/>
        <w:rPr>
          <w:rFonts w:eastAsia="Calibri"/>
          <w:b/>
          <w:bCs/>
          <w:noProof/>
          <w:lang w:val="es-DO"/>
        </w:rPr>
      </w:pPr>
    </w:p>
    <w:p w14:paraId="70D6194C" w14:textId="6CDEE4C8" w:rsidR="006C2A50" w:rsidRPr="006C2A50" w:rsidRDefault="006C2A50" w:rsidP="00ED3FEF">
      <w:pPr>
        <w:spacing w:line="360" w:lineRule="auto"/>
        <w:jc w:val="center"/>
        <w:rPr>
          <w:rFonts w:eastAsia="Calibri"/>
          <w:b/>
          <w:bCs/>
          <w:noProof/>
          <w:lang w:val="es-DO"/>
        </w:rPr>
      </w:pPr>
      <w:r w:rsidRPr="006C2A50">
        <w:rPr>
          <w:rFonts w:eastAsia="Calibri"/>
          <w:b/>
          <w:bCs/>
          <w:noProof/>
          <w:lang w:val="es-DO"/>
        </w:rPr>
        <w:t>Estadísticas de Género</w:t>
      </w:r>
    </w:p>
    <w:p w14:paraId="60955DFC" w14:textId="77777777" w:rsidR="006C2A50" w:rsidRPr="006C2A50" w:rsidRDefault="006C2A50" w:rsidP="00427D27">
      <w:pPr>
        <w:spacing w:line="360" w:lineRule="auto"/>
        <w:jc w:val="both"/>
        <w:rPr>
          <w:rFonts w:eastAsia="Calibri"/>
          <w:noProof/>
          <w:lang w:val="es-DO"/>
        </w:rPr>
      </w:pPr>
      <w:r w:rsidRPr="006C2A50">
        <w:rPr>
          <w:rFonts w:eastAsia="Calibri"/>
          <w:lang w:val="es-DO"/>
        </w:rPr>
        <w:t>A diciembre del 2025, la Dirección General de Museos cuenta con un total de 213 hombres y 227 mujeres entre sus colaboradores, lo que representa el 48.41% y el 51.59%, respectivamente.</w:t>
      </w:r>
    </w:p>
    <w:p w14:paraId="5D43839B"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En el cuadro siguiente se muestra la distribución de los colaboradores según sexo y grupo ocupacional.</w:t>
      </w:r>
    </w:p>
    <w:p w14:paraId="021CC334" w14:textId="77777777" w:rsidR="006C2A50" w:rsidRPr="006C2A50" w:rsidRDefault="006C2A50" w:rsidP="00427D27">
      <w:pPr>
        <w:spacing w:line="360" w:lineRule="auto"/>
        <w:jc w:val="both"/>
        <w:rPr>
          <w:rFonts w:eastAsia="Calibri"/>
          <w:noProof/>
          <w:sz w:val="2"/>
          <w:szCs w:val="2"/>
          <w:lang w:val="es-DO"/>
        </w:rPr>
      </w:pPr>
    </w:p>
    <w:tbl>
      <w:tblPr>
        <w:tblW w:w="629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985"/>
        <w:gridCol w:w="2970"/>
        <w:gridCol w:w="1148"/>
        <w:gridCol w:w="1080"/>
        <w:gridCol w:w="1080"/>
      </w:tblGrid>
      <w:tr w:rsidR="006C2A50" w:rsidRPr="006C2A50" w14:paraId="60153095" w14:textId="77777777" w:rsidTr="00380477">
        <w:trPr>
          <w:trHeight w:val="288"/>
          <w:jc w:val="center"/>
        </w:trPr>
        <w:tc>
          <w:tcPr>
            <w:tcW w:w="985" w:type="dxa"/>
            <w:vMerge w:val="restart"/>
            <w:shd w:val="clear" w:color="000000" w:fill="142F62"/>
            <w:vAlign w:val="center"/>
            <w:hideMark/>
          </w:tcPr>
          <w:p w14:paraId="247958F7"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Código</w:t>
            </w:r>
          </w:p>
        </w:tc>
        <w:tc>
          <w:tcPr>
            <w:tcW w:w="2970" w:type="dxa"/>
            <w:vMerge w:val="restart"/>
            <w:shd w:val="clear" w:color="000000" w:fill="142F62"/>
            <w:vAlign w:val="center"/>
            <w:hideMark/>
          </w:tcPr>
          <w:p w14:paraId="5E56C29D"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Grupo Ocupacional</w:t>
            </w:r>
          </w:p>
        </w:tc>
        <w:tc>
          <w:tcPr>
            <w:tcW w:w="1260" w:type="dxa"/>
            <w:gridSpan w:val="2"/>
            <w:shd w:val="clear" w:color="000000" w:fill="142F62"/>
            <w:vAlign w:val="center"/>
            <w:hideMark/>
          </w:tcPr>
          <w:p w14:paraId="4174EB6F"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Cantidad de Servidores</w:t>
            </w:r>
          </w:p>
        </w:tc>
        <w:tc>
          <w:tcPr>
            <w:tcW w:w="1080" w:type="dxa"/>
            <w:vMerge w:val="restart"/>
            <w:shd w:val="clear" w:color="000000" w:fill="142F62"/>
            <w:vAlign w:val="center"/>
            <w:hideMark/>
          </w:tcPr>
          <w:p w14:paraId="3D78D877"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Total</w:t>
            </w:r>
          </w:p>
        </w:tc>
      </w:tr>
      <w:tr w:rsidR="006C2A50" w:rsidRPr="006C2A50" w14:paraId="714D8C6F" w14:textId="77777777" w:rsidTr="00380477">
        <w:trPr>
          <w:trHeight w:val="278"/>
          <w:jc w:val="center"/>
        </w:trPr>
        <w:tc>
          <w:tcPr>
            <w:tcW w:w="985" w:type="dxa"/>
            <w:vMerge/>
            <w:vAlign w:val="center"/>
            <w:hideMark/>
          </w:tcPr>
          <w:p w14:paraId="27F5BECA"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2970" w:type="dxa"/>
            <w:vMerge/>
            <w:vAlign w:val="center"/>
            <w:hideMark/>
          </w:tcPr>
          <w:p w14:paraId="19A50C20" w14:textId="77777777" w:rsidR="006C2A50" w:rsidRPr="006C2A50" w:rsidRDefault="006C2A50" w:rsidP="006C2A50">
            <w:pPr>
              <w:spacing w:after="0" w:line="240" w:lineRule="auto"/>
              <w:rPr>
                <w:rFonts w:eastAsia="Times New Roman"/>
                <w:b/>
                <w:bCs/>
                <w:color w:val="FFFFFF"/>
                <w:sz w:val="22"/>
                <w:szCs w:val="22"/>
                <w:lang w:val="es-DO" w:eastAsia="es-DO"/>
              </w:rPr>
            </w:pPr>
          </w:p>
        </w:tc>
        <w:tc>
          <w:tcPr>
            <w:tcW w:w="180" w:type="dxa"/>
            <w:shd w:val="clear" w:color="000000" w:fill="142F62"/>
            <w:vAlign w:val="center"/>
            <w:hideMark/>
          </w:tcPr>
          <w:p w14:paraId="6BCED8B3"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Hombres</w:t>
            </w:r>
          </w:p>
        </w:tc>
        <w:tc>
          <w:tcPr>
            <w:tcW w:w="1080" w:type="dxa"/>
            <w:shd w:val="clear" w:color="000000" w:fill="142F62"/>
            <w:vAlign w:val="center"/>
            <w:hideMark/>
          </w:tcPr>
          <w:p w14:paraId="795C4A41"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Mujeres</w:t>
            </w:r>
          </w:p>
        </w:tc>
        <w:tc>
          <w:tcPr>
            <w:tcW w:w="1080" w:type="dxa"/>
            <w:vMerge/>
            <w:vAlign w:val="center"/>
            <w:hideMark/>
          </w:tcPr>
          <w:p w14:paraId="649989EF" w14:textId="77777777" w:rsidR="006C2A50" w:rsidRPr="006C2A50" w:rsidRDefault="006C2A50" w:rsidP="006C2A50">
            <w:pPr>
              <w:spacing w:after="0" w:line="240" w:lineRule="auto"/>
              <w:rPr>
                <w:rFonts w:eastAsia="Times New Roman"/>
                <w:b/>
                <w:bCs/>
                <w:color w:val="FFFFFF"/>
                <w:sz w:val="22"/>
                <w:szCs w:val="22"/>
                <w:lang w:val="es-DO" w:eastAsia="es-DO"/>
              </w:rPr>
            </w:pPr>
          </w:p>
        </w:tc>
      </w:tr>
      <w:tr w:rsidR="006C2A50" w:rsidRPr="006C2A50" w14:paraId="52437231" w14:textId="77777777" w:rsidTr="00380477">
        <w:trPr>
          <w:trHeight w:val="288"/>
          <w:jc w:val="center"/>
        </w:trPr>
        <w:tc>
          <w:tcPr>
            <w:tcW w:w="985" w:type="dxa"/>
            <w:vAlign w:val="center"/>
            <w:hideMark/>
          </w:tcPr>
          <w:p w14:paraId="47116CC5"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w:t>
            </w:r>
          </w:p>
        </w:tc>
        <w:tc>
          <w:tcPr>
            <w:tcW w:w="2970" w:type="dxa"/>
            <w:vAlign w:val="center"/>
            <w:hideMark/>
          </w:tcPr>
          <w:p w14:paraId="02869185"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Servicios Generales</w:t>
            </w:r>
          </w:p>
        </w:tc>
        <w:tc>
          <w:tcPr>
            <w:tcW w:w="180" w:type="dxa"/>
            <w:tcBorders>
              <w:top w:val="nil"/>
              <w:left w:val="single" w:sz="4" w:space="0" w:color="auto"/>
              <w:bottom w:val="single" w:sz="4" w:space="0" w:color="auto"/>
              <w:right w:val="single" w:sz="4" w:space="0" w:color="auto"/>
            </w:tcBorders>
            <w:vAlign w:val="bottom"/>
          </w:tcPr>
          <w:p w14:paraId="7F894785"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66</w:t>
            </w:r>
          </w:p>
        </w:tc>
        <w:tc>
          <w:tcPr>
            <w:tcW w:w="1080" w:type="dxa"/>
            <w:tcBorders>
              <w:top w:val="nil"/>
              <w:left w:val="nil"/>
              <w:bottom w:val="single" w:sz="4" w:space="0" w:color="auto"/>
              <w:right w:val="single" w:sz="4" w:space="0" w:color="auto"/>
            </w:tcBorders>
            <w:vAlign w:val="bottom"/>
          </w:tcPr>
          <w:p w14:paraId="5089BFF7"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39</w:t>
            </w:r>
          </w:p>
        </w:tc>
        <w:tc>
          <w:tcPr>
            <w:tcW w:w="1080" w:type="dxa"/>
            <w:tcBorders>
              <w:top w:val="single" w:sz="4" w:space="0" w:color="auto"/>
              <w:left w:val="single" w:sz="4" w:space="0" w:color="auto"/>
              <w:bottom w:val="single" w:sz="4" w:space="0" w:color="auto"/>
              <w:right w:val="single" w:sz="4" w:space="0" w:color="auto"/>
            </w:tcBorders>
            <w:vAlign w:val="bottom"/>
          </w:tcPr>
          <w:p w14:paraId="4F9640DE"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105</w:t>
            </w:r>
          </w:p>
        </w:tc>
      </w:tr>
      <w:tr w:rsidR="006C2A50" w:rsidRPr="006C2A50" w14:paraId="7E84847E" w14:textId="77777777" w:rsidTr="00380477">
        <w:trPr>
          <w:trHeight w:val="323"/>
          <w:jc w:val="center"/>
        </w:trPr>
        <w:tc>
          <w:tcPr>
            <w:tcW w:w="985" w:type="dxa"/>
            <w:vAlign w:val="center"/>
            <w:hideMark/>
          </w:tcPr>
          <w:p w14:paraId="0080B113"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GO-II</w:t>
            </w:r>
          </w:p>
        </w:tc>
        <w:tc>
          <w:tcPr>
            <w:tcW w:w="2970" w:type="dxa"/>
            <w:vAlign w:val="center"/>
            <w:hideMark/>
          </w:tcPr>
          <w:p w14:paraId="6415CF43"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Supervisión y Apoyo</w:t>
            </w:r>
          </w:p>
        </w:tc>
        <w:tc>
          <w:tcPr>
            <w:tcW w:w="180" w:type="dxa"/>
            <w:tcBorders>
              <w:top w:val="nil"/>
              <w:left w:val="single" w:sz="4" w:space="0" w:color="auto"/>
              <w:bottom w:val="single" w:sz="4" w:space="0" w:color="auto"/>
              <w:right w:val="single" w:sz="4" w:space="0" w:color="auto"/>
            </w:tcBorders>
            <w:vAlign w:val="bottom"/>
          </w:tcPr>
          <w:p w14:paraId="33BD215F"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85</w:t>
            </w:r>
          </w:p>
        </w:tc>
        <w:tc>
          <w:tcPr>
            <w:tcW w:w="1080" w:type="dxa"/>
            <w:tcBorders>
              <w:top w:val="nil"/>
              <w:left w:val="nil"/>
              <w:bottom w:val="single" w:sz="4" w:space="0" w:color="auto"/>
              <w:right w:val="single" w:sz="4" w:space="0" w:color="auto"/>
            </w:tcBorders>
            <w:vAlign w:val="bottom"/>
          </w:tcPr>
          <w:p w14:paraId="79B60B4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135</w:t>
            </w:r>
          </w:p>
        </w:tc>
        <w:tc>
          <w:tcPr>
            <w:tcW w:w="1080" w:type="dxa"/>
            <w:tcBorders>
              <w:top w:val="nil"/>
              <w:left w:val="single" w:sz="4" w:space="0" w:color="auto"/>
              <w:bottom w:val="single" w:sz="4" w:space="0" w:color="auto"/>
              <w:right w:val="single" w:sz="4" w:space="0" w:color="auto"/>
            </w:tcBorders>
            <w:vAlign w:val="bottom"/>
          </w:tcPr>
          <w:p w14:paraId="57DAC355"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Calibri"/>
                <w:color w:val="000000"/>
                <w:sz w:val="22"/>
                <w:szCs w:val="22"/>
              </w:rPr>
              <w:t>220</w:t>
            </w:r>
          </w:p>
        </w:tc>
      </w:tr>
      <w:tr w:rsidR="006C2A50" w:rsidRPr="006C2A50" w14:paraId="76651CE7" w14:textId="77777777" w:rsidTr="00380477">
        <w:trPr>
          <w:trHeight w:val="288"/>
          <w:jc w:val="center"/>
        </w:trPr>
        <w:tc>
          <w:tcPr>
            <w:tcW w:w="985" w:type="dxa"/>
            <w:vAlign w:val="center"/>
            <w:hideMark/>
          </w:tcPr>
          <w:p w14:paraId="3CDBD633"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GO-III</w:t>
            </w:r>
          </w:p>
        </w:tc>
        <w:tc>
          <w:tcPr>
            <w:tcW w:w="2970" w:type="dxa"/>
            <w:vAlign w:val="center"/>
            <w:hideMark/>
          </w:tcPr>
          <w:p w14:paraId="58B54941"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Técnicos</w:t>
            </w:r>
          </w:p>
        </w:tc>
        <w:tc>
          <w:tcPr>
            <w:tcW w:w="180" w:type="dxa"/>
            <w:tcBorders>
              <w:top w:val="nil"/>
              <w:left w:val="single" w:sz="4" w:space="0" w:color="auto"/>
              <w:bottom w:val="single" w:sz="4" w:space="0" w:color="auto"/>
              <w:right w:val="single" w:sz="4" w:space="0" w:color="auto"/>
            </w:tcBorders>
            <w:vAlign w:val="bottom"/>
          </w:tcPr>
          <w:p w14:paraId="3DC81D94"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17</w:t>
            </w:r>
          </w:p>
        </w:tc>
        <w:tc>
          <w:tcPr>
            <w:tcW w:w="1080" w:type="dxa"/>
            <w:tcBorders>
              <w:top w:val="nil"/>
              <w:left w:val="nil"/>
              <w:bottom w:val="single" w:sz="4" w:space="0" w:color="auto"/>
              <w:right w:val="single" w:sz="4" w:space="0" w:color="auto"/>
            </w:tcBorders>
            <w:vAlign w:val="bottom"/>
          </w:tcPr>
          <w:p w14:paraId="41237DDF"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8</w:t>
            </w:r>
          </w:p>
        </w:tc>
        <w:tc>
          <w:tcPr>
            <w:tcW w:w="1080" w:type="dxa"/>
            <w:tcBorders>
              <w:top w:val="nil"/>
              <w:left w:val="single" w:sz="4" w:space="0" w:color="auto"/>
              <w:bottom w:val="single" w:sz="4" w:space="0" w:color="auto"/>
              <w:right w:val="single" w:sz="4" w:space="0" w:color="auto"/>
            </w:tcBorders>
            <w:vAlign w:val="bottom"/>
          </w:tcPr>
          <w:p w14:paraId="09A0BC5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Calibri"/>
                <w:color w:val="000000"/>
                <w:sz w:val="22"/>
                <w:szCs w:val="22"/>
              </w:rPr>
              <w:t>25</w:t>
            </w:r>
          </w:p>
        </w:tc>
      </w:tr>
      <w:tr w:rsidR="006C2A50" w:rsidRPr="006C2A50" w14:paraId="34D7C330" w14:textId="77777777" w:rsidTr="00380477">
        <w:trPr>
          <w:trHeight w:val="288"/>
          <w:jc w:val="center"/>
        </w:trPr>
        <w:tc>
          <w:tcPr>
            <w:tcW w:w="985" w:type="dxa"/>
            <w:vAlign w:val="center"/>
            <w:hideMark/>
          </w:tcPr>
          <w:p w14:paraId="2012D3F0"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GO-IV</w:t>
            </w:r>
          </w:p>
        </w:tc>
        <w:tc>
          <w:tcPr>
            <w:tcW w:w="2970" w:type="dxa"/>
            <w:vAlign w:val="center"/>
            <w:hideMark/>
          </w:tcPr>
          <w:p w14:paraId="0D596825"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Profesionales</w:t>
            </w:r>
          </w:p>
        </w:tc>
        <w:tc>
          <w:tcPr>
            <w:tcW w:w="180" w:type="dxa"/>
            <w:tcBorders>
              <w:top w:val="nil"/>
              <w:left w:val="single" w:sz="4" w:space="0" w:color="auto"/>
              <w:bottom w:val="single" w:sz="4" w:space="0" w:color="auto"/>
              <w:right w:val="single" w:sz="4" w:space="0" w:color="auto"/>
            </w:tcBorders>
            <w:vAlign w:val="bottom"/>
          </w:tcPr>
          <w:p w14:paraId="39FD11A2"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26</w:t>
            </w:r>
          </w:p>
        </w:tc>
        <w:tc>
          <w:tcPr>
            <w:tcW w:w="1080" w:type="dxa"/>
            <w:tcBorders>
              <w:top w:val="nil"/>
              <w:left w:val="nil"/>
              <w:bottom w:val="single" w:sz="4" w:space="0" w:color="auto"/>
              <w:right w:val="single" w:sz="4" w:space="0" w:color="auto"/>
            </w:tcBorders>
            <w:vAlign w:val="bottom"/>
          </w:tcPr>
          <w:p w14:paraId="3C9A448D"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27</w:t>
            </w:r>
          </w:p>
        </w:tc>
        <w:tc>
          <w:tcPr>
            <w:tcW w:w="1080" w:type="dxa"/>
            <w:tcBorders>
              <w:top w:val="nil"/>
              <w:left w:val="single" w:sz="4" w:space="0" w:color="auto"/>
              <w:bottom w:val="single" w:sz="4" w:space="0" w:color="auto"/>
              <w:right w:val="single" w:sz="4" w:space="0" w:color="auto"/>
            </w:tcBorders>
            <w:vAlign w:val="bottom"/>
          </w:tcPr>
          <w:p w14:paraId="0544A0C1"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Calibri"/>
                <w:color w:val="000000"/>
                <w:sz w:val="22"/>
                <w:szCs w:val="22"/>
              </w:rPr>
              <w:t>53</w:t>
            </w:r>
          </w:p>
        </w:tc>
      </w:tr>
      <w:tr w:rsidR="006C2A50" w:rsidRPr="006C2A50" w14:paraId="11E67569" w14:textId="77777777" w:rsidTr="00380477">
        <w:trPr>
          <w:trHeight w:val="288"/>
          <w:jc w:val="center"/>
        </w:trPr>
        <w:tc>
          <w:tcPr>
            <w:tcW w:w="985" w:type="dxa"/>
            <w:vAlign w:val="center"/>
            <w:hideMark/>
          </w:tcPr>
          <w:p w14:paraId="5467CF52"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GO-V</w:t>
            </w:r>
          </w:p>
        </w:tc>
        <w:tc>
          <w:tcPr>
            <w:tcW w:w="2970" w:type="dxa"/>
            <w:vAlign w:val="center"/>
            <w:hideMark/>
          </w:tcPr>
          <w:p w14:paraId="2D895030" w14:textId="77777777" w:rsidR="006C2A50" w:rsidRPr="006C2A50" w:rsidRDefault="006C2A50" w:rsidP="006C2A50">
            <w:pPr>
              <w:spacing w:after="0" w:line="240" w:lineRule="auto"/>
              <w:rPr>
                <w:rFonts w:eastAsia="Times New Roman"/>
                <w:sz w:val="22"/>
                <w:szCs w:val="22"/>
                <w:lang w:val="es-DO" w:eastAsia="es-DO"/>
              </w:rPr>
            </w:pPr>
            <w:r w:rsidRPr="006C2A50">
              <w:rPr>
                <w:rFonts w:eastAsia="Times New Roman"/>
                <w:sz w:val="22"/>
                <w:szCs w:val="22"/>
                <w:lang w:val="es-DO" w:eastAsia="es-DO"/>
              </w:rPr>
              <w:t>Dirección</w:t>
            </w:r>
          </w:p>
        </w:tc>
        <w:tc>
          <w:tcPr>
            <w:tcW w:w="180" w:type="dxa"/>
            <w:tcBorders>
              <w:top w:val="nil"/>
              <w:left w:val="single" w:sz="4" w:space="0" w:color="auto"/>
              <w:bottom w:val="nil"/>
              <w:right w:val="single" w:sz="4" w:space="0" w:color="auto"/>
            </w:tcBorders>
            <w:vAlign w:val="bottom"/>
          </w:tcPr>
          <w:p w14:paraId="07D5FB49"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19</w:t>
            </w:r>
          </w:p>
        </w:tc>
        <w:tc>
          <w:tcPr>
            <w:tcW w:w="1080" w:type="dxa"/>
            <w:tcBorders>
              <w:top w:val="nil"/>
              <w:left w:val="nil"/>
              <w:bottom w:val="nil"/>
              <w:right w:val="single" w:sz="4" w:space="0" w:color="auto"/>
            </w:tcBorders>
            <w:vAlign w:val="bottom"/>
          </w:tcPr>
          <w:p w14:paraId="3715DBB0"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Times New Roman"/>
                <w:sz w:val="22"/>
                <w:szCs w:val="22"/>
                <w:lang w:val="es-DO" w:eastAsia="es-DO"/>
              </w:rPr>
              <w:t>18</w:t>
            </w:r>
          </w:p>
        </w:tc>
        <w:tc>
          <w:tcPr>
            <w:tcW w:w="1080" w:type="dxa"/>
            <w:tcBorders>
              <w:top w:val="nil"/>
              <w:left w:val="single" w:sz="4" w:space="0" w:color="auto"/>
              <w:bottom w:val="single" w:sz="4" w:space="0" w:color="auto"/>
              <w:right w:val="single" w:sz="4" w:space="0" w:color="auto"/>
            </w:tcBorders>
            <w:vAlign w:val="bottom"/>
          </w:tcPr>
          <w:p w14:paraId="5C99C34E" w14:textId="77777777" w:rsidR="006C2A50" w:rsidRPr="006C2A50" w:rsidRDefault="006C2A50" w:rsidP="006C2A50">
            <w:pPr>
              <w:spacing w:after="0" w:line="240" w:lineRule="auto"/>
              <w:jc w:val="center"/>
              <w:rPr>
                <w:rFonts w:eastAsia="Times New Roman"/>
                <w:sz w:val="22"/>
                <w:szCs w:val="22"/>
                <w:lang w:val="es-DO" w:eastAsia="es-DO"/>
              </w:rPr>
            </w:pPr>
            <w:r w:rsidRPr="006C2A50">
              <w:rPr>
                <w:rFonts w:eastAsia="Calibri"/>
                <w:color w:val="000000"/>
                <w:sz w:val="22"/>
                <w:szCs w:val="22"/>
              </w:rPr>
              <w:t>37</w:t>
            </w:r>
          </w:p>
        </w:tc>
      </w:tr>
      <w:tr w:rsidR="006C2A50" w:rsidRPr="006C2A50" w14:paraId="74718867" w14:textId="77777777" w:rsidTr="00380477">
        <w:trPr>
          <w:trHeight w:val="288"/>
          <w:jc w:val="center"/>
        </w:trPr>
        <w:tc>
          <w:tcPr>
            <w:tcW w:w="3955" w:type="dxa"/>
            <w:gridSpan w:val="2"/>
            <w:shd w:val="clear" w:color="000000" w:fill="142F62"/>
            <w:vAlign w:val="center"/>
            <w:hideMark/>
          </w:tcPr>
          <w:p w14:paraId="5132EA1A" w14:textId="77777777" w:rsidR="006C2A50" w:rsidRPr="006C2A50" w:rsidRDefault="006C2A50" w:rsidP="006C2A50">
            <w:pPr>
              <w:spacing w:after="0" w:line="240" w:lineRule="auto"/>
              <w:jc w:val="right"/>
              <w:rPr>
                <w:rFonts w:eastAsia="Times New Roman"/>
                <w:b/>
                <w:bCs/>
                <w:color w:val="FFFFFF"/>
                <w:sz w:val="22"/>
                <w:szCs w:val="22"/>
                <w:lang w:val="es-DO" w:eastAsia="es-DO"/>
              </w:rPr>
            </w:pPr>
            <w:r w:rsidRPr="006C2A50">
              <w:rPr>
                <w:rFonts w:eastAsia="Times New Roman"/>
                <w:b/>
                <w:bCs/>
                <w:color w:val="FFFFFF"/>
                <w:sz w:val="22"/>
                <w:szCs w:val="22"/>
                <w:lang w:val="es-DO" w:eastAsia="es-DO"/>
              </w:rPr>
              <w:t>Total</w:t>
            </w:r>
          </w:p>
        </w:tc>
        <w:tc>
          <w:tcPr>
            <w:tcW w:w="180" w:type="dxa"/>
            <w:shd w:val="clear" w:color="000000" w:fill="142F62"/>
            <w:vAlign w:val="center"/>
          </w:tcPr>
          <w:p w14:paraId="294BC0B0"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213</w:t>
            </w:r>
          </w:p>
        </w:tc>
        <w:tc>
          <w:tcPr>
            <w:tcW w:w="1080" w:type="dxa"/>
            <w:shd w:val="clear" w:color="000000" w:fill="142F62"/>
            <w:vAlign w:val="center"/>
          </w:tcPr>
          <w:p w14:paraId="5A2BE03A"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227</w:t>
            </w:r>
          </w:p>
        </w:tc>
        <w:tc>
          <w:tcPr>
            <w:tcW w:w="1080" w:type="dxa"/>
            <w:shd w:val="clear" w:color="000000" w:fill="142F62"/>
            <w:vAlign w:val="center"/>
          </w:tcPr>
          <w:p w14:paraId="6045E510"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440</w:t>
            </w:r>
          </w:p>
        </w:tc>
      </w:tr>
      <w:tr w:rsidR="006C2A50" w:rsidRPr="006C2A50" w14:paraId="1B8B0D3B" w14:textId="77777777" w:rsidTr="00380477">
        <w:trPr>
          <w:trHeight w:val="288"/>
          <w:jc w:val="center"/>
        </w:trPr>
        <w:tc>
          <w:tcPr>
            <w:tcW w:w="3955" w:type="dxa"/>
            <w:gridSpan w:val="2"/>
            <w:shd w:val="clear" w:color="auto" w:fill="142F62"/>
            <w:noWrap/>
            <w:vAlign w:val="center"/>
            <w:hideMark/>
          </w:tcPr>
          <w:p w14:paraId="428ABF58" w14:textId="77777777" w:rsidR="006C2A50" w:rsidRPr="006C2A50" w:rsidRDefault="006C2A50" w:rsidP="006C2A50">
            <w:pPr>
              <w:spacing w:after="0" w:line="240" w:lineRule="auto"/>
              <w:jc w:val="right"/>
              <w:rPr>
                <w:rFonts w:eastAsia="Times New Roman"/>
                <w:b/>
                <w:bCs/>
                <w:color w:val="FFFFFF"/>
                <w:sz w:val="22"/>
                <w:szCs w:val="22"/>
                <w:lang w:val="es-DO" w:eastAsia="es-DO"/>
              </w:rPr>
            </w:pPr>
            <w:r w:rsidRPr="006C2A50">
              <w:rPr>
                <w:rFonts w:eastAsia="Times New Roman"/>
                <w:b/>
                <w:bCs/>
                <w:color w:val="FFFFFF"/>
                <w:sz w:val="22"/>
                <w:szCs w:val="22"/>
                <w:lang w:val="es-DO" w:eastAsia="es-DO"/>
              </w:rPr>
              <w:t>%</w:t>
            </w:r>
          </w:p>
        </w:tc>
        <w:tc>
          <w:tcPr>
            <w:tcW w:w="180" w:type="dxa"/>
            <w:shd w:val="clear" w:color="auto" w:fill="142F62"/>
            <w:noWrap/>
            <w:vAlign w:val="center"/>
            <w:hideMark/>
          </w:tcPr>
          <w:p w14:paraId="5FDB6A69"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48.41%</w:t>
            </w:r>
          </w:p>
        </w:tc>
        <w:tc>
          <w:tcPr>
            <w:tcW w:w="1080" w:type="dxa"/>
            <w:shd w:val="clear" w:color="auto" w:fill="142F62"/>
            <w:noWrap/>
            <w:vAlign w:val="center"/>
            <w:hideMark/>
          </w:tcPr>
          <w:p w14:paraId="7F8E1702"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51.59%</w:t>
            </w:r>
          </w:p>
        </w:tc>
        <w:tc>
          <w:tcPr>
            <w:tcW w:w="1080" w:type="dxa"/>
            <w:shd w:val="clear" w:color="auto" w:fill="142F62"/>
            <w:noWrap/>
            <w:vAlign w:val="center"/>
            <w:hideMark/>
          </w:tcPr>
          <w:p w14:paraId="091591E7" w14:textId="77777777" w:rsidR="006C2A50" w:rsidRPr="006C2A50" w:rsidRDefault="006C2A50" w:rsidP="006C2A50">
            <w:pPr>
              <w:spacing w:after="0" w:line="240" w:lineRule="auto"/>
              <w:jc w:val="center"/>
              <w:rPr>
                <w:rFonts w:eastAsia="Times New Roman"/>
                <w:b/>
                <w:bCs/>
                <w:color w:val="FFFFFF"/>
                <w:sz w:val="22"/>
                <w:szCs w:val="22"/>
                <w:lang w:val="es-DO" w:eastAsia="es-DO"/>
              </w:rPr>
            </w:pPr>
            <w:r w:rsidRPr="006C2A50">
              <w:rPr>
                <w:rFonts w:eastAsia="Times New Roman"/>
                <w:b/>
                <w:bCs/>
                <w:color w:val="FFFFFF"/>
                <w:sz w:val="22"/>
                <w:szCs w:val="22"/>
                <w:lang w:val="es-DO" w:eastAsia="es-DO"/>
              </w:rPr>
              <w:t>100%</w:t>
            </w:r>
          </w:p>
        </w:tc>
      </w:tr>
    </w:tbl>
    <w:p w14:paraId="408760C2" w14:textId="7FE8168D" w:rsidR="006C2A50" w:rsidRPr="00227219" w:rsidRDefault="006C2A50" w:rsidP="006C2A50">
      <w:pPr>
        <w:spacing w:line="360" w:lineRule="auto"/>
        <w:jc w:val="both"/>
        <w:rPr>
          <w:rFonts w:eastAsia="Calibri"/>
          <w:i/>
          <w:iCs/>
          <w:noProof/>
          <w:sz w:val="20"/>
          <w:szCs w:val="20"/>
          <w:lang w:val="es-DO"/>
        </w:rPr>
      </w:pPr>
      <w:r w:rsidRPr="006C2A50">
        <w:rPr>
          <w:rFonts w:eastAsia="Calibri"/>
          <w:noProof/>
          <w:sz w:val="20"/>
          <w:szCs w:val="20"/>
          <w:lang w:val="es-DO"/>
        </w:rPr>
        <w:t xml:space="preserve">           </w:t>
      </w:r>
      <w:r w:rsidRPr="00227219">
        <w:rPr>
          <w:rFonts w:eastAsia="Calibri"/>
          <w:i/>
          <w:iCs/>
          <w:noProof/>
          <w:sz w:val="20"/>
          <w:szCs w:val="20"/>
          <w:lang w:val="es-DO"/>
        </w:rPr>
        <w:t xml:space="preserve">Cuadro </w:t>
      </w:r>
      <w:r w:rsidR="00227219" w:rsidRPr="00227219">
        <w:rPr>
          <w:rFonts w:eastAsia="Calibri"/>
          <w:i/>
          <w:iCs/>
          <w:noProof/>
          <w:sz w:val="20"/>
          <w:szCs w:val="20"/>
          <w:lang w:val="es-DO"/>
        </w:rPr>
        <w:t>20</w:t>
      </w:r>
      <w:r w:rsidR="00DB7323" w:rsidRPr="00227219">
        <w:rPr>
          <w:rFonts w:eastAsia="Calibri"/>
          <w:i/>
          <w:iCs/>
          <w:noProof/>
          <w:sz w:val="20"/>
          <w:szCs w:val="20"/>
          <w:lang w:val="es-DO"/>
        </w:rPr>
        <w:t>.</w:t>
      </w:r>
      <w:r w:rsidRPr="00227219">
        <w:rPr>
          <w:rFonts w:eastAsia="Calibri"/>
          <w:i/>
          <w:iCs/>
          <w:noProof/>
          <w:sz w:val="20"/>
          <w:szCs w:val="20"/>
          <w:lang w:val="es-DO"/>
        </w:rPr>
        <w:t xml:space="preserve"> Cantidad de Servidores por sexo a diciembre de 2025</w:t>
      </w:r>
    </w:p>
    <w:p w14:paraId="2497C187" w14:textId="77777777" w:rsidR="006C2A50" w:rsidRPr="006C2A50" w:rsidRDefault="006C2A50" w:rsidP="006C2A50">
      <w:pPr>
        <w:spacing w:line="240" w:lineRule="auto"/>
        <w:jc w:val="center"/>
        <w:rPr>
          <w:rFonts w:eastAsia="Calibri"/>
          <w:noProof/>
          <w:sz w:val="20"/>
          <w:szCs w:val="20"/>
          <w:lang w:val="es-DO"/>
        </w:rPr>
      </w:pPr>
      <w:r w:rsidRPr="006C2A50">
        <w:rPr>
          <w:rFonts w:eastAsia="Calibri"/>
          <w:noProof/>
          <w:highlight w:val="yellow"/>
        </w:rPr>
        <w:lastRenderedPageBreak/>
        <mc:AlternateContent>
          <mc:Choice Requires="wpg">
            <w:drawing>
              <wp:anchor distT="0" distB="0" distL="114300" distR="114300" simplePos="0" relativeHeight="251680768" behindDoc="0" locked="0" layoutInCell="1" allowOverlap="1" wp14:anchorId="5153473D" wp14:editId="51C381CC">
                <wp:simplePos x="0" y="0"/>
                <wp:positionH relativeFrom="margin">
                  <wp:posOffset>1851388</wp:posOffset>
                </wp:positionH>
                <wp:positionV relativeFrom="paragraph">
                  <wp:posOffset>925264</wp:posOffset>
                </wp:positionV>
                <wp:extent cx="1376680" cy="747382"/>
                <wp:effectExtent l="0" t="0" r="0" b="0"/>
                <wp:wrapNone/>
                <wp:docPr id="60" name="Grupo 60"/>
                <wp:cNvGraphicFramePr/>
                <a:graphic xmlns:a="http://schemas.openxmlformats.org/drawingml/2006/main">
                  <a:graphicData uri="http://schemas.microsoft.com/office/word/2010/wordprocessingGroup">
                    <wpg:wgp>
                      <wpg:cNvGrpSpPr/>
                      <wpg:grpSpPr>
                        <a:xfrm>
                          <a:off x="0" y="0"/>
                          <a:ext cx="1376680" cy="747382"/>
                          <a:chOff x="-317532" y="-58738"/>
                          <a:chExt cx="2124722" cy="953691"/>
                        </a:xfrm>
                      </wpg:grpSpPr>
                      <pic:pic xmlns:pic="http://schemas.openxmlformats.org/drawingml/2006/picture">
                        <pic:nvPicPr>
                          <pic:cNvPr id="58" name="Gráfico 3" descr="Mujer contorno">
                            <a:extLst>
                              <a:ext uri="{FF2B5EF4-FFF2-40B4-BE49-F238E27FC236}">
                                <a16:creationId xmlns:a16="http://schemas.microsoft.com/office/drawing/2014/main" id="{BF77D5AC-B5B8-4742-876D-652019E0AED9}"/>
                              </a:ext>
                            </a:extLst>
                          </pic:cNvPr>
                          <pic:cNvPicPr>
                            <a:picLocks noChangeAspect="1"/>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317532" y="-19447"/>
                            <a:ext cx="914400" cy="914400"/>
                          </a:xfrm>
                          <a:prstGeom prst="rect">
                            <a:avLst/>
                          </a:prstGeom>
                        </pic:spPr>
                      </pic:pic>
                      <pic:pic xmlns:pic="http://schemas.openxmlformats.org/drawingml/2006/picture">
                        <pic:nvPicPr>
                          <pic:cNvPr id="59" name="Gráfico 4" descr="Hombre contorno">
                            <a:extLst>
                              <a:ext uri="{FF2B5EF4-FFF2-40B4-BE49-F238E27FC236}">
                                <a16:creationId xmlns:a16="http://schemas.microsoft.com/office/drawing/2014/main" id="{663CED0F-C7F0-4FB5-BDDE-4CEC6CBA3DB7}"/>
                              </a:ext>
                            </a:extLst>
                          </pic:cNvPr>
                          <pic:cNvPicPr>
                            <a:picLocks noChangeAspect="1"/>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892790" y="-58738"/>
                            <a:ext cx="914400" cy="914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88CE5E" id="Grupo 60" o:spid="_x0000_s1026" style="position:absolute;margin-left:145.8pt;margin-top:72.85pt;width:108.4pt;height:58.85pt;z-index:251680768;mso-position-horizontal-relative:margin;mso-width-relative:margin;mso-height-relative:margin" coordorigin="-3175,-587" coordsize="21247,953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">
                <v:shape id="Gráfico 3" o:spid="_x0000_s1027" type="#_x0000_t75" alt="Mujer contorno" style="position:absolute;left:-3175;top:-194;width:9143;height:9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">
                  <v:imagedata r:id="rId30" o:title="Mujer contorno"/>
                </v:shape>
                <v:shape id="Gráfico 4" o:spid="_x0000_s1028" type="#_x0000_t75" alt="Hombre contorno" style="position:absolute;left:8927;top:-587;width:9144;height:9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">
                  <v:imagedata r:id="rId31" o:title="Hombre contorno"/>
                </v:shape>
                <w10:wrap anchorx="margin"/>
              </v:group>
            </w:pict>
          </mc:Fallback>
        </mc:AlternateContent>
      </w:r>
      <w:r w:rsidRPr="006C2A50">
        <w:rPr>
          <w:rFonts w:eastAsia="Calibri"/>
          <w:noProof/>
        </w:rPr>
        <w:drawing>
          <wp:inline distT="0" distB="0" distL="0" distR="0" wp14:anchorId="08434BDE" wp14:editId="18C247B0">
            <wp:extent cx="4425696" cy="2779776"/>
            <wp:effectExtent l="0" t="0" r="13335" b="1905"/>
            <wp:docPr id="1429154595" name="Gráfico 1">
              <a:extLst xmlns:a="http://schemas.openxmlformats.org/drawingml/2006/main">
                <a:ext uri="{FF2B5EF4-FFF2-40B4-BE49-F238E27FC236}">
                  <a16:creationId xmlns:a16="http://schemas.microsoft.com/office/drawing/2014/main" id="{B3D24D7C-503A-0122-FE5A-72C3E3A1E4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CE823B8" w14:textId="1D72E03E" w:rsidR="006C2A50" w:rsidRPr="003E0BA3" w:rsidRDefault="006C2A50" w:rsidP="006C2A50">
      <w:pPr>
        <w:spacing w:after="0" w:line="240" w:lineRule="auto"/>
        <w:jc w:val="center"/>
        <w:textAlignment w:val="baseline"/>
        <w:rPr>
          <w:rFonts w:eastAsia="Times New Roman"/>
          <w:i/>
          <w:iCs/>
          <w:spacing w:val="0"/>
          <w:kern w:val="24"/>
          <w:sz w:val="20"/>
          <w:szCs w:val="20"/>
          <w:lang w:val="es-DO"/>
        </w:rPr>
      </w:pPr>
      <w:r w:rsidRPr="006C2A50">
        <w:rPr>
          <w:rFonts w:eastAsia="Calibri"/>
          <w:sz w:val="18"/>
          <w:szCs w:val="18"/>
          <w:lang w:val="es-DO"/>
        </w:rPr>
        <w:t xml:space="preserve">   </w:t>
      </w:r>
      <w:r w:rsidRPr="003E0BA3">
        <w:rPr>
          <w:rFonts w:eastAsia="Calibri"/>
          <w:i/>
          <w:iCs/>
          <w:sz w:val="20"/>
          <w:szCs w:val="20"/>
          <w:lang w:val="es-DO"/>
        </w:rPr>
        <w:t xml:space="preserve">Gráfica </w:t>
      </w:r>
      <w:r w:rsidR="00DB7323" w:rsidRPr="003E0BA3">
        <w:rPr>
          <w:rFonts w:eastAsia="Calibri"/>
          <w:i/>
          <w:iCs/>
          <w:sz w:val="20"/>
          <w:szCs w:val="20"/>
          <w:lang w:val="es-DO"/>
        </w:rPr>
        <w:t>5.</w:t>
      </w:r>
      <w:r w:rsidRPr="003E0BA3">
        <w:rPr>
          <w:rFonts w:eastAsia="Calibri"/>
          <w:i/>
          <w:iCs/>
          <w:sz w:val="20"/>
          <w:szCs w:val="20"/>
          <w:lang w:val="es-DO"/>
        </w:rPr>
        <w:t xml:space="preserve"> Proporción de servidores DGM por sexo a diciembre</w:t>
      </w:r>
      <w:r w:rsidRPr="003E0BA3">
        <w:rPr>
          <w:rFonts w:eastAsia="Times New Roman"/>
          <w:i/>
          <w:iCs/>
          <w:spacing w:val="0"/>
          <w:kern w:val="24"/>
          <w:sz w:val="20"/>
          <w:szCs w:val="20"/>
          <w:lang w:val="es-DO"/>
        </w:rPr>
        <w:t xml:space="preserve"> 2025</w:t>
      </w:r>
    </w:p>
    <w:p w14:paraId="20AF3538" w14:textId="77777777" w:rsidR="006C2A50" w:rsidRPr="006C2A50" w:rsidRDefault="006C2A50" w:rsidP="00427D27">
      <w:pPr>
        <w:spacing w:line="360" w:lineRule="auto"/>
        <w:jc w:val="both"/>
        <w:rPr>
          <w:rFonts w:eastAsia="Calibri"/>
          <w:noProof/>
          <w:sz w:val="20"/>
          <w:szCs w:val="20"/>
          <w:lang w:val="es-DO"/>
        </w:rPr>
      </w:pPr>
    </w:p>
    <w:p w14:paraId="7C99640E" w14:textId="77777777" w:rsidR="006C2A50" w:rsidRPr="006C2A50" w:rsidRDefault="006C2A50" w:rsidP="00427D27">
      <w:pPr>
        <w:spacing w:line="360" w:lineRule="auto"/>
        <w:jc w:val="both"/>
        <w:rPr>
          <w:rFonts w:eastAsia="Calibri"/>
          <w:lang w:val="es-DO"/>
        </w:rPr>
      </w:pPr>
      <w:r w:rsidRPr="006C2A50">
        <w:rPr>
          <w:rFonts w:eastAsia="Calibri"/>
          <w:lang w:val="es-DO"/>
        </w:rPr>
        <w:t>En ese contexto, destacamos que la Dirección General de Museos, en consonancia con las políticas transversales gubernamentales, implementa acciones y políticas de género orientadas a abordar las desigualdades y promover la equidad entre hombres y mujeres, tanto en el ámbito laboral como en los procesos de toma de decisiones.</w:t>
      </w:r>
    </w:p>
    <w:p w14:paraId="23A06E90"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 xml:space="preserve">Estas políticas buscan superar estereotipos de género, eliminar la discriminación y garantizar oportunidades equitativas para todos. Es por ello que actualmente estamos trabajando para realizar un equilibrio entre la cantidad de servidores, hombres y mujeres.  </w:t>
      </w:r>
    </w:p>
    <w:p w14:paraId="5CBE5F5B" w14:textId="77777777" w:rsidR="006C2A50" w:rsidRPr="006C2A50" w:rsidRDefault="006C2A50" w:rsidP="00427D27">
      <w:pPr>
        <w:spacing w:line="360" w:lineRule="auto"/>
        <w:jc w:val="both"/>
        <w:rPr>
          <w:rFonts w:eastAsia="Calibri"/>
          <w:noProof/>
          <w:lang w:val="es-DO"/>
        </w:rPr>
      </w:pPr>
      <w:r w:rsidRPr="006C2A50">
        <w:rPr>
          <w:rFonts w:eastAsia="Calibri"/>
          <w:noProof/>
          <w:lang w:val="es-DO"/>
        </w:rPr>
        <w:t xml:space="preserve">A diciembre de 2025, como se indicó previamente, en la DGM estamos realizando los esfuerzos necesario para equilibrar la proporción hombres/mujeres en los diferentes grupos ocupacionales, como es el caso de los grupos ocupacionales I, II y III en la que se percibe una diferencia un poco significativa como puede observarse en la gráfica siguiente: </w:t>
      </w:r>
    </w:p>
    <w:p w14:paraId="0E5D061F" w14:textId="77777777" w:rsidR="006C2A50" w:rsidRPr="006C2A50" w:rsidRDefault="006C2A50" w:rsidP="003E0BA3">
      <w:pPr>
        <w:jc w:val="center"/>
        <w:rPr>
          <w:rFonts w:eastAsia="Calibri"/>
          <w:highlight w:val="yellow"/>
          <w:lang w:val="es-DO"/>
        </w:rPr>
      </w:pPr>
      <w:r w:rsidRPr="006C2A50">
        <w:rPr>
          <w:rFonts w:eastAsia="Calibri"/>
          <w:noProof/>
        </w:rPr>
        <w:lastRenderedPageBreak/>
        <w:drawing>
          <wp:inline distT="0" distB="0" distL="0" distR="0" wp14:anchorId="7044F2B5" wp14:editId="33DEAB44">
            <wp:extent cx="4675367" cy="2488758"/>
            <wp:effectExtent l="0" t="0" r="11430" b="6985"/>
            <wp:docPr id="1820717102" name="Gráfico 1">
              <a:extLst xmlns:a="http://schemas.openxmlformats.org/drawingml/2006/main">
                <a:ext uri="{FF2B5EF4-FFF2-40B4-BE49-F238E27FC236}">
                  <a16:creationId xmlns:a16="http://schemas.microsoft.com/office/drawing/2014/main" id="{8811838C-CCB0-135D-63C4-7E196E5E1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1C0817F" w14:textId="48C74644" w:rsidR="006C2A50" w:rsidRPr="003E0BA3" w:rsidRDefault="006C2A50" w:rsidP="006C2A50">
      <w:pPr>
        <w:spacing w:line="360" w:lineRule="auto"/>
        <w:jc w:val="both"/>
        <w:rPr>
          <w:rFonts w:eastAsia="Calibri"/>
          <w:i/>
          <w:iCs/>
          <w:noProof/>
          <w:sz w:val="18"/>
          <w:szCs w:val="18"/>
          <w:lang w:val="es-DO"/>
        </w:rPr>
      </w:pPr>
      <w:r w:rsidRPr="003E0BA3">
        <w:rPr>
          <w:rFonts w:eastAsia="Calibri"/>
          <w:i/>
          <w:iCs/>
          <w:noProof/>
          <w:sz w:val="18"/>
          <w:szCs w:val="18"/>
          <w:lang w:val="es-DO"/>
        </w:rPr>
        <w:t xml:space="preserve">Gráfica </w:t>
      </w:r>
      <w:r w:rsidR="00DB7323" w:rsidRPr="003E0BA3">
        <w:rPr>
          <w:rFonts w:eastAsia="Calibri"/>
          <w:i/>
          <w:iCs/>
          <w:noProof/>
          <w:sz w:val="18"/>
          <w:szCs w:val="18"/>
          <w:lang w:val="es-DO"/>
        </w:rPr>
        <w:t>6.</w:t>
      </w:r>
      <w:r w:rsidRPr="003E0BA3">
        <w:rPr>
          <w:rFonts w:eastAsia="Calibri"/>
          <w:i/>
          <w:iCs/>
          <w:noProof/>
          <w:sz w:val="18"/>
          <w:szCs w:val="18"/>
          <w:lang w:val="es-DO"/>
        </w:rPr>
        <w:t xml:space="preserve"> Distribución de los servidores por grupo ocupacional y sexo</w:t>
      </w:r>
    </w:p>
    <w:p w14:paraId="0A39EBED" w14:textId="77777777" w:rsidR="006C2A50" w:rsidRDefault="006C2A50" w:rsidP="00427D27">
      <w:pPr>
        <w:spacing w:line="360" w:lineRule="auto"/>
        <w:jc w:val="both"/>
        <w:rPr>
          <w:rFonts w:eastAsia="Calibri"/>
          <w:noProof/>
          <w:lang w:val="es-DO"/>
        </w:rPr>
      </w:pPr>
      <w:r w:rsidRPr="006C2A50">
        <w:rPr>
          <w:rFonts w:eastAsia="Calibri"/>
          <w:noProof/>
          <w:lang w:val="es-DO"/>
        </w:rPr>
        <w:t xml:space="preserve">En ese contexto, los colaboradores de ambos sexos enfrentan una brecha en las oportunidades de </w:t>
      </w:r>
      <w:r w:rsidRPr="006C2A50">
        <w:rPr>
          <w:rFonts w:eastAsia="Calibri"/>
          <w:noProof/>
          <w:sz w:val="22"/>
          <w:szCs w:val="22"/>
          <w:lang w:val="es-DO"/>
        </w:rPr>
        <w:t>crecimiento</w:t>
      </w:r>
      <w:r w:rsidRPr="006C2A50">
        <w:rPr>
          <w:rFonts w:eastAsia="Calibri"/>
          <w:noProof/>
          <w:lang w:val="es-DO"/>
        </w:rPr>
        <w:t xml:space="preserve"> laboral en los grupos ocupacionales mencionados anteriormente, lo que genera discrepancias en los beneficios percibidos por hombres y mujeres en puestos o cargos similares.</w:t>
      </w:r>
    </w:p>
    <w:p w14:paraId="42E0560A" w14:textId="5104D815" w:rsidR="006C2A50" w:rsidRDefault="006C2A50" w:rsidP="00427D27">
      <w:pPr>
        <w:spacing w:line="360" w:lineRule="auto"/>
        <w:jc w:val="both"/>
        <w:rPr>
          <w:rFonts w:eastAsia="Calibri"/>
          <w:noProof/>
          <w:lang w:val="es-DO"/>
        </w:rPr>
      </w:pPr>
      <w:r w:rsidRPr="006C2A50">
        <w:rPr>
          <w:rFonts w:eastAsia="Calibri"/>
          <w:noProof/>
          <w:lang w:val="es-DO"/>
        </w:rPr>
        <w:t>Durante el período enero-diciembre de 2025, el 57.11% del personal capacitado correspondió a mujeres, para un total de 277 colaboradoras; mientras que el 42.89% fueron hombres, equivalente a 208 colaboradores capacitados.</w:t>
      </w:r>
    </w:p>
    <w:p w14:paraId="561405BA" w14:textId="41E2772B" w:rsidR="00427D27" w:rsidRDefault="00427D27" w:rsidP="00427D27">
      <w:pPr>
        <w:spacing w:line="360" w:lineRule="auto"/>
        <w:jc w:val="both"/>
        <w:rPr>
          <w:rFonts w:eastAsia="Calibri"/>
          <w:noProof/>
          <w:lang w:val="es-DO"/>
        </w:rPr>
      </w:pPr>
      <w:r w:rsidRPr="006C2A50">
        <w:rPr>
          <w:rFonts w:eastAsia="Calibri"/>
          <w:noProof/>
          <w:lang w:val="es-DO"/>
        </w:rPr>
        <w:drawing>
          <wp:anchor distT="0" distB="0" distL="114300" distR="114300" simplePos="0" relativeHeight="251676672" behindDoc="0" locked="0" layoutInCell="1" allowOverlap="1" wp14:anchorId="05F31742" wp14:editId="3217209F">
            <wp:simplePos x="0" y="0"/>
            <wp:positionH relativeFrom="margin">
              <wp:posOffset>647700</wp:posOffset>
            </wp:positionH>
            <wp:positionV relativeFrom="paragraph">
              <wp:posOffset>552</wp:posOffset>
            </wp:positionV>
            <wp:extent cx="3716020" cy="2164080"/>
            <wp:effectExtent l="0" t="0" r="17780" b="7620"/>
            <wp:wrapSquare wrapText="bothSides"/>
            <wp:docPr id="1396588032" name="Gráfico 1396588032">
              <a:extLst xmlns:a="http://schemas.openxmlformats.org/drawingml/2006/main">
                <a:ext uri="{FF2B5EF4-FFF2-40B4-BE49-F238E27FC236}">
                  <a16:creationId xmlns:a16="http://schemas.microsoft.com/office/drawing/2014/main" id="{FF6295CE-BC87-4CB2-BB1D-E2E5664CE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7AF005C9" w14:textId="77777777" w:rsidR="00427D27" w:rsidRDefault="00427D27" w:rsidP="00427D27">
      <w:pPr>
        <w:spacing w:line="360" w:lineRule="auto"/>
        <w:jc w:val="both"/>
        <w:rPr>
          <w:rFonts w:eastAsia="Calibri"/>
          <w:noProof/>
          <w:lang w:val="es-DO"/>
        </w:rPr>
      </w:pPr>
    </w:p>
    <w:p w14:paraId="107C651F" w14:textId="4C6DE0EB" w:rsidR="00E413CE" w:rsidRPr="006C2A50" w:rsidRDefault="00ED3FEF" w:rsidP="006C2A50">
      <w:pPr>
        <w:spacing w:line="360" w:lineRule="auto"/>
        <w:jc w:val="both"/>
        <w:rPr>
          <w:rFonts w:eastAsia="Calibri"/>
          <w:noProof/>
          <w:lang w:val="es-DO"/>
        </w:rPr>
      </w:pPr>
      <w:r w:rsidRPr="006C2A50">
        <w:rPr>
          <w:rFonts w:eastAsia="Calibri"/>
          <w:noProof/>
          <w:highlight w:val="yellow"/>
          <w:lang w:val="es-DO"/>
        </w:rPr>
        <w:drawing>
          <wp:anchor distT="0" distB="0" distL="114300" distR="114300" simplePos="0" relativeHeight="251681792" behindDoc="0" locked="0" layoutInCell="1" allowOverlap="1" wp14:anchorId="1B472A49" wp14:editId="04B36D14">
            <wp:simplePos x="0" y="0"/>
            <wp:positionH relativeFrom="column">
              <wp:posOffset>3426819</wp:posOffset>
            </wp:positionH>
            <wp:positionV relativeFrom="paragraph">
              <wp:posOffset>10160</wp:posOffset>
            </wp:positionV>
            <wp:extent cx="342900" cy="342900"/>
            <wp:effectExtent l="0" t="0" r="0" b="0"/>
            <wp:wrapNone/>
            <wp:docPr id="1448490352" name="Gráfico 1448490352" descr="Perfil de hombr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88036" name="Gráfico 1396588036" descr="Perfil de hombre con relleno sólido"/>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Pr="006C2A50">
        <w:rPr>
          <w:rFonts w:eastAsia="Calibri"/>
          <w:noProof/>
          <w:highlight w:val="yellow"/>
          <w:lang w:val="es-DO"/>
        </w:rPr>
        <w:drawing>
          <wp:anchor distT="0" distB="0" distL="114300" distR="114300" simplePos="0" relativeHeight="251682816" behindDoc="0" locked="0" layoutInCell="1" allowOverlap="1" wp14:anchorId="4446E67C" wp14:editId="0697F525">
            <wp:simplePos x="0" y="0"/>
            <wp:positionH relativeFrom="column">
              <wp:posOffset>1379882</wp:posOffset>
            </wp:positionH>
            <wp:positionV relativeFrom="paragraph">
              <wp:posOffset>11098</wp:posOffset>
            </wp:positionV>
            <wp:extent cx="330200" cy="330200"/>
            <wp:effectExtent l="0" t="0" r="0" b="0"/>
            <wp:wrapNone/>
            <wp:docPr id="197362037" name="Gráfico 197362037" descr="Perfil de mujer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88034" name="Gráfico 1396588034" descr="Perfil de mujer con relleno sólido"/>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330200" cy="330200"/>
                    </a:xfrm>
                    <a:prstGeom prst="rect">
                      <a:avLst/>
                    </a:prstGeom>
                  </pic:spPr>
                </pic:pic>
              </a:graphicData>
            </a:graphic>
            <wp14:sizeRelH relativeFrom="margin">
              <wp14:pctWidth>0</wp14:pctWidth>
            </wp14:sizeRelH>
            <wp14:sizeRelV relativeFrom="margin">
              <wp14:pctHeight>0</wp14:pctHeight>
            </wp14:sizeRelV>
          </wp:anchor>
        </w:drawing>
      </w:r>
    </w:p>
    <w:p w14:paraId="33519C91" w14:textId="30D2EC0E" w:rsidR="006C2A50" w:rsidRPr="006C2A50" w:rsidRDefault="006C2A50" w:rsidP="006C2A50">
      <w:pPr>
        <w:spacing w:line="360" w:lineRule="auto"/>
        <w:jc w:val="both"/>
        <w:rPr>
          <w:rFonts w:eastAsia="Calibri"/>
          <w:noProof/>
          <w:lang w:val="es-DO"/>
        </w:rPr>
      </w:pPr>
    </w:p>
    <w:p w14:paraId="5CF045D5" w14:textId="3D6E52DE" w:rsidR="006C2A50" w:rsidRPr="006C2A50" w:rsidRDefault="006C2A50" w:rsidP="006C2A50">
      <w:pPr>
        <w:spacing w:line="360" w:lineRule="auto"/>
        <w:jc w:val="both"/>
        <w:rPr>
          <w:rFonts w:eastAsia="Calibri"/>
          <w:noProof/>
          <w:lang w:val="es-DO"/>
        </w:rPr>
      </w:pPr>
    </w:p>
    <w:p w14:paraId="08B3F072" w14:textId="77777777" w:rsidR="006C2A50" w:rsidRDefault="006C2A50" w:rsidP="006C2A50">
      <w:pPr>
        <w:spacing w:line="360" w:lineRule="auto"/>
        <w:jc w:val="both"/>
        <w:rPr>
          <w:rFonts w:eastAsia="Calibri"/>
          <w:noProof/>
          <w:highlight w:val="yellow"/>
          <w:lang w:val="es-DO"/>
        </w:rPr>
      </w:pPr>
    </w:p>
    <w:p w14:paraId="095D6154" w14:textId="3F01D6F7" w:rsidR="00913C07" w:rsidRDefault="00913C07" w:rsidP="00913C07">
      <w:pPr>
        <w:spacing w:after="0" w:line="240" w:lineRule="auto"/>
        <w:jc w:val="center"/>
        <w:rPr>
          <w:rFonts w:eastAsia="Calibri"/>
          <w:i/>
          <w:iCs/>
          <w:noProof/>
          <w:sz w:val="18"/>
          <w:szCs w:val="18"/>
          <w:lang w:val="es-DO"/>
        </w:rPr>
      </w:pPr>
      <w:r w:rsidRPr="00913C07">
        <w:rPr>
          <w:rFonts w:eastAsia="Calibri"/>
          <w:i/>
          <w:iCs/>
          <w:noProof/>
          <w:sz w:val="18"/>
          <w:szCs w:val="18"/>
          <w:lang w:val="es-DO"/>
        </w:rPr>
        <w:t xml:space="preserve">Gráfica </w:t>
      </w:r>
      <w:r>
        <w:rPr>
          <w:rFonts w:eastAsia="Calibri"/>
          <w:i/>
          <w:iCs/>
          <w:noProof/>
          <w:sz w:val="18"/>
          <w:szCs w:val="18"/>
          <w:lang w:val="es-DO"/>
        </w:rPr>
        <w:t>7</w:t>
      </w:r>
      <w:r w:rsidRPr="00913C07">
        <w:rPr>
          <w:rFonts w:eastAsia="Calibri"/>
          <w:i/>
          <w:iCs/>
          <w:noProof/>
          <w:sz w:val="18"/>
          <w:szCs w:val="18"/>
          <w:lang w:val="es-DO"/>
        </w:rPr>
        <w:t>. Distribución de los servidores capacitados por sexo</w:t>
      </w:r>
    </w:p>
    <w:p w14:paraId="613F990F" w14:textId="77777777" w:rsidR="00ED3FEF" w:rsidRPr="00913C07" w:rsidRDefault="00ED3FEF" w:rsidP="00913C07">
      <w:pPr>
        <w:spacing w:after="0" w:line="240" w:lineRule="auto"/>
        <w:jc w:val="center"/>
        <w:rPr>
          <w:rFonts w:eastAsia="Calibri"/>
          <w:i/>
          <w:iCs/>
          <w:noProof/>
          <w:sz w:val="18"/>
          <w:szCs w:val="18"/>
          <w:lang w:val="es-DO"/>
        </w:rPr>
      </w:pPr>
    </w:p>
    <w:p w14:paraId="7C062F24" w14:textId="77777777" w:rsidR="00DB7323" w:rsidRPr="006C2A50" w:rsidRDefault="00DB7323" w:rsidP="006C2A50">
      <w:pPr>
        <w:spacing w:after="0" w:line="240" w:lineRule="auto"/>
        <w:jc w:val="center"/>
        <w:rPr>
          <w:rFonts w:eastAsia="Calibri"/>
          <w:noProof/>
          <w:sz w:val="18"/>
          <w:szCs w:val="18"/>
          <w:lang w:val="es-DO"/>
        </w:rPr>
      </w:pPr>
    </w:p>
    <w:p w14:paraId="583379FA" w14:textId="77777777" w:rsidR="006C2A50" w:rsidRPr="006C2A50" w:rsidRDefault="006C2A50" w:rsidP="006C2A50">
      <w:pPr>
        <w:spacing w:after="0" w:line="360" w:lineRule="auto"/>
        <w:jc w:val="both"/>
        <w:rPr>
          <w:rFonts w:eastAsia="Calibri"/>
          <w:b/>
          <w:bCs/>
          <w:sz w:val="28"/>
          <w:szCs w:val="28"/>
          <w:lang w:val="es-DO"/>
        </w:rPr>
      </w:pPr>
      <w:r w:rsidRPr="006C2A50">
        <w:rPr>
          <w:rFonts w:eastAsia="Calibri"/>
          <w:b/>
          <w:bCs/>
          <w:sz w:val="28"/>
          <w:szCs w:val="28"/>
          <w:lang w:val="es-DO"/>
        </w:rPr>
        <w:lastRenderedPageBreak/>
        <w:t>4.3 Desempeño de los Procesos Jurídicos  </w:t>
      </w:r>
    </w:p>
    <w:p w14:paraId="49DB4A74"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La División Jurídica de la Dirección General de Museos juega un papel fundamental al proporcionar un marco legal que protege tanto los intereses de los museos bajo su administración, así como los del público en general y los artistas. </w:t>
      </w:r>
    </w:p>
    <w:p w14:paraId="7CC42DC9" w14:textId="77777777" w:rsidR="006C2A50" w:rsidRPr="006C2A50" w:rsidRDefault="006C2A50" w:rsidP="00ED3FEF">
      <w:pPr>
        <w:spacing w:line="360" w:lineRule="auto"/>
        <w:jc w:val="both"/>
        <w:rPr>
          <w:rFonts w:eastAsia="Calibri"/>
          <w:lang w:val="es-DO"/>
        </w:rPr>
      </w:pPr>
      <w:r w:rsidRPr="006C2A50">
        <w:rPr>
          <w:rFonts w:eastAsia="Calibri"/>
          <w:lang w:val="es-DO"/>
        </w:rPr>
        <w:t>Al garantizar el cumplimiento de las legislaciones nacionales e internacionales aplicables, esta división ayuda a preservar y promover el patrimonio cultural de manera ética y sostenible.</w:t>
      </w:r>
    </w:p>
    <w:p w14:paraId="0D1D7C92" w14:textId="77777777" w:rsidR="006C2A50" w:rsidRPr="006C2A50" w:rsidRDefault="006C2A50" w:rsidP="00ED3FEF">
      <w:pPr>
        <w:spacing w:line="360" w:lineRule="auto"/>
        <w:jc w:val="both"/>
        <w:rPr>
          <w:rFonts w:eastAsia="Calibri"/>
          <w:lang w:val="es-DO"/>
        </w:rPr>
      </w:pPr>
      <w:r w:rsidRPr="006C2A50">
        <w:rPr>
          <w:rFonts w:eastAsia="Calibri"/>
          <w:lang w:val="es-DO"/>
        </w:rPr>
        <w:t>A continuación, se detallan algunas de las principales acciones lidereadas por esta área transversal.</w:t>
      </w:r>
    </w:p>
    <w:p w14:paraId="3F40ACF4"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Asesoramiento a la máxima autoridad en los asuntos administrativos, civiles, penales y laborales, así como a los distintos departamentos de la institución, como sus dependencias con estricto cumplimiento a las normas y procedimientos establecidos. </w:t>
      </w:r>
    </w:p>
    <w:p w14:paraId="2F37E429" w14:textId="77777777" w:rsidR="006C2A50" w:rsidRPr="006C2A50" w:rsidRDefault="006C2A50" w:rsidP="00ED3FEF">
      <w:pPr>
        <w:spacing w:line="360" w:lineRule="auto"/>
        <w:jc w:val="both"/>
        <w:rPr>
          <w:rFonts w:eastAsia="Calibri"/>
          <w:lang w:val="es-DO"/>
        </w:rPr>
      </w:pPr>
      <w:r w:rsidRPr="006C2A50">
        <w:rPr>
          <w:rFonts w:eastAsia="Calibri"/>
          <w:lang w:val="es-DO"/>
        </w:rPr>
        <w:t>Redacción de resoluciones administrativas, actas, opiniones legales, anteproyectos y proyectos de ley, acuerdos interinstitucionales de colaboración, nacionales e internacionales.</w:t>
      </w:r>
    </w:p>
    <w:p w14:paraId="0E38B25E" w14:textId="77777777" w:rsidR="006C2A50" w:rsidRPr="006C2A50" w:rsidRDefault="006C2A50" w:rsidP="00ED3FEF">
      <w:pPr>
        <w:spacing w:line="360" w:lineRule="auto"/>
        <w:jc w:val="both"/>
        <w:rPr>
          <w:rFonts w:eastAsia="Calibri"/>
          <w:lang w:val="es-DO"/>
        </w:rPr>
      </w:pPr>
      <w:r w:rsidRPr="006C2A50">
        <w:rPr>
          <w:rFonts w:eastAsia="Calibri"/>
          <w:lang w:val="es-DO"/>
        </w:rPr>
        <w:t>Elaboración de actas y resoluciones del Comité de Compra y Contrataciones de la Institución.</w:t>
      </w:r>
    </w:p>
    <w:p w14:paraId="301F7FD7"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Redacción de contratos resultados de los procesos de compras y contrataciones; así como los de prestación de servicios por alquileres de espacios a terceros y los acuerdos interinstitucionales nacionales e internacionales. </w:t>
      </w:r>
    </w:p>
    <w:p w14:paraId="43781DB8" w14:textId="77777777" w:rsidR="006C2A50" w:rsidRDefault="006C2A50" w:rsidP="00ED3FEF">
      <w:pPr>
        <w:spacing w:line="360" w:lineRule="auto"/>
        <w:jc w:val="both"/>
        <w:rPr>
          <w:rFonts w:eastAsia="Calibri"/>
          <w:lang w:val="es-DO"/>
        </w:rPr>
      </w:pPr>
      <w:r w:rsidRPr="006C2A50">
        <w:rPr>
          <w:rFonts w:eastAsia="Calibri"/>
          <w:lang w:val="es-DO"/>
        </w:rPr>
        <w:t>Durante el periodo enero – diciembre 2025, la División Jurídica de la DGM elaboró un total de 72 documentos, conforme se muestra en el cuadro siguiente.</w:t>
      </w:r>
    </w:p>
    <w:p w14:paraId="2B2BC73C" w14:textId="77777777" w:rsidR="00D52943" w:rsidRPr="006C2A50" w:rsidRDefault="00D52943" w:rsidP="00ED3FEF">
      <w:pPr>
        <w:spacing w:line="360" w:lineRule="auto"/>
        <w:jc w:val="both"/>
        <w:rPr>
          <w:rFonts w:eastAsia="Calibri"/>
          <w:lang w:val="es-DO"/>
        </w:rPr>
      </w:pPr>
    </w:p>
    <w:tbl>
      <w:tblPr>
        <w:tblW w:w="7652" w:type="dxa"/>
        <w:jc w:val="center"/>
        <w:tblBorders>
          <w:top w:val="single" w:sz="2" w:space="0" w:color="auto"/>
          <w:left w:val="single" w:sz="8"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52"/>
        <w:gridCol w:w="1177"/>
        <w:gridCol w:w="1523"/>
      </w:tblGrid>
      <w:tr w:rsidR="006C2A50" w:rsidRPr="006C2A50" w14:paraId="4B7415F0" w14:textId="77777777" w:rsidTr="00913C07">
        <w:trPr>
          <w:trHeight w:val="465"/>
          <w:jc w:val="center"/>
        </w:trPr>
        <w:tc>
          <w:tcPr>
            <w:tcW w:w="4952" w:type="dxa"/>
            <w:shd w:val="clear" w:color="000000" w:fill="142F62"/>
            <w:vAlign w:val="center"/>
          </w:tcPr>
          <w:p w14:paraId="3F968EC7" w14:textId="77777777" w:rsidR="006C2A50" w:rsidRPr="006C2A50" w:rsidRDefault="006C2A50" w:rsidP="006C2A50">
            <w:pPr>
              <w:spacing w:after="0" w:line="240" w:lineRule="auto"/>
              <w:jc w:val="both"/>
              <w:rPr>
                <w:rFonts w:eastAsia="Times New Roman"/>
                <w:b/>
                <w:bCs/>
                <w:color w:val="FFFFFF"/>
                <w:spacing w:val="0"/>
              </w:rPr>
            </w:pPr>
            <w:r w:rsidRPr="006C2A50">
              <w:rPr>
                <w:rFonts w:eastAsia="Times New Roman"/>
                <w:b/>
                <w:bCs/>
                <w:color w:val="FFFFFF"/>
                <w:spacing w:val="0"/>
                <w:lang w:val="es-DO"/>
              </w:rPr>
              <w:lastRenderedPageBreak/>
              <w:t>Tipo de Documento</w:t>
            </w:r>
          </w:p>
        </w:tc>
        <w:tc>
          <w:tcPr>
            <w:tcW w:w="1177" w:type="dxa"/>
            <w:shd w:val="clear" w:color="000000" w:fill="142F62"/>
            <w:vAlign w:val="center"/>
          </w:tcPr>
          <w:p w14:paraId="0DF0358C" w14:textId="77777777" w:rsidR="006C2A50" w:rsidRPr="006C2A50" w:rsidRDefault="006C2A50" w:rsidP="006C2A50">
            <w:pPr>
              <w:spacing w:after="0" w:line="240" w:lineRule="auto"/>
              <w:jc w:val="center"/>
              <w:rPr>
                <w:rFonts w:eastAsia="Times New Roman"/>
                <w:b/>
                <w:bCs/>
                <w:color w:val="FFFFFF"/>
                <w:spacing w:val="0"/>
              </w:rPr>
            </w:pPr>
            <w:r w:rsidRPr="006C2A50">
              <w:rPr>
                <w:rFonts w:eastAsia="Times New Roman"/>
                <w:b/>
                <w:bCs/>
                <w:color w:val="FFFFFF"/>
                <w:spacing w:val="0"/>
                <w:lang w:val="es-DO"/>
              </w:rPr>
              <w:t>Cantidad</w:t>
            </w:r>
          </w:p>
        </w:tc>
        <w:tc>
          <w:tcPr>
            <w:tcW w:w="1523" w:type="dxa"/>
            <w:shd w:val="clear" w:color="000000" w:fill="142F62"/>
            <w:vAlign w:val="center"/>
          </w:tcPr>
          <w:p w14:paraId="5342F9C0" w14:textId="77777777" w:rsidR="006C2A50" w:rsidRPr="006C2A50" w:rsidRDefault="006C2A50" w:rsidP="006C2A50">
            <w:pPr>
              <w:spacing w:after="0" w:line="240" w:lineRule="auto"/>
              <w:jc w:val="center"/>
              <w:rPr>
                <w:rFonts w:eastAsia="Times New Roman"/>
                <w:b/>
                <w:bCs/>
                <w:color w:val="FFFFFF"/>
                <w:spacing w:val="0"/>
              </w:rPr>
            </w:pPr>
            <w:r w:rsidRPr="006C2A50">
              <w:rPr>
                <w:rFonts w:eastAsia="Times New Roman"/>
                <w:b/>
                <w:bCs/>
                <w:color w:val="FFFFFF"/>
                <w:spacing w:val="0"/>
                <w:lang w:val="es-DO"/>
              </w:rPr>
              <w:t>%</w:t>
            </w:r>
          </w:p>
        </w:tc>
      </w:tr>
      <w:tr w:rsidR="006C2A50" w:rsidRPr="006C2A50" w14:paraId="6C11039D" w14:textId="77777777" w:rsidTr="00913C07">
        <w:trPr>
          <w:trHeight w:val="342"/>
          <w:jc w:val="center"/>
        </w:trPr>
        <w:tc>
          <w:tcPr>
            <w:tcW w:w="4952" w:type="dxa"/>
            <w:vAlign w:val="center"/>
          </w:tcPr>
          <w:p w14:paraId="3F7A7433" w14:textId="77777777" w:rsidR="006C2A50" w:rsidRPr="006C2A50" w:rsidRDefault="006C2A50" w:rsidP="006C2A50">
            <w:pPr>
              <w:spacing w:after="0" w:line="240" w:lineRule="auto"/>
              <w:rPr>
                <w:rFonts w:eastAsia="Times New Roman"/>
                <w:spacing w:val="0"/>
                <w:sz w:val="22"/>
                <w:szCs w:val="22"/>
              </w:rPr>
            </w:pPr>
            <w:r w:rsidRPr="006C2A50">
              <w:rPr>
                <w:rFonts w:eastAsia="Times New Roman"/>
                <w:spacing w:val="0"/>
                <w:sz w:val="22"/>
                <w:szCs w:val="22"/>
                <w:lang w:val="es-DO"/>
              </w:rPr>
              <w:t>Acuerdo interinstitucional</w:t>
            </w:r>
          </w:p>
        </w:tc>
        <w:tc>
          <w:tcPr>
            <w:tcW w:w="1177" w:type="dxa"/>
            <w:noWrap/>
            <w:vAlign w:val="center"/>
          </w:tcPr>
          <w:p w14:paraId="57C8A477"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11</w:t>
            </w:r>
          </w:p>
        </w:tc>
        <w:tc>
          <w:tcPr>
            <w:tcW w:w="1523" w:type="dxa"/>
            <w:noWrap/>
            <w:vAlign w:val="center"/>
          </w:tcPr>
          <w:p w14:paraId="475A3E33"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15.28%</w:t>
            </w:r>
          </w:p>
        </w:tc>
      </w:tr>
      <w:tr w:rsidR="006C2A50" w:rsidRPr="006C2A50" w14:paraId="7B7247BF" w14:textId="77777777" w:rsidTr="00913C07">
        <w:trPr>
          <w:trHeight w:val="439"/>
          <w:jc w:val="center"/>
        </w:trPr>
        <w:tc>
          <w:tcPr>
            <w:tcW w:w="4952" w:type="dxa"/>
            <w:vAlign w:val="center"/>
          </w:tcPr>
          <w:p w14:paraId="63C49D1D" w14:textId="77777777" w:rsidR="006C2A50" w:rsidRPr="006C2A50" w:rsidRDefault="006C2A50" w:rsidP="006C2A50">
            <w:pPr>
              <w:spacing w:after="0" w:line="240" w:lineRule="auto"/>
              <w:rPr>
                <w:rFonts w:eastAsia="Times New Roman"/>
                <w:spacing w:val="0"/>
                <w:sz w:val="22"/>
                <w:szCs w:val="22"/>
                <w:lang w:val="es-DO"/>
              </w:rPr>
            </w:pPr>
            <w:r w:rsidRPr="006C2A50">
              <w:rPr>
                <w:rFonts w:eastAsia="Times New Roman"/>
                <w:spacing w:val="0"/>
                <w:sz w:val="22"/>
                <w:szCs w:val="22"/>
                <w:lang w:val="es-DO"/>
              </w:rPr>
              <w:t>Acuerdo de colaboración uso espacio objetivo misional en museos </w:t>
            </w:r>
          </w:p>
        </w:tc>
        <w:tc>
          <w:tcPr>
            <w:tcW w:w="1177" w:type="dxa"/>
            <w:noWrap/>
            <w:vAlign w:val="center"/>
          </w:tcPr>
          <w:p w14:paraId="08CC3DC7"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10</w:t>
            </w:r>
          </w:p>
        </w:tc>
        <w:tc>
          <w:tcPr>
            <w:tcW w:w="1523" w:type="dxa"/>
            <w:noWrap/>
            <w:vAlign w:val="center"/>
          </w:tcPr>
          <w:p w14:paraId="1E6A9F69"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13.89%</w:t>
            </w:r>
          </w:p>
        </w:tc>
      </w:tr>
      <w:tr w:rsidR="006C2A50" w:rsidRPr="006C2A50" w14:paraId="337AD9B7" w14:textId="77777777" w:rsidTr="00913C07">
        <w:trPr>
          <w:trHeight w:val="439"/>
          <w:jc w:val="center"/>
        </w:trPr>
        <w:tc>
          <w:tcPr>
            <w:tcW w:w="4952" w:type="dxa"/>
            <w:vAlign w:val="center"/>
          </w:tcPr>
          <w:p w14:paraId="6A376AF6" w14:textId="77777777" w:rsidR="006C2A50" w:rsidRPr="006C2A50" w:rsidRDefault="006C2A50" w:rsidP="006C2A50">
            <w:pPr>
              <w:spacing w:after="0" w:line="240" w:lineRule="auto"/>
              <w:rPr>
                <w:rFonts w:eastAsia="Times New Roman"/>
                <w:spacing w:val="0"/>
                <w:sz w:val="22"/>
                <w:szCs w:val="22"/>
                <w:lang w:val="es-DO"/>
              </w:rPr>
            </w:pPr>
            <w:r w:rsidRPr="006C2A50">
              <w:rPr>
                <w:rFonts w:eastAsia="Times New Roman"/>
                <w:spacing w:val="0"/>
                <w:sz w:val="22"/>
                <w:szCs w:val="22"/>
                <w:lang w:val="es-DO"/>
              </w:rPr>
              <w:t>Donaciones, transferencias y actas movimientos de colecciones</w:t>
            </w:r>
          </w:p>
        </w:tc>
        <w:tc>
          <w:tcPr>
            <w:tcW w:w="1177" w:type="dxa"/>
            <w:noWrap/>
            <w:vAlign w:val="center"/>
          </w:tcPr>
          <w:p w14:paraId="6B0F53E1"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8</w:t>
            </w:r>
          </w:p>
        </w:tc>
        <w:tc>
          <w:tcPr>
            <w:tcW w:w="1523" w:type="dxa"/>
            <w:noWrap/>
            <w:vAlign w:val="center"/>
          </w:tcPr>
          <w:p w14:paraId="4611C9E3"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11.11%</w:t>
            </w:r>
          </w:p>
        </w:tc>
      </w:tr>
      <w:tr w:rsidR="006C2A50" w:rsidRPr="006C2A50" w14:paraId="29709426" w14:textId="77777777" w:rsidTr="00913C07">
        <w:trPr>
          <w:trHeight w:val="315"/>
          <w:jc w:val="center"/>
        </w:trPr>
        <w:tc>
          <w:tcPr>
            <w:tcW w:w="4952" w:type="dxa"/>
            <w:vAlign w:val="center"/>
          </w:tcPr>
          <w:p w14:paraId="0AFF0991" w14:textId="77777777" w:rsidR="006C2A50" w:rsidRPr="006C2A50" w:rsidRDefault="006C2A50" w:rsidP="006C2A50">
            <w:pPr>
              <w:spacing w:after="0" w:line="240" w:lineRule="auto"/>
              <w:rPr>
                <w:rFonts w:eastAsia="Times New Roman"/>
                <w:spacing w:val="0"/>
                <w:sz w:val="22"/>
                <w:szCs w:val="22"/>
              </w:rPr>
            </w:pPr>
            <w:r w:rsidRPr="006C2A50">
              <w:rPr>
                <w:rFonts w:eastAsia="Times New Roman"/>
                <w:spacing w:val="0"/>
                <w:sz w:val="22"/>
                <w:szCs w:val="22"/>
                <w:lang w:val="es-DO"/>
              </w:rPr>
              <w:t>Certificaciones  </w:t>
            </w:r>
          </w:p>
        </w:tc>
        <w:tc>
          <w:tcPr>
            <w:tcW w:w="1177" w:type="dxa"/>
            <w:noWrap/>
            <w:vAlign w:val="center"/>
          </w:tcPr>
          <w:p w14:paraId="751EA91C"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2</w:t>
            </w:r>
          </w:p>
        </w:tc>
        <w:tc>
          <w:tcPr>
            <w:tcW w:w="1523" w:type="dxa"/>
            <w:noWrap/>
            <w:vAlign w:val="center"/>
          </w:tcPr>
          <w:p w14:paraId="344A822C"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2.78%</w:t>
            </w:r>
          </w:p>
        </w:tc>
      </w:tr>
      <w:tr w:rsidR="006C2A50" w:rsidRPr="006C2A50" w14:paraId="47C8A25B" w14:textId="77777777" w:rsidTr="00913C07">
        <w:trPr>
          <w:trHeight w:val="351"/>
          <w:jc w:val="center"/>
        </w:trPr>
        <w:tc>
          <w:tcPr>
            <w:tcW w:w="4952" w:type="dxa"/>
            <w:vAlign w:val="center"/>
          </w:tcPr>
          <w:p w14:paraId="5EF03831" w14:textId="77777777" w:rsidR="006C2A50" w:rsidRPr="006C2A50" w:rsidRDefault="006C2A50" w:rsidP="006C2A50">
            <w:pPr>
              <w:spacing w:after="0" w:line="240" w:lineRule="auto"/>
              <w:rPr>
                <w:rFonts w:eastAsia="Times New Roman"/>
                <w:spacing w:val="0"/>
                <w:sz w:val="22"/>
                <w:szCs w:val="22"/>
                <w:lang w:val="es-DO"/>
              </w:rPr>
            </w:pPr>
            <w:r w:rsidRPr="006C2A50">
              <w:rPr>
                <w:rFonts w:eastAsia="Times New Roman"/>
                <w:spacing w:val="0"/>
                <w:sz w:val="22"/>
                <w:szCs w:val="22"/>
                <w:lang w:val="es-DO"/>
              </w:rPr>
              <w:t>Contrato de préstamos de colecciones </w:t>
            </w:r>
          </w:p>
        </w:tc>
        <w:tc>
          <w:tcPr>
            <w:tcW w:w="1177" w:type="dxa"/>
            <w:noWrap/>
            <w:vAlign w:val="center"/>
          </w:tcPr>
          <w:p w14:paraId="40A88718"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5</w:t>
            </w:r>
          </w:p>
        </w:tc>
        <w:tc>
          <w:tcPr>
            <w:tcW w:w="1523" w:type="dxa"/>
            <w:noWrap/>
            <w:vAlign w:val="center"/>
          </w:tcPr>
          <w:p w14:paraId="1C536EA6"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6.94%</w:t>
            </w:r>
          </w:p>
        </w:tc>
      </w:tr>
      <w:tr w:rsidR="006C2A50" w:rsidRPr="006C2A50" w14:paraId="459313E1" w14:textId="77777777" w:rsidTr="00B85649">
        <w:trPr>
          <w:trHeight w:val="313"/>
          <w:jc w:val="center"/>
        </w:trPr>
        <w:tc>
          <w:tcPr>
            <w:tcW w:w="4952" w:type="dxa"/>
            <w:vAlign w:val="center"/>
          </w:tcPr>
          <w:p w14:paraId="770964E8" w14:textId="77777777" w:rsidR="006C2A50" w:rsidRPr="006C2A50" w:rsidRDefault="006C2A50" w:rsidP="006C2A50">
            <w:pPr>
              <w:spacing w:after="0" w:line="240" w:lineRule="auto"/>
              <w:rPr>
                <w:rFonts w:eastAsia="Times New Roman"/>
                <w:spacing w:val="0"/>
                <w:sz w:val="22"/>
                <w:szCs w:val="22"/>
                <w:lang w:val="es-DO"/>
              </w:rPr>
            </w:pPr>
            <w:r w:rsidRPr="006C2A50">
              <w:rPr>
                <w:rFonts w:eastAsia="Times New Roman"/>
                <w:spacing w:val="0"/>
                <w:sz w:val="22"/>
                <w:szCs w:val="22"/>
                <w:lang w:val="es-DO"/>
              </w:rPr>
              <w:t>Contrato de ejecución de servicios</w:t>
            </w:r>
          </w:p>
        </w:tc>
        <w:tc>
          <w:tcPr>
            <w:tcW w:w="1177" w:type="dxa"/>
            <w:noWrap/>
            <w:vAlign w:val="center"/>
          </w:tcPr>
          <w:p w14:paraId="3E710F0B"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5</w:t>
            </w:r>
          </w:p>
        </w:tc>
        <w:tc>
          <w:tcPr>
            <w:tcW w:w="1523" w:type="dxa"/>
            <w:noWrap/>
            <w:vAlign w:val="center"/>
          </w:tcPr>
          <w:p w14:paraId="125AEF18"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6.94%</w:t>
            </w:r>
          </w:p>
        </w:tc>
      </w:tr>
      <w:tr w:rsidR="006C2A50" w:rsidRPr="006C2A50" w14:paraId="655EDBCC" w14:textId="77777777" w:rsidTr="00B85649">
        <w:trPr>
          <w:trHeight w:val="290"/>
          <w:jc w:val="center"/>
        </w:trPr>
        <w:tc>
          <w:tcPr>
            <w:tcW w:w="4952" w:type="dxa"/>
            <w:vAlign w:val="center"/>
          </w:tcPr>
          <w:p w14:paraId="366E865D" w14:textId="77777777" w:rsidR="006C2A50" w:rsidRPr="006C2A50" w:rsidRDefault="006C2A50" w:rsidP="006C2A50">
            <w:pPr>
              <w:spacing w:after="0" w:line="240" w:lineRule="auto"/>
              <w:rPr>
                <w:rFonts w:eastAsia="Times New Roman"/>
                <w:spacing w:val="0"/>
                <w:sz w:val="22"/>
                <w:szCs w:val="22"/>
              </w:rPr>
            </w:pPr>
            <w:r w:rsidRPr="006C2A50">
              <w:rPr>
                <w:rFonts w:eastAsia="Times New Roman"/>
                <w:spacing w:val="0"/>
                <w:sz w:val="22"/>
                <w:szCs w:val="22"/>
                <w:lang w:val="es-DO"/>
              </w:rPr>
              <w:t>Actos administrativos y resoluciones</w:t>
            </w:r>
          </w:p>
        </w:tc>
        <w:tc>
          <w:tcPr>
            <w:tcW w:w="1177" w:type="dxa"/>
            <w:noWrap/>
            <w:vAlign w:val="center"/>
          </w:tcPr>
          <w:p w14:paraId="49257FA4"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19</w:t>
            </w:r>
          </w:p>
        </w:tc>
        <w:tc>
          <w:tcPr>
            <w:tcW w:w="1523" w:type="dxa"/>
            <w:noWrap/>
            <w:vAlign w:val="center"/>
          </w:tcPr>
          <w:p w14:paraId="3E9E98F6"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26.39%</w:t>
            </w:r>
          </w:p>
        </w:tc>
      </w:tr>
      <w:tr w:rsidR="006C2A50" w:rsidRPr="006C2A50" w14:paraId="597A1E66" w14:textId="77777777" w:rsidTr="00B85649">
        <w:trPr>
          <w:trHeight w:val="265"/>
          <w:jc w:val="center"/>
        </w:trPr>
        <w:tc>
          <w:tcPr>
            <w:tcW w:w="4952" w:type="dxa"/>
            <w:vAlign w:val="center"/>
          </w:tcPr>
          <w:p w14:paraId="0323176D" w14:textId="77777777" w:rsidR="006C2A50" w:rsidRPr="006C2A50" w:rsidRDefault="006C2A50" w:rsidP="006C2A50">
            <w:pPr>
              <w:spacing w:after="0" w:line="240" w:lineRule="auto"/>
              <w:rPr>
                <w:rFonts w:eastAsia="Times New Roman"/>
                <w:spacing w:val="0"/>
                <w:sz w:val="22"/>
                <w:szCs w:val="22"/>
                <w:lang w:val="es-DO"/>
              </w:rPr>
            </w:pPr>
            <w:r w:rsidRPr="006C2A50">
              <w:rPr>
                <w:rFonts w:eastAsia="Times New Roman"/>
                <w:spacing w:val="0"/>
                <w:sz w:val="22"/>
                <w:szCs w:val="22"/>
                <w:lang w:val="es-DO"/>
              </w:rPr>
              <w:t>Contrato de ejecución de obras bienes y servicios</w:t>
            </w:r>
          </w:p>
        </w:tc>
        <w:tc>
          <w:tcPr>
            <w:tcW w:w="1177" w:type="dxa"/>
            <w:noWrap/>
            <w:vAlign w:val="center"/>
          </w:tcPr>
          <w:p w14:paraId="74465CCD"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2</w:t>
            </w:r>
          </w:p>
        </w:tc>
        <w:tc>
          <w:tcPr>
            <w:tcW w:w="1523" w:type="dxa"/>
            <w:noWrap/>
            <w:vAlign w:val="center"/>
          </w:tcPr>
          <w:p w14:paraId="4A632B1F"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2.78%</w:t>
            </w:r>
          </w:p>
        </w:tc>
      </w:tr>
      <w:tr w:rsidR="006C2A50" w:rsidRPr="006C2A50" w14:paraId="29E6B567" w14:textId="77777777" w:rsidTr="00913C07">
        <w:trPr>
          <w:trHeight w:val="297"/>
          <w:jc w:val="center"/>
        </w:trPr>
        <w:tc>
          <w:tcPr>
            <w:tcW w:w="4952" w:type="dxa"/>
            <w:vAlign w:val="center"/>
          </w:tcPr>
          <w:p w14:paraId="3CED1C9A" w14:textId="77777777" w:rsidR="006C2A50" w:rsidRPr="006C2A50" w:rsidRDefault="006C2A50" w:rsidP="006C2A50">
            <w:pPr>
              <w:spacing w:after="0" w:line="240" w:lineRule="auto"/>
              <w:rPr>
                <w:rFonts w:eastAsia="Times New Roman"/>
                <w:spacing w:val="0"/>
                <w:sz w:val="22"/>
                <w:szCs w:val="22"/>
              </w:rPr>
            </w:pPr>
            <w:r w:rsidRPr="006C2A50">
              <w:rPr>
                <w:rFonts w:eastAsia="Times New Roman"/>
                <w:spacing w:val="0"/>
                <w:sz w:val="22"/>
                <w:szCs w:val="22"/>
                <w:lang w:val="es-DO"/>
              </w:rPr>
              <w:t>Otros</w:t>
            </w:r>
          </w:p>
        </w:tc>
        <w:tc>
          <w:tcPr>
            <w:tcW w:w="1177" w:type="dxa"/>
            <w:noWrap/>
            <w:vAlign w:val="center"/>
          </w:tcPr>
          <w:p w14:paraId="6F6F08D9"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lang w:val="es-DO"/>
              </w:rPr>
              <w:t>10</w:t>
            </w:r>
          </w:p>
        </w:tc>
        <w:tc>
          <w:tcPr>
            <w:tcW w:w="1523" w:type="dxa"/>
            <w:noWrap/>
            <w:vAlign w:val="center"/>
          </w:tcPr>
          <w:p w14:paraId="11B362EC" w14:textId="77777777" w:rsidR="006C2A50" w:rsidRPr="006C2A50" w:rsidRDefault="006C2A50" w:rsidP="006C2A50">
            <w:pPr>
              <w:spacing w:after="0" w:line="240" w:lineRule="auto"/>
              <w:jc w:val="center"/>
              <w:rPr>
                <w:rFonts w:eastAsia="Times New Roman"/>
                <w:spacing w:val="0"/>
                <w:sz w:val="22"/>
                <w:szCs w:val="22"/>
              </w:rPr>
            </w:pPr>
            <w:r w:rsidRPr="006C2A50">
              <w:rPr>
                <w:rFonts w:eastAsia="Times New Roman"/>
                <w:spacing w:val="0"/>
                <w:sz w:val="22"/>
                <w:szCs w:val="22"/>
              </w:rPr>
              <w:t>13.89%</w:t>
            </w:r>
          </w:p>
        </w:tc>
      </w:tr>
      <w:tr w:rsidR="006C2A50" w:rsidRPr="006C2A50" w14:paraId="3BBB39F8" w14:textId="77777777" w:rsidTr="00913C07">
        <w:trPr>
          <w:trHeight w:val="240"/>
          <w:jc w:val="center"/>
        </w:trPr>
        <w:tc>
          <w:tcPr>
            <w:tcW w:w="4952" w:type="dxa"/>
            <w:shd w:val="clear" w:color="000000" w:fill="002060"/>
            <w:noWrap/>
            <w:vAlign w:val="center"/>
          </w:tcPr>
          <w:p w14:paraId="12C9F6B4" w14:textId="77777777" w:rsidR="006C2A50" w:rsidRPr="006C2A50" w:rsidRDefault="006C2A50" w:rsidP="006C2A50">
            <w:pPr>
              <w:spacing w:after="0" w:line="240" w:lineRule="auto"/>
              <w:jc w:val="both"/>
              <w:rPr>
                <w:rFonts w:eastAsia="Times New Roman"/>
                <w:b/>
                <w:bCs/>
                <w:spacing w:val="0"/>
                <w:sz w:val="22"/>
                <w:szCs w:val="22"/>
              </w:rPr>
            </w:pPr>
            <w:r w:rsidRPr="006C2A50">
              <w:rPr>
                <w:rFonts w:eastAsia="Times New Roman"/>
                <w:b/>
                <w:bCs/>
                <w:color w:val="FFFFFF"/>
                <w:spacing w:val="0"/>
                <w:sz w:val="22"/>
                <w:szCs w:val="22"/>
                <w:lang w:val="es-DO"/>
              </w:rPr>
              <w:t xml:space="preserve">              Total</w:t>
            </w:r>
          </w:p>
        </w:tc>
        <w:tc>
          <w:tcPr>
            <w:tcW w:w="1177" w:type="dxa"/>
            <w:shd w:val="clear" w:color="000000" w:fill="002060"/>
            <w:noWrap/>
            <w:vAlign w:val="center"/>
          </w:tcPr>
          <w:p w14:paraId="690A1966" w14:textId="77777777" w:rsidR="006C2A50" w:rsidRPr="006C2A50" w:rsidRDefault="006C2A50" w:rsidP="006C2A50">
            <w:pPr>
              <w:spacing w:after="0" w:line="240" w:lineRule="auto"/>
              <w:jc w:val="center"/>
              <w:rPr>
                <w:rFonts w:eastAsia="Times New Roman"/>
                <w:b/>
                <w:bCs/>
                <w:color w:val="FFFFFF"/>
                <w:spacing w:val="0"/>
                <w:sz w:val="22"/>
                <w:szCs w:val="22"/>
              </w:rPr>
            </w:pPr>
            <w:r w:rsidRPr="006C2A50">
              <w:rPr>
                <w:rFonts w:eastAsia="Times New Roman"/>
                <w:b/>
                <w:bCs/>
                <w:color w:val="FFFFFF"/>
                <w:spacing w:val="0"/>
                <w:sz w:val="22"/>
                <w:szCs w:val="22"/>
                <w:lang w:val="es-DO"/>
              </w:rPr>
              <w:t>72</w:t>
            </w:r>
          </w:p>
        </w:tc>
        <w:tc>
          <w:tcPr>
            <w:tcW w:w="1523" w:type="dxa"/>
            <w:shd w:val="clear" w:color="000000" w:fill="002060"/>
            <w:noWrap/>
            <w:vAlign w:val="center"/>
          </w:tcPr>
          <w:p w14:paraId="437D5F3B" w14:textId="77777777" w:rsidR="006C2A50" w:rsidRPr="006C2A50" w:rsidRDefault="006C2A50" w:rsidP="006C2A50">
            <w:pPr>
              <w:spacing w:after="0" w:line="240" w:lineRule="auto"/>
              <w:jc w:val="center"/>
              <w:rPr>
                <w:rFonts w:eastAsia="Times New Roman"/>
                <w:b/>
                <w:bCs/>
                <w:color w:val="FFFFFF"/>
                <w:spacing w:val="0"/>
                <w:sz w:val="22"/>
                <w:szCs w:val="22"/>
              </w:rPr>
            </w:pPr>
            <w:r w:rsidRPr="006C2A50">
              <w:rPr>
                <w:rFonts w:eastAsia="Times New Roman"/>
                <w:b/>
                <w:bCs/>
                <w:color w:val="FFFFFF"/>
                <w:spacing w:val="0"/>
                <w:sz w:val="22"/>
                <w:szCs w:val="22"/>
              </w:rPr>
              <w:t>100%</w:t>
            </w:r>
          </w:p>
        </w:tc>
      </w:tr>
    </w:tbl>
    <w:p w14:paraId="18ABA947" w14:textId="2C27C868" w:rsidR="006C2A50" w:rsidRPr="006C2A50" w:rsidRDefault="006C2A50" w:rsidP="006C2A50">
      <w:pPr>
        <w:spacing w:after="0" w:line="360" w:lineRule="auto"/>
        <w:jc w:val="both"/>
        <w:rPr>
          <w:rFonts w:eastAsia="Calibri"/>
          <w:b/>
          <w:bCs/>
          <w:sz w:val="28"/>
          <w:szCs w:val="28"/>
          <w:lang w:val="es-DO"/>
        </w:rPr>
      </w:pPr>
      <w:r w:rsidRPr="006C2A50">
        <w:rPr>
          <w:rFonts w:eastAsia="Calibri"/>
          <w:i/>
          <w:iCs/>
          <w:sz w:val="20"/>
          <w:szCs w:val="20"/>
          <w:lang w:val="es-DO"/>
        </w:rPr>
        <w:t>Cuadr</w:t>
      </w:r>
      <w:r w:rsidR="00913C07">
        <w:rPr>
          <w:rFonts w:eastAsia="Calibri"/>
          <w:i/>
          <w:iCs/>
          <w:sz w:val="20"/>
          <w:szCs w:val="20"/>
          <w:lang w:val="es-DO"/>
        </w:rPr>
        <w:t>o 21</w:t>
      </w:r>
      <w:r w:rsidR="00DB7323">
        <w:rPr>
          <w:rFonts w:eastAsia="Calibri"/>
          <w:i/>
          <w:iCs/>
          <w:sz w:val="20"/>
          <w:szCs w:val="20"/>
          <w:lang w:val="es-DO"/>
        </w:rPr>
        <w:t>.</w:t>
      </w:r>
      <w:r w:rsidRPr="006C2A50">
        <w:rPr>
          <w:rFonts w:eastAsia="Calibri"/>
          <w:i/>
          <w:iCs/>
          <w:sz w:val="20"/>
          <w:szCs w:val="20"/>
          <w:lang w:val="es-DO"/>
        </w:rPr>
        <w:t xml:space="preserve"> Documentos elaborados por la Div</w:t>
      </w:r>
      <w:r w:rsidR="00913C07">
        <w:rPr>
          <w:rFonts w:eastAsia="Calibri"/>
          <w:i/>
          <w:iCs/>
          <w:sz w:val="20"/>
          <w:szCs w:val="20"/>
          <w:lang w:val="es-DO"/>
        </w:rPr>
        <w:t>isión</w:t>
      </w:r>
      <w:r w:rsidRPr="006C2A50">
        <w:rPr>
          <w:rFonts w:eastAsia="Calibri"/>
          <w:i/>
          <w:iCs/>
          <w:sz w:val="20"/>
          <w:szCs w:val="20"/>
          <w:lang w:val="es-DO"/>
        </w:rPr>
        <w:t>. Jurídica durante el año 2025.</w:t>
      </w:r>
    </w:p>
    <w:p w14:paraId="1A05C061" w14:textId="77777777" w:rsidR="006C2A50" w:rsidRPr="006C2A50" w:rsidRDefault="006C2A50" w:rsidP="00ED3FEF">
      <w:pPr>
        <w:spacing w:line="360" w:lineRule="auto"/>
        <w:jc w:val="both"/>
        <w:rPr>
          <w:rFonts w:eastAsia="Calibri"/>
          <w:lang w:val="es-DO"/>
        </w:rPr>
      </w:pPr>
      <w:r w:rsidRPr="006C2A50">
        <w:rPr>
          <w:rFonts w:eastAsia="Calibri"/>
          <w:lang w:val="es-DO"/>
        </w:rPr>
        <w:t>A continuación, se presenta un detalle de los documentos referidos previamente:</w:t>
      </w:r>
    </w:p>
    <w:p w14:paraId="6FFE9EB2"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Convenio o Acuerdo de Colaboración Interinstitucional entre la Fundación Amigos del Museo de las Casas Reales y el Museo de las Casas Reales, para la digitalización de mil doscientas (1,200) unidades de vídeos y cintas análogas que contienen imágenes históricas de los monumentos de la Ciudad Colonial, las cuales reposan en la Biblioteca del Museo de las Casas Reales.</w:t>
      </w:r>
    </w:p>
    <w:p w14:paraId="161B0ED3"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Acuerdo Interinstitucional entre la Dirección General de Museos (DGM), el Monumento a los Héroes de la Restauración y la empresa Pintura Tropical, mediante el cual esta última contribuirá al mantenimiento y conservación de las áreas del Monumento.</w:t>
      </w:r>
    </w:p>
    <w:p w14:paraId="27146761"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Acuerdo Interinstitucional entre la Dirección General de Museos (DGM), el Monumento a los Héroes de la Restauración y la empresa Cemento Cibao, a través del cual dicha empresa apoyará las labores de mantenimiento y conservación de las áreas del Monumento.</w:t>
      </w:r>
    </w:p>
    <w:p w14:paraId="54CECCF4"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lastRenderedPageBreak/>
        <w:t>Se consolido la firma del convenio entre La Dirección General de Museos, el Museo de Las Atarazanas Reales y La Fundación Terra Y Marre FTMRD, INC., a fin de lograr un acercamiento entre las comunidades locales y la riqueza ecológica y cultural del medio marino que rodea a la República Dominicana y a la región del Gran Caribe, mediante el desarrollo de ciclos de charlas y talleres formativos. Este proyecto busca fomentar en la población local el valor e importancia del mar, mediante un acercamiento significativo entre los locales y su entorno natural. </w:t>
      </w:r>
    </w:p>
    <w:p w14:paraId="1C9988E1"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 xml:space="preserve">Se elaboró el acuerdo de Colaboración entre la Dirección General de Museos, el Museo de Arte Moderno y el representante Hugo Francisco </w:t>
      </w:r>
      <w:proofErr w:type="spellStart"/>
      <w:r w:rsidRPr="006C2A50">
        <w:rPr>
          <w:rFonts w:eastAsia="Calibri"/>
          <w:lang w:val="es-DO"/>
        </w:rPr>
        <w:t>Suriel</w:t>
      </w:r>
      <w:proofErr w:type="spellEnd"/>
      <w:r w:rsidRPr="006C2A50">
        <w:rPr>
          <w:rFonts w:eastAsia="Calibri"/>
          <w:lang w:val="es-DO"/>
        </w:rPr>
        <w:t xml:space="preserve"> Vargas, para la ejecución del Proyecto Cultural Expositivo </w:t>
      </w:r>
      <w:r w:rsidRPr="006C2A50">
        <w:rPr>
          <w:rFonts w:eastAsia="Calibri"/>
          <w:i/>
          <w:iCs/>
          <w:lang w:val="es-DO"/>
        </w:rPr>
        <w:t xml:space="preserve">HRSURIEL: Formula </w:t>
      </w:r>
      <w:proofErr w:type="spellStart"/>
      <w:r w:rsidRPr="006C2A50">
        <w:rPr>
          <w:rFonts w:eastAsia="Calibri"/>
          <w:i/>
          <w:iCs/>
          <w:lang w:val="es-DO"/>
        </w:rPr>
        <w:t>One</w:t>
      </w:r>
      <w:proofErr w:type="spellEnd"/>
      <w:r w:rsidRPr="006C2A50">
        <w:rPr>
          <w:rFonts w:eastAsia="Calibri"/>
          <w:lang w:val="es-DO"/>
        </w:rPr>
        <w:t xml:space="preserve">, del artista Hugo Rafael </w:t>
      </w:r>
      <w:proofErr w:type="spellStart"/>
      <w:r w:rsidRPr="006C2A50">
        <w:rPr>
          <w:rFonts w:eastAsia="Calibri"/>
          <w:lang w:val="es-DO"/>
        </w:rPr>
        <w:t>Suriel</w:t>
      </w:r>
      <w:proofErr w:type="spellEnd"/>
      <w:r w:rsidRPr="006C2A50">
        <w:rPr>
          <w:rFonts w:eastAsia="Calibri"/>
          <w:lang w:val="es-DO"/>
        </w:rPr>
        <w:t xml:space="preserve"> Suazo, en cumplimiento del objetivo misional del museo. Asimismo, se formalizó un Acuerdo de Colaboración entre la Dirección General de Museos, el Museo de Arte Moderno y la gestora cultural Mónica Ferreras de la Maza para el desarrollo del proyecto expositivo </w:t>
      </w:r>
      <w:r w:rsidRPr="006C2A50">
        <w:rPr>
          <w:rFonts w:eastAsia="Calibri"/>
          <w:i/>
          <w:iCs/>
          <w:lang w:val="es-DO"/>
        </w:rPr>
        <w:t>TROPICARIBASTRAL</w:t>
      </w:r>
      <w:r w:rsidRPr="006C2A50">
        <w:rPr>
          <w:rFonts w:eastAsia="Calibri"/>
          <w:lang w:val="es-DO"/>
        </w:rPr>
        <w:t xml:space="preserve"> y del Proyecto Cultural Expositivo </w:t>
      </w:r>
      <w:proofErr w:type="spellStart"/>
      <w:r w:rsidRPr="006C2A50">
        <w:rPr>
          <w:rFonts w:eastAsia="Calibri"/>
          <w:i/>
          <w:iCs/>
          <w:lang w:val="es-DO"/>
        </w:rPr>
        <w:t>Honesty</w:t>
      </w:r>
      <w:proofErr w:type="spellEnd"/>
      <w:r w:rsidRPr="006C2A50">
        <w:rPr>
          <w:rFonts w:eastAsia="Calibri"/>
          <w:lang w:val="es-DO"/>
        </w:rPr>
        <w:t xml:space="preserve"> del artista Juan Carlos Reyes.</w:t>
      </w:r>
    </w:p>
    <w:p w14:paraId="5F2925D1" w14:textId="77777777" w:rsidR="00D52943" w:rsidRDefault="006C2A50" w:rsidP="00ED3FEF">
      <w:pPr>
        <w:numPr>
          <w:ilvl w:val="0"/>
          <w:numId w:val="22"/>
        </w:numPr>
        <w:spacing w:line="360" w:lineRule="auto"/>
        <w:contextualSpacing/>
        <w:jc w:val="both"/>
        <w:rPr>
          <w:rFonts w:eastAsia="Calibri"/>
          <w:lang w:val="es-DO"/>
        </w:rPr>
      </w:pPr>
      <w:r w:rsidRPr="006C2A50">
        <w:rPr>
          <w:rFonts w:eastAsia="Calibri"/>
          <w:lang w:val="es-DO"/>
        </w:rPr>
        <w:t xml:space="preserve">Se suscribieron diversos acuerdos de colaboración orientados al fortalecimiento del Museo a los Héroes de la Restauración de Santiago, incluyendo: el convenio con Leasing Automotriz del Sur, S. R. L. (Europcar) para la confección de banderas destinadas a las astas exteriores del museo; el acuerdo entre la Dirección General de Museos, el Museo Monumento a los Héroes de la Restauración y su Voluntariado para la administración del espacio asignado a la tienda del museo; y el acuerdo con la Asociación de Productores de Cigarros de la </w:t>
      </w:r>
    </w:p>
    <w:p w14:paraId="4924EA37" w14:textId="49871B25" w:rsidR="006C2A50" w:rsidRPr="006C2A50" w:rsidRDefault="006C2A50" w:rsidP="00D52943">
      <w:pPr>
        <w:spacing w:line="360" w:lineRule="auto"/>
        <w:ind w:left="720"/>
        <w:contextualSpacing/>
        <w:jc w:val="both"/>
        <w:rPr>
          <w:rFonts w:eastAsia="Calibri"/>
          <w:lang w:val="es-DO"/>
        </w:rPr>
      </w:pPr>
      <w:r w:rsidRPr="006C2A50">
        <w:rPr>
          <w:rFonts w:eastAsia="Calibri"/>
          <w:lang w:val="es-DO"/>
        </w:rPr>
        <w:lastRenderedPageBreak/>
        <w:t>República Dominicana para la construcción y equipamiento de una sala de realidad virtual en el Museo a los Héroes de la Restauración.</w:t>
      </w:r>
    </w:p>
    <w:p w14:paraId="283A2EF3"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Acuerdo de colaboración interinstitucional entre el Ministerio de Educación y el Ministerio de Cultura.</w:t>
      </w:r>
    </w:p>
    <w:p w14:paraId="5B27FA7D"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Acuerdo de colaboración entre el Museo de Arte Moderno de la República Dominicana, la Dirección General de Museos (DGM) y el Museo de Arte Moderno de Nueva York (</w:t>
      </w:r>
      <w:proofErr w:type="spellStart"/>
      <w:r w:rsidRPr="006C2A50">
        <w:rPr>
          <w:rFonts w:eastAsia="Calibri"/>
          <w:lang w:val="es-DO"/>
        </w:rPr>
        <w:t>MoMA</w:t>
      </w:r>
      <w:proofErr w:type="spellEnd"/>
      <w:r w:rsidRPr="006C2A50">
        <w:rPr>
          <w:rFonts w:eastAsia="Calibri"/>
          <w:lang w:val="es-DO"/>
        </w:rPr>
        <w:t>).</w:t>
      </w:r>
    </w:p>
    <w:p w14:paraId="27C181ED"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Acuerdo de colaboración entre la Dirección General de Museos, el Museo de Arte Moderno y la Asociación Aquiles Antonio Azar García, para integrar la “Colección de Libros y Catálogos de Arte y Literatura” de Aquiles Azar García a la Mediateca del Museo de Arte Moderno.</w:t>
      </w:r>
    </w:p>
    <w:p w14:paraId="45A225E2"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 xml:space="preserve">Acuerdo de Colaboración entre la Dirección General de Museos y </w:t>
      </w:r>
      <w:proofErr w:type="gramStart"/>
      <w:r w:rsidRPr="006C2A50">
        <w:rPr>
          <w:rFonts w:eastAsia="Calibri"/>
          <w:lang w:val="es-DO"/>
        </w:rPr>
        <w:t>Dominicana</w:t>
      </w:r>
      <w:proofErr w:type="gramEnd"/>
      <w:r w:rsidRPr="006C2A50">
        <w:rPr>
          <w:rFonts w:eastAsia="Calibri"/>
          <w:lang w:val="es-DO"/>
        </w:rPr>
        <w:t xml:space="preserve"> </w:t>
      </w:r>
      <w:proofErr w:type="spellStart"/>
      <w:r w:rsidRPr="006C2A50">
        <w:rPr>
          <w:rFonts w:eastAsia="Calibri"/>
          <w:lang w:val="es-DO"/>
        </w:rPr>
        <w:t>Experience</w:t>
      </w:r>
      <w:proofErr w:type="spellEnd"/>
      <w:r w:rsidRPr="006C2A50">
        <w:rPr>
          <w:rFonts w:eastAsia="Calibri"/>
          <w:lang w:val="es-DO"/>
        </w:rPr>
        <w:t xml:space="preserve"> DMC, S. R. L., para la prestación del servicio de visitas guiadas en el Museo a los Héroes de la Restauración, en Santiago.</w:t>
      </w:r>
    </w:p>
    <w:p w14:paraId="78941F32" w14:textId="77777777" w:rsidR="006C2A50" w:rsidRPr="006C2A50" w:rsidRDefault="006C2A50" w:rsidP="00ED3FEF">
      <w:pPr>
        <w:numPr>
          <w:ilvl w:val="0"/>
          <w:numId w:val="22"/>
        </w:numPr>
        <w:spacing w:line="360" w:lineRule="auto"/>
        <w:contextualSpacing/>
        <w:jc w:val="both"/>
        <w:rPr>
          <w:rFonts w:eastAsia="Calibri"/>
          <w:lang w:val="es-DO"/>
        </w:rPr>
      </w:pPr>
      <w:r w:rsidRPr="006C2A50">
        <w:rPr>
          <w:rFonts w:eastAsia="Calibri"/>
          <w:lang w:val="es-DO"/>
        </w:rPr>
        <w:t xml:space="preserve">Acuerdo de Colaboración entre la Dirección General de Museos, el Museo de Arte Moderno y </w:t>
      </w:r>
      <w:proofErr w:type="spellStart"/>
      <w:r w:rsidRPr="006C2A50">
        <w:rPr>
          <w:rFonts w:eastAsia="Calibri"/>
          <w:lang w:val="es-DO"/>
        </w:rPr>
        <w:t>Florent</w:t>
      </w:r>
      <w:proofErr w:type="spellEnd"/>
      <w:r w:rsidRPr="006C2A50">
        <w:rPr>
          <w:rFonts w:eastAsia="Calibri"/>
          <w:lang w:val="es-DO"/>
        </w:rPr>
        <w:t xml:space="preserve"> </w:t>
      </w:r>
      <w:proofErr w:type="spellStart"/>
      <w:r w:rsidRPr="006C2A50">
        <w:rPr>
          <w:rFonts w:eastAsia="Calibri"/>
          <w:lang w:val="es-DO"/>
        </w:rPr>
        <w:t>Plasse</w:t>
      </w:r>
      <w:proofErr w:type="spellEnd"/>
      <w:r w:rsidRPr="006C2A50">
        <w:rPr>
          <w:rFonts w:eastAsia="Calibri"/>
          <w:lang w:val="es-DO"/>
        </w:rPr>
        <w:t xml:space="preserve">, para el proyecto expositivo “Ernest </w:t>
      </w:r>
      <w:proofErr w:type="spellStart"/>
      <w:r w:rsidRPr="006C2A50">
        <w:rPr>
          <w:rFonts w:eastAsia="Calibri"/>
          <w:lang w:val="es-DO"/>
        </w:rPr>
        <w:t>Breleur</w:t>
      </w:r>
      <w:proofErr w:type="spellEnd"/>
      <w:r w:rsidRPr="006C2A50">
        <w:rPr>
          <w:rFonts w:eastAsia="Calibri"/>
          <w:lang w:val="es-DO"/>
        </w:rPr>
        <w:t>”.</w:t>
      </w:r>
    </w:p>
    <w:p w14:paraId="657DC808" w14:textId="77777777" w:rsidR="006C2A50" w:rsidRPr="006C2A50" w:rsidRDefault="006C2A50" w:rsidP="00ED3FEF">
      <w:pPr>
        <w:spacing w:line="360" w:lineRule="auto"/>
        <w:jc w:val="both"/>
        <w:rPr>
          <w:rFonts w:eastAsia="Calibri"/>
          <w:lang w:val="es-DO"/>
        </w:rPr>
      </w:pPr>
      <w:r w:rsidRPr="006C2A50">
        <w:rPr>
          <w:rFonts w:eastAsia="Calibri"/>
          <w:lang w:val="es-DO"/>
        </w:rPr>
        <w:t>Como aporte al enriquecimiento de las colecciones museográficas y al desarrollo de las artes dominicanas, se elaboraron aproximadamente ocho (8) actos de donación, registrándose un incremento de cuarenta y un (41) objetos y obras artísticas.</w:t>
      </w:r>
    </w:p>
    <w:p w14:paraId="256FD950"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Entre los actos de donación más relevantes se encuentran los realizados por los artistas Julio Evangelista Valdez González, Gina Rodríguez, Luis Muñoz, Hugo </w:t>
      </w:r>
      <w:proofErr w:type="spellStart"/>
      <w:r w:rsidRPr="006C2A50">
        <w:rPr>
          <w:rFonts w:eastAsia="Calibri"/>
          <w:lang w:val="es-DO"/>
        </w:rPr>
        <w:t>Suriel</w:t>
      </w:r>
      <w:proofErr w:type="spellEnd"/>
      <w:r w:rsidRPr="006C2A50">
        <w:rPr>
          <w:rFonts w:eastAsia="Calibri"/>
          <w:lang w:val="es-DO"/>
        </w:rPr>
        <w:t xml:space="preserve"> y Juan Carlos Reyes, gracias a los cuales el Museo de Arte Moderno incorporó nueve (9) nuevas obras a su colección permanente. Asimismo, la señora Celeste Mir realizó un acto de donación de bienes históricos a favor del Museo </w:t>
      </w:r>
      <w:r w:rsidRPr="006C2A50">
        <w:rPr>
          <w:rFonts w:eastAsia="Calibri"/>
          <w:lang w:val="es-DO"/>
        </w:rPr>
        <w:lastRenderedPageBreak/>
        <w:t>Nacional de Historia y Geografía, mediante el cual se incorporaron treinta y dos (32) piezas, incluida la primera bandera que ondeó y fue utilizada oficialmente.</w:t>
      </w:r>
    </w:p>
    <w:p w14:paraId="4EF095F2"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Se formalizaron actos de donación y cesión de los derechos patrimoniales de obras visuales correspondientes a diversos proyectos culturales expositivos, incluyendo </w:t>
      </w:r>
      <w:proofErr w:type="spellStart"/>
      <w:r w:rsidRPr="006C2A50">
        <w:rPr>
          <w:rFonts w:eastAsia="Calibri"/>
          <w:i/>
          <w:iCs/>
          <w:lang w:val="es-DO"/>
        </w:rPr>
        <w:t>Honesty</w:t>
      </w:r>
      <w:proofErr w:type="spellEnd"/>
      <w:r w:rsidRPr="006C2A50">
        <w:rPr>
          <w:rFonts w:eastAsia="Calibri"/>
          <w:lang w:val="es-DO"/>
        </w:rPr>
        <w:t xml:space="preserve"> del artista Juan Carlos Reyes; </w:t>
      </w:r>
      <w:proofErr w:type="spellStart"/>
      <w:r w:rsidRPr="006C2A50">
        <w:rPr>
          <w:rFonts w:eastAsia="Calibri"/>
          <w:i/>
          <w:iCs/>
          <w:lang w:val="es-DO"/>
        </w:rPr>
        <w:t>Timbí</w:t>
      </w:r>
      <w:proofErr w:type="spellEnd"/>
      <w:r w:rsidRPr="006C2A50">
        <w:rPr>
          <w:rFonts w:eastAsia="Calibri"/>
          <w:i/>
          <w:iCs/>
          <w:lang w:val="es-DO"/>
        </w:rPr>
        <w:t xml:space="preserve"> de Emociones</w:t>
      </w:r>
      <w:r w:rsidRPr="006C2A50">
        <w:rPr>
          <w:rFonts w:eastAsia="Calibri"/>
          <w:lang w:val="es-DO"/>
        </w:rPr>
        <w:t xml:space="preserve"> de la artista Gina Rodríguez; e </w:t>
      </w:r>
      <w:r w:rsidRPr="006C2A50">
        <w:rPr>
          <w:rFonts w:eastAsia="Calibri"/>
          <w:i/>
          <w:iCs/>
          <w:lang w:val="es-DO"/>
        </w:rPr>
        <w:t>Influencias</w:t>
      </w:r>
      <w:r w:rsidRPr="006C2A50">
        <w:rPr>
          <w:rFonts w:eastAsia="Calibri"/>
          <w:lang w:val="es-DO"/>
        </w:rPr>
        <w:t xml:space="preserve"> del artista Samuel Priego, fortaleciendo así el acervo artístico institucional y el acceso público a estas producciones.</w:t>
      </w:r>
    </w:p>
    <w:p w14:paraId="7EB5547B"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Acto de donación y cesión de los derechos patrimoniales de obra visual entre la Dirección General de Museos y el señor Hugo Rafael </w:t>
      </w:r>
      <w:proofErr w:type="spellStart"/>
      <w:r w:rsidRPr="006C2A50">
        <w:rPr>
          <w:rFonts w:eastAsia="Calibri"/>
          <w:lang w:val="es-DO"/>
        </w:rPr>
        <w:t>Suriel</w:t>
      </w:r>
      <w:proofErr w:type="spellEnd"/>
      <w:r w:rsidRPr="006C2A50">
        <w:rPr>
          <w:rFonts w:eastAsia="Calibri"/>
          <w:lang w:val="es-DO"/>
        </w:rPr>
        <w:t xml:space="preserve"> Suazo.</w:t>
      </w:r>
    </w:p>
    <w:p w14:paraId="0D76DE49" w14:textId="77777777" w:rsidR="006C2A50" w:rsidRPr="006C2A50" w:rsidRDefault="006C2A50" w:rsidP="00ED3FEF">
      <w:pPr>
        <w:spacing w:line="360" w:lineRule="auto"/>
        <w:jc w:val="both"/>
        <w:rPr>
          <w:rFonts w:eastAsia="Calibri"/>
          <w:lang w:val="es-DO"/>
        </w:rPr>
      </w:pPr>
      <w:r w:rsidRPr="006C2A50">
        <w:rPr>
          <w:rFonts w:eastAsia="Calibri"/>
          <w:lang w:val="es-DO"/>
        </w:rPr>
        <w:t>Durante el período reportado se formalizaron diversas acciones institucionales, incluyendo el Modelo de Contrato de Colaboración de Servicio de Personal por Tiempo Determinado para el Proyecto Museo de Historia y Tradiciones de Santiago de los Caballeros; el Acto de Transferencia de Bien Histórico entre la Dirección General de Museos, el Museo Nacional de Historia y Geografía y el señor Rafael Antonio Báez Pérez</w:t>
      </w:r>
    </w:p>
    <w:p w14:paraId="243A43B4" w14:textId="77777777" w:rsidR="006C2A50" w:rsidRPr="006C2A50" w:rsidRDefault="006C2A50" w:rsidP="00ED3FEF">
      <w:pPr>
        <w:spacing w:line="360" w:lineRule="auto"/>
        <w:jc w:val="both"/>
        <w:rPr>
          <w:rFonts w:eastAsia="Calibri"/>
          <w:lang w:val="es-DO"/>
        </w:rPr>
      </w:pPr>
      <w:r w:rsidRPr="006C2A50">
        <w:rPr>
          <w:rFonts w:eastAsia="Calibri"/>
          <w:lang w:val="es-DO"/>
        </w:rPr>
        <w:t>Contrato para la Evaluación Detallada (ED) entre el Voluntariado del Museo Monumento a los Héroes de la Restauración y la Oficina Nacional de Evaluación Sísmica y Vulnerabilidad de Infraestructura y Edificaciones (ONESVIE), para el levantamiento del proyecto Museo de Historia y Tradiciones de Santiago, que será remodelado y acondicionado en el edificio de INPOSDOM.</w:t>
      </w:r>
    </w:p>
    <w:p w14:paraId="6A44182B" w14:textId="77777777" w:rsidR="006C2A50" w:rsidRPr="006C2A50" w:rsidRDefault="006C2A50" w:rsidP="00ED3FEF">
      <w:pPr>
        <w:spacing w:line="360" w:lineRule="auto"/>
        <w:jc w:val="both"/>
        <w:rPr>
          <w:rFonts w:eastAsia="Times New Roman"/>
          <w:lang w:val="es-DO"/>
        </w:rPr>
      </w:pPr>
      <w:r w:rsidRPr="006C2A50">
        <w:rPr>
          <w:rFonts w:eastAsia="Calibri"/>
          <w:lang w:val="es-DO"/>
        </w:rPr>
        <w:t>La División Jurídica elaboró y revisó actos Administrativos y Gestión de Compras, entre los cuales citamos los de mayor relevancia:</w:t>
      </w:r>
    </w:p>
    <w:p w14:paraId="51602A46" w14:textId="77777777" w:rsidR="006C2A50" w:rsidRPr="006C2A50" w:rsidRDefault="006C2A50" w:rsidP="00ED3FEF">
      <w:pPr>
        <w:numPr>
          <w:ilvl w:val="0"/>
          <w:numId w:val="23"/>
        </w:numPr>
        <w:spacing w:line="360" w:lineRule="auto"/>
        <w:contextualSpacing/>
        <w:jc w:val="both"/>
        <w:rPr>
          <w:rFonts w:eastAsia="Calibri"/>
          <w:lang w:val="es-DO"/>
        </w:rPr>
      </w:pPr>
      <w:r w:rsidRPr="006C2A50">
        <w:rPr>
          <w:rFonts w:eastAsia="Calibri"/>
          <w:lang w:val="es-DO"/>
        </w:rPr>
        <w:lastRenderedPageBreak/>
        <w:t>Resoluciones institucionales sobre composición de comités y órganos internos.</w:t>
      </w:r>
    </w:p>
    <w:p w14:paraId="7142948C" w14:textId="77777777" w:rsidR="006C2A50" w:rsidRPr="006C2A50" w:rsidRDefault="006C2A50" w:rsidP="00ED3FEF">
      <w:pPr>
        <w:numPr>
          <w:ilvl w:val="0"/>
          <w:numId w:val="23"/>
        </w:numPr>
        <w:spacing w:line="360" w:lineRule="auto"/>
        <w:contextualSpacing/>
        <w:jc w:val="both"/>
        <w:rPr>
          <w:rFonts w:eastAsia="Calibri"/>
          <w:lang w:val="es-DO"/>
        </w:rPr>
      </w:pPr>
      <w:r w:rsidRPr="006C2A50">
        <w:rPr>
          <w:rFonts w:eastAsia="Calibri"/>
          <w:lang w:val="es-DO"/>
        </w:rPr>
        <w:t>Actas del Comité de Compras y Contrataciones para:</w:t>
      </w:r>
    </w:p>
    <w:p w14:paraId="2249A5E3" w14:textId="77777777" w:rsidR="006C2A50" w:rsidRPr="006C2A50" w:rsidRDefault="006C2A50" w:rsidP="00ED3FEF">
      <w:pPr>
        <w:numPr>
          <w:ilvl w:val="0"/>
          <w:numId w:val="24"/>
        </w:numPr>
        <w:spacing w:line="360" w:lineRule="auto"/>
        <w:contextualSpacing/>
        <w:jc w:val="both"/>
        <w:rPr>
          <w:rFonts w:eastAsia="Calibri"/>
          <w:lang w:val="es-DO"/>
        </w:rPr>
      </w:pPr>
      <w:r w:rsidRPr="006C2A50">
        <w:rPr>
          <w:rFonts w:eastAsia="Calibri"/>
          <w:lang w:val="es-DO"/>
        </w:rPr>
        <w:t>Licitación pública nacional del servicio de mantenimiento de los 15 museos administrados por la DGM.</w:t>
      </w:r>
    </w:p>
    <w:p w14:paraId="7E6DC602" w14:textId="77777777" w:rsidR="006C2A50" w:rsidRPr="006C2A50" w:rsidRDefault="006C2A50" w:rsidP="00ED3FEF">
      <w:pPr>
        <w:numPr>
          <w:ilvl w:val="0"/>
          <w:numId w:val="24"/>
        </w:numPr>
        <w:spacing w:line="360" w:lineRule="auto"/>
        <w:contextualSpacing/>
        <w:jc w:val="both"/>
        <w:rPr>
          <w:rFonts w:eastAsia="Calibri"/>
          <w:lang w:val="es-DO"/>
        </w:rPr>
      </w:pPr>
      <w:r w:rsidRPr="006C2A50">
        <w:rPr>
          <w:rFonts w:eastAsia="Calibri"/>
          <w:lang w:val="es-DO"/>
        </w:rPr>
        <w:t>Procesos de comparación de precios (fumigación y desinfección).</w:t>
      </w:r>
    </w:p>
    <w:p w14:paraId="5452450B" w14:textId="77777777" w:rsidR="006C2A50" w:rsidRPr="006C2A50" w:rsidRDefault="006C2A50" w:rsidP="00ED3FEF">
      <w:pPr>
        <w:numPr>
          <w:ilvl w:val="0"/>
          <w:numId w:val="24"/>
        </w:numPr>
        <w:spacing w:line="360" w:lineRule="auto"/>
        <w:contextualSpacing/>
        <w:jc w:val="both"/>
        <w:rPr>
          <w:rFonts w:eastAsia="Calibri"/>
          <w:lang w:val="es-DO"/>
        </w:rPr>
      </w:pPr>
      <w:r w:rsidRPr="006C2A50">
        <w:rPr>
          <w:rFonts w:eastAsia="Calibri"/>
          <w:lang w:val="es-DO"/>
        </w:rPr>
        <w:t>Adjudicaciones y evaluaciones técnicas y económicas.</w:t>
      </w:r>
    </w:p>
    <w:p w14:paraId="732F9CD2" w14:textId="77777777" w:rsidR="006C2A50" w:rsidRPr="006C2A50" w:rsidRDefault="006C2A50" w:rsidP="00ED3FEF">
      <w:pPr>
        <w:numPr>
          <w:ilvl w:val="0"/>
          <w:numId w:val="25"/>
        </w:numPr>
        <w:spacing w:line="360" w:lineRule="auto"/>
        <w:contextualSpacing/>
        <w:jc w:val="both"/>
        <w:rPr>
          <w:rFonts w:eastAsia="Times New Roman"/>
          <w:lang w:val="es-DO"/>
        </w:rPr>
      </w:pPr>
      <w:r w:rsidRPr="006C2A50">
        <w:rPr>
          <w:rFonts w:eastAsia="Times New Roman"/>
          <w:lang w:val="es-DO"/>
        </w:rPr>
        <w:t>Asimismo, se emitieron actos administrativos relativos a pagos, aclaración de expedientes, impugnaciones y rescisiones contractuales.</w:t>
      </w:r>
    </w:p>
    <w:p w14:paraId="04A01EBA"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Se realizaron estudios de derecho de propiedad sobre diversos inmuebles destinados a proyectos museísticos o culturales, entre ellos: la Casa de la Caoba (San Cristóbal), la Casa Villa Doña Emilia (Monte Cristi), el edificio del INPOSDOM (Santiago), la Plaza Ceremonial del Corral de los Indios (San Juan de la Maguana), el campus de la UCE en San Pedro de Macorís, el Hotel Mercedes (Santiago), la Universidad Pedro Henríquez Ureña para el Proyecto Museo de Ciencia y Tecnología, el Museo Doctor Joaquín Balaguer y la Aldea Cultural de La Romana para el Proyecto Museo de la Caña. </w:t>
      </w:r>
    </w:p>
    <w:p w14:paraId="0DC7718E" w14:textId="77777777" w:rsidR="006C2A50" w:rsidRPr="006C2A50" w:rsidRDefault="006C2A50" w:rsidP="00ED3FEF">
      <w:pPr>
        <w:spacing w:line="360" w:lineRule="auto"/>
        <w:jc w:val="both"/>
        <w:rPr>
          <w:rFonts w:eastAsia="Times New Roman"/>
          <w:lang w:val="es-DO"/>
        </w:rPr>
      </w:pPr>
      <w:r w:rsidRPr="006C2A50">
        <w:rPr>
          <w:rFonts w:eastAsia="Calibri"/>
          <w:lang w:val="es-DO"/>
        </w:rPr>
        <w:t>Cada estudio incluyó la verificación de títulos, superficie, procedencia, estado registral y la emisión de recomendaciones para actualización, deslinde o consolidación de derechos.</w:t>
      </w:r>
    </w:p>
    <w:p w14:paraId="375C1FF7"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Como parte del proceso de actualización del marco legal museístico, se avanzó en la revisión de la propuesta del Reglamento de la Red Nacional de Museos, el análisis y revisión de las Normas Técnicas de Museos, la elaboración del Anteproyecto de Ley del Sistema Integral de la Red Nacional de Museos y el diseño del Protocolo para la Repatriación de Piezas en Préstamo Internacional. </w:t>
      </w:r>
    </w:p>
    <w:p w14:paraId="32153A9A" w14:textId="77777777" w:rsidR="006C2A50" w:rsidRPr="006C2A50" w:rsidRDefault="006C2A50" w:rsidP="006C2A50">
      <w:pPr>
        <w:spacing w:after="0" w:line="240" w:lineRule="auto"/>
        <w:jc w:val="both"/>
        <w:rPr>
          <w:rFonts w:eastAsia="Calibri"/>
          <w:lang w:val="es-DO"/>
        </w:rPr>
      </w:pPr>
    </w:p>
    <w:p w14:paraId="0A857351" w14:textId="77777777" w:rsidR="006C2A50" w:rsidRPr="006C2A50" w:rsidRDefault="006C2A50" w:rsidP="006C2A50">
      <w:pPr>
        <w:spacing w:line="360" w:lineRule="auto"/>
        <w:jc w:val="both"/>
        <w:textAlignment w:val="baseline"/>
        <w:rPr>
          <w:rFonts w:eastAsia="Calibri"/>
          <w:b/>
          <w:bCs/>
          <w:sz w:val="28"/>
          <w:szCs w:val="28"/>
          <w:lang w:val="es-DO"/>
        </w:rPr>
      </w:pPr>
      <w:r w:rsidRPr="006C2A50">
        <w:rPr>
          <w:rFonts w:eastAsia="Calibri"/>
          <w:b/>
          <w:bCs/>
          <w:sz w:val="28"/>
          <w:szCs w:val="28"/>
          <w:lang w:val="es-DO"/>
        </w:rPr>
        <w:lastRenderedPageBreak/>
        <w:t>4.4 Desempeño del Departamento de Tecnología de la Información y la Comunicación (TIC)</w:t>
      </w:r>
    </w:p>
    <w:p w14:paraId="2CB8A82B" w14:textId="77777777" w:rsidR="00B85649" w:rsidRDefault="006C2A50" w:rsidP="00ED3FEF">
      <w:pPr>
        <w:spacing w:line="360" w:lineRule="auto"/>
        <w:jc w:val="both"/>
        <w:rPr>
          <w:rFonts w:eastAsia="Calibri"/>
          <w:lang w:val="es-DO"/>
        </w:rPr>
      </w:pPr>
      <w:r w:rsidRPr="006C2A50">
        <w:rPr>
          <w:rFonts w:eastAsia="Calibri"/>
          <w:lang w:val="es-DO"/>
        </w:rPr>
        <w:t xml:space="preserve">El Departamento de Tecnología de la Información y la Comunicación (TIC) de la Dirección General de Museos (DGM) desempeña un rol fundamental en la modernización institucional y en la optimización de los procesos administrativos, operativos y museográficos. </w:t>
      </w:r>
    </w:p>
    <w:p w14:paraId="3CA59523" w14:textId="6AC1ED47" w:rsidR="006C2A50" w:rsidRPr="006C2A50" w:rsidRDefault="006C2A50" w:rsidP="00ED3FEF">
      <w:pPr>
        <w:spacing w:line="360" w:lineRule="auto"/>
        <w:jc w:val="both"/>
        <w:rPr>
          <w:rFonts w:eastAsia="Calibri"/>
          <w:lang w:val="es-DO"/>
        </w:rPr>
      </w:pPr>
      <w:r w:rsidRPr="006C2A50">
        <w:rPr>
          <w:rFonts w:eastAsia="Calibri"/>
          <w:lang w:val="es-DO"/>
        </w:rPr>
        <w:t>Durante el año 2025 se desarrollaron importantes iniciativas orientadas a fortalecer la infraestructura tecnológica, mejorar los servicios internos, apoyar las áreas misionales y garantizar la continuidad operativa de los catorce (14) museos que operan bajo la administración de la DGM.</w:t>
      </w:r>
    </w:p>
    <w:p w14:paraId="375727B9" w14:textId="77777777" w:rsidR="006C2A50" w:rsidRPr="006C2A50" w:rsidRDefault="006C2A50" w:rsidP="00ED3FEF">
      <w:pPr>
        <w:spacing w:line="360" w:lineRule="auto"/>
        <w:jc w:val="both"/>
        <w:rPr>
          <w:rFonts w:eastAsia="Calibri"/>
          <w:lang w:val="es-DO"/>
        </w:rPr>
      </w:pPr>
      <w:r w:rsidRPr="006C2A50">
        <w:rPr>
          <w:rFonts w:eastAsia="Calibri"/>
          <w:lang w:val="es-DO"/>
        </w:rPr>
        <w:t>En coherencia con los lineamientos del Ministerio de la Presidencia (MINPRE) y los principios de Gobierno Digital, se trabajó para asegurar la integridad, disponibilidad y confidencialidad de la información institucional, así como para impulsar procesos innovadores que contribuyan a la simplificación administrativa, la eficiencia operativa y el fortalecimiento de los servicios orientados a la ciudadanía.</w:t>
      </w:r>
    </w:p>
    <w:p w14:paraId="259BAD0A" w14:textId="77777777" w:rsidR="006C2A50" w:rsidRPr="006C2A50" w:rsidRDefault="006C2A50" w:rsidP="00ED3FEF">
      <w:pPr>
        <w:spacing w:line="360" w:lineRule="auto"/>
        <w:jc w:val="center"/>
        <w:rPr>
          <w:rFonts w:eastAsia="Calibri"/>
          <w:b/>
          <w:bCs/>
          <w:lang w:val="es-DO"/>
        </w:rPr>
      </w:pPr>
      <w:r w:rsidRPr="006C2A50">
        <w:rPr>
          <w:rFonts w:eastAsia="Calibri"/>
          <w:b/>
          <w:bCs/>
          <w:lang w:val="es-DO"/>
        </w:rPr>
        <w:t>Innovación y fortalecimiento de la infraestructura tecnológica</w:t>
      </w:r>
    </w:p>
    <w:p w14:paraId="604A2163"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 xml:space="preserve">Se realizó la reinstalación integral del servidor institucional del Museo Nacional de Historia y Geografía, incluyendo la configuración del Active </w:t>
      </w:r>
      <w:proofErr w:type="spellStart"/>
      <w:r w:rsidRPr="006C2A50">
        <w:rPr>
          <w:rFonts w:eastAsia="Calibri"/>
          <w:lang w:val="es-DO"/>
        </w:rPr>
        <w:t>Directory</w:t>
      </w:r>
      <w:proofErr w:type="spellEnd"/>
      <w:r w:rsidRPr="006C2A50">
        <w:rPr>
          <w:rFonts w:eastAsia="Calibri"/>
          <w:lang w:val="es-DO"/>
        </w:rPr>
        <w:t xml:space="preserve"> para la administración centralizada de usuarios y la implementación de un Servidor de Impresoras que permitió un control más eficiente de las impresoras. </w:t>
      </w:r>
    </w:p>
    <w:p w14:paraId="16EFBB1E" w14:textId="77777777" w:rsidR="006C2A50" w:rsidRPr="006C2A50" w:rsidRDefault="006C2A50" w:rsidP="00ED3FEF">
      <w:pPr>
        <w:spacing w:line="360" w:lineRule="auto"/>
        <w:ind w:left="720"/>
        <w:jc w:val="both"/>
        <w:rPr>
          <w:rFonts w:eastAsia="Calibri"/>
          <w:lang w:val="es-DO"/>
        </w:rPr>
      </w:pPr>
      <w:r w:rsidRPr="006C2A50">
        <w:rPr>
          <w:rFonts w:eastAsia="Calibri"/>
          <w:lang w:val="es-DO"/>
        </w:rPr>
        <w:t xml:space="preserve">Esta intervención fortaleció la seguridad y la gestión de credenciales, estandarizó las políticas de acceso, redujo significativamente las fallas relacionadas con la impresión y la </w:t>
      </w:r>
      <w:r w:rsidRPr="006C2A50">
        <w:rPr>
          <w:rFonts w:eastAsia="Calibri"/>
          <w:lang w:val="es-DO"/>
        </w:rPr>
        <w:lastRenderedPageBreak/>
        <w:t>autenticación, y su vez mejoró la eficiencia del soporte técnico y el mantenimiento preventivo del museo.</w:t>
      </w:r>
    </w:p>
    <w:p w14:paraId="05EA33CF"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Se renovó la licencia anual del Sistema de Solicitudes de Almacén y Suministros, garantizando su continuidad operativa y la actualización de funcionalidades clave. Esta actualización permitió agilizar los flujos de trabajo, mejorar la trazabilidad de inventarios y despachos, y disminuir la carga administrativa del área de Almacén, contribuyendo a una gestión más eficiente y transparente de los recursos institucionales.</w:t>
      </w:r>
    </w:p>
    <w:p w14:paraId="04D251BD"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Se completó al 100% la integración de todos los museos al servicio centralizado de impresión administrada, lo cual permitió estandarizar los equipos, mejorar los tiempos de respuesta ante incidencias y asegurar una administración más eficiente de los consumibles y el mantenimiento. La implementación generó una reducción significativa de costos operativos y mejoró la calidad de impresión en los distintos museos, garantizando un funcionamiento más estable y confiable del servicio.</w:t>
      </w:r>
    </w:p>
    <w:p w14:paraId="1396625B"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Se instalaron y configuraron nuevas computadoras en museos que no contaban con equipos adecuados o presentaban infraestructura tecnológica limitada. Esta iniciativa incrementó la productividad del personal, optimizó los procesos administrativos, redujo incidentes derivados de equipos obsoletos y mejoró la calidad del servicio brindado a los visitantes y usuarios de los museos.</w:t>
      </w:r>
    </w:p>
    <w:p w14:paraId="0B47F45C"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 xml:space="preserve">Se contrató un servidor en la nube para alojar el sistema de gestión de la Mediateca Alquiles Azar del Museo de Arte Moderno, en el cual se instaló y configuró Linux Server y se completó la implementación del sistema bibliotecario. Esta solución proporciona alta disponibilidad, estabilidad operativa </w:t>
      </w:r>
      <w:r w:rsidRPr="006C2A50">
        <w:rPr>
          <w:rFonts w:eastAsia="Calibri"/>
          <w:lang w:val="es-DO"/>
        </w:rPr>
        <w:lastRenderedPageBreak/>
        <w:t>y acceso remoto seguro, además de ofrecer una plataforma escalable que permitirá incorporar nuevas bibliotecas y colecciones en el futuro, reduciendo al mismo tiempo los costos asociados a infraestructura física y mantenimiento local.</w:t>
      </w:r>
    </w:p>
    <w:p w14:paraId="627622D8"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Se instaló y configuró una central PBX independiente para el Museo de las Casas Reales, desvinculando su sistema telefónico del sistema del Ministerio de Cultura. Esta acción otorgó al museo plena autonomía operativa, mejoró la estabilidad de las comunicaciones internas, permitió un control más eficiente de las extensiones y a su vez redujo la dependencia de sistemas externos, fortaleciendo así la gestión de llamadas y la atención al público.</w:t>
      </w:r>
    </w:p>
    <w:p w14:paraId="6923A5DD"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Se implementó una plataforma integral de monitoreo, análisis y protección de la infraestructura tecnológica del Museo de Arte Moderno, orientada a reforzar la seguridad institucional y la detección temprana de incidentes. Esta solución incorpora capacidades de sistema de detección de intrusos, supresión de integridad de archivos, auditaría de eventos, generación de alertas en tiempo real y monitoreo centralizado de servidores y estaciones de trabajo. Con esta implementación se elevó significativamente el nivel de protección ante amenazas informáticas, se mejoró la visibilidad del estado general de la infraestructura tecnológica y se redujeron los riesgos operativos asociados a vulnerabilidades, fortaleciendo los estándares de ciberseguridad de la institución.</w:t>
      </w:r>
    </w:p>
    <w:p w14:paraId="179EF09F" w14:textId="77777777" w:rsidR="006C2A50" w:rsidRPr="006C2A50" w:rsidRDefault="006C2A50" w:rsidP="00ED3FEF">
      <w:pPr>
        <w:numPr>
          <w:ilvl w:val="0"/>
          <w:numId w:val="25"/>
        </w:numPr>
        <w:spacing w:line="360" w:lineRule="auto"/>
        <w:contextualSpacing/>
        <w:jc w:val="both"/>
        <w:rPr>
          <w:rFonts w:eastAsia="Calibri"/>
          <w:lang w:val="es-DO"/>
        </w:rPr>
      </w:pPr>
      <w:r w:rsidRPr="006C2A50">
        <w:rPr>
          <w:rFonts w:eastAsia="Calibri"/>
          <w:lang w:val="es-DO"/>
        </w:rPr>
        <w:t xml:space="preserve">Se realizaron los trabajos de ampliación y fortalecimiento de la seguridad perimetral y defensa en ciberseguridad, con el propósito de mantener y monitorear las soluciones de seguridad perimetral implementadas en los museos, garantizando la protección </w:t>
      </w:r>
      <w:r w:rsidRPr="006C2A50">
        <w:rPr>
          <w:rFonts w:eastAsia="Calibri"/>
          <w:lang w:val="es-DO"/>
        </w:rPr>
        <w:lastRenderedPageBreak/>
        <w:t>de la red, el control del tráfico y la mitigación de amenazas externas. Asimismo, se está trabajando en la contratación y expansión progresiva de estos servicios a los museos que aún no los poseen, con el objetivo de fortalecer la protección de los datos institucionales, reducir vulnerabilidades y elevar de forma integral el nivel de ciberseguridad en toda la Red Nacional de Museos.</w:t>
      </w:r>
    </w:p>
    <w:p w14:paraId="4781B55D" w14:textId="4CA728BE" w:rsidR="006C2A50" w:rsidRPr="006C2A50" w:rsidRDefault="006C2A50" w:rsidP="00ED3FEF">
      <w:pPr>
        <w:spacing w:line="360" w:lineRule="auto"/>
        <w:rPr>
          <w:rFonts w:eastAsia="Calibri"/>
          <w:b/>
          <w:bCs/>
          <w:lang w:val="es-DO"/>
        </w:rPr>
      </w:pPr>
      <w:r w:rsidRPr="006C2A50">
        <w:rPr>
          <w:rFonts w:eastAsia="Calibri"/>
          <w:b/>
          <w:bCs/>
          <w:lang w:val="es-DO"/>
        </w:rPr>
        <w:t>Mejoramiento de los servicios para la comunicación externa de la DGM y la Red Nacional de Museos:</w:t>
      </w:r>
    </w:p>
    <w:p w14:paraId="56179410"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 </w:t>
      </w:r>
      <w:r w:rsidRPr="006C2A50">
        <w:rPr>
          <w:rFonts w:eastAsia="Calibri"/>
          <w:b/>
          <w:bCs/>
          <w:lang w:val="es-DO"/>
        </w:rPr>
        <w:t>Actualización y modernización del Portal Institucional de la DGM (</w:t>
      </w:r>
      <w:hyperlink r:id="rId39" w:tgtFrame="_new" w:history="1">
        <w:r w:rsidRPr="006C2A50">
          <w:rPr>
            <w:rFonts w:eastAsia="Calibri"/>
            <w:b/>
            <w:bCs/>
            <w:u w:val="single"/>
            <w:lang w:val="es-DO"/>
          </w:rPr>
          <w:t>https://dgm.gob.do/</w:t>
        </w:r>
      </w:hyperlink>
      <w:r w:rsidRPr="006C2A50">
        <w:rPr>
          <w:rFonts w:eastAsia="Calibri"/>
          <w:b/>
          <w:bCs/>
          <w:lang w:val="es-DO"/>
        </w:rPr>
        <w:t>)</w:t>
      </w:r>
      <w:r w:rsidRPr="006C2A50">
        <w:rPr>
          <w:rFonts w:eastAsia="Calibri"/>
          <w:lang w:val="es-DO"/>
        </w:rPr>
        <w:t>, en coordinación con el Departamento de Comunicaciones y la Oficina de Acceso a la Información. El portal se encuentra en la fase final de migración hacia una nueva plantilla y estructura tecnológica, con el propósito de cumplir los lineamientos establecidos por la OGTIC y avanzar hacia las certificaciones correspondientes a las normas NORTIC.</w:t>
      </w:r>
    </w:p>
    <w:p w14:paraId="61981D80"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 </w:t>
      </w:r>
      <w:r w:rsidRPr="006C2A50">
        <w:rPr>
          <w:rFonts w:eastAsia="Calibri"/>
          <w:b/>
          <w:bCs/>
          <w:lang w:val="es-DO"/>
        </w:rPr>
        <w:t>Actualización del Portal Institucional de la Red Nacional de Museos (</w:t>
      </w:r>
      <w:hyperlink r:id="rId40" w:tgtFrame="_new" w:history="1">
        <w:r w:rsidRPr="006C2A50">
          <w:rPr>
            <w:rFonts w:eastAsia="Calibri"/>
            <w:b/>
            <w:bCs/>
            <w:u w:val="single"/>
            <w:lang w:val="es-DO"/>
          </w:rPr>
          <w:t>https://museosrd.gob.do/</w:t>
        </w:r>
      </w:hyperlink>
      <w:r w:rsidRPr="006C2A50">
        <w:rPr>
          <w:rFonts w:eastAsia="Calibri"/>
          <w:b/>
          <w:bCs/>
          <w:lang w:val="es-DO"/>
        </w:rPr>
        <w:t>)</w:t>
      </w:r>
      <w:r w:rsidRPr="006C2A50">
        <w:rPr>
          <w:rFonts w:eastAsia="Calibri"/>
          <w:lang w:val="es-DO"/>
        </w:rPr>
        <w:t>, realizada en colaboración con el Departamento de Comunicaciones, con el objetivo de garantizar contenidos actualizados, mayor accesibilidad y mejoras en la experiencia digital del usuario.</w:t>
      </w:r>
    </w:p>
    <w:p w14:paraId="23B0A2B9" w14:textId="77777777" w:rsidR="006C2A50" w:rsidRPr="006C2A50" w:rsidRDefault="006C2A50" w:rsidP="00ED3FEF">
      <w:pPr>
        <w:spacing w:line="360" w:lineRule="auto"/>
        <w:jc w:val="both"/>
        <w:rPr>
          <w:rFonts w:eastAsia="Calibri"/>
          <w:b/>
          <w:bCs/>
          <w:lang w:val="es-DO"/>
        </w:rPr>
      </w:pPr>
      <w:r w:rsidRPr="006C2A50">
        <w:rPr>
          <w:rFonts w:eastAsia="Calibri"/>
          <w:b/>
          <w:bCs/>
          <w:lang w:val="es-DO"/>
        </w:rPr>
        <w:t>Colaboración con las áreas misionales para la difusión, conservación y salvaguarda del patrimonio cultural mueble conformado por las colecciones de los museos administrados por la DGM:</w:t>
      </w:r>
    </w:p>
    <w:p w14:paraId="4A5F6A46" w14:textId="77777777" w:rsidR="006C2A50" w:rsidRPr="006C2A50" w:rsidRDefault="006C2A50" w:rsidP="00ED3FEF">
      <w:pPr>
        <w:numPr>
          <w:ilvl w:val="0"/>
          <w:numId w:val="26"/>
        </w:numPr>
        <w:spacing w:line="360" w:lineRule="auto"/>
        <w:contextualSpacing/>
        <w:jc w:val="both"/>
        <w:rPr>
          <w:rFonts w:eastAsia="Calibri"/>
          <w:lang w:val="es-DO"/>
        </w:rPr>
      </w:pPr>
      <w:r w:rsidRPr="006C2A50">
        <w:rPr>
          <w:rFonts w:eastAsia="Calibri"/>
          <w:lang w:val="es-DO"/>
        </w:rPr>
        <w:t xml:space="preserve">Colaboración con la División de Manejo de Colecciones en los procesos de digitalización y catalogación de los registros de las colecciones de los museos administrados por la DGM, incluyendo el acompañamiento técnico en la renovación de la </w:t>
      </w:r>
      <w:r w:rsidRPr="006C2A50">
        <w:rPr>
          <w:rFonts w:eastAsia="Calibri"/>
          <w:lang w:val="es-DO"/>
        </w:rPr>
        <w:lastRenderedPageBreak/>
        <w:t>licencia del software especializado de inventario utilizado para estos fines. Esta acción garantiza la continuidad operativa del sistema, la gestión adecuada de los registros patrimoniales y el fortalecimiento de las capacidades tecnológicas del área.</w:t>
      </w:r>
    </w:p>
    <w:p w14:paraId="497CDBD1" w14:textId="5B1AE510" w:rsidR="006C2A50" w:rsidRPr="006C2A50" w:rsidRDefault="006C2A50" w:rsidP="00ED3FEF">
      <w:pPr>
        <w:spacing w:line="360" w:lineRule="auto"/>
        <w:jc w:val="both"/>
        <w:rPr>
          <w:rFonts w:eastAsia="Calibri"/>
          <w:b/>
          <w:bCs/>
          <w:lang w:val="es-DO"/>
        </w:rPr>
      </w:pPr>
      <w:r w:rsidRPr="006C2A50">
        <w:rPr>
          <w:rFonts w:eastAsia="Calibri"/>
          <w:b/>
          <w:bCs/>
          <w:lang w:val="es-DO"/>
        </w:rPr>
        <w:t>Desempeño de la Mesa de Ayuda Institucional</w:t>
      </w:r>
    </w:p>
    <w:p w14:paraId="5609B957" w14:textId="77777777" w:rsidR="006C2A50" w:rsidRPr="006C2A50" w:rsidRDefault="006C2A50" w:rsidP="00ED3FEF">
      <w:pPr>
        <w:spacing w:line="360" w:lineRule="auto"/>
        <w:jc w:val="both"/>
        <w:rPr>
          <w:rFonts w:eastAsia="Calibri"/>
          <w:lang w:val="es-DO"/>
        </w:rPr>
      </w:pPr>
      <w:r w:rsidRPr="006C2A50">
        <w:rPr>
          <w:rFonts w:eastAsia="Calibri"/>
          <w:lang w:val="es-DO"/>
        </w:rPr>
        <w:t>Durante el año 2025, la Mesa de Ayuda del Departamento de Tecnología de la Información y la Comunicación mantuvo un desempeño altamente eficiente en la atención y resolución de incidencias reportadas por los usuarios de la DGM y de los museos a nivel nacional. En total, se gestionaron cuatrocientas once (411) solicitudes, abarcando requerimientos relacionados con equipos, redes, impresoras, telefonía, software y servicios institucionales.</w:t>
      </w:r>
    </w:p>
    <w:p w14:paraId="4E182555" w14:textId="77777777" w:rsidR="006C2A50" w:rsidRPr="006C2A50" w:rsidRDefault="006C2A50" w:rsidP="00ED3FEF">
      <w:pPr>
        <w:spacing w:line="360" w:lineRule="auto"/>
        <w:jc w:val="both"/>
        <w:rPr>
          <w:rFonts w:eastAsia="Calibri"/>
          <w:lang w:val="es-DO"/>
        </w:rPr>
      </w:pPr>
      <w:r w:rsidRPr="006C2A50">
        <w:rPr>
          <w:rFonts w:eastAsia="Calibri"/>
          <w:lang w:val="es-DO"/>
        </w:rPr>
        <w:t>De estas solicitudes, cuatrocientas nueve (409) fueron cerradas satisfactoriamente, permaneciendo únicamente dos (2) solicitudes en estado de espera, lo que refleja un índice de eficiencia cercano al 100% y una respuesta constante a las necesidades operativas de la institución.</w:t>
      </w:r>
    </w:p>
    <w:p w14:paraId="0F5D08D8" w14:textId="77777777" w:rsidR="006C2A50" w:rsidRPr="006C2A50" w:rsidRDefault="006C2A50" w:rsidP="00ED3FEF">
      <w:pPr>
        <w:tabs>
          <w:tab w:val="left" w:pos="2694"/>
        </w:tabs>
        <w:spacing w:line="240" w:lineRule="auto"/>
        <w:jc w:val="center"/>
        <w:rPr>
          <w:rFonts w:eastAsia="Calibri"/>
          <w:lang w:val="es-DO"/>
        </w:rPr>
      </w:pPr>
      <w:r w:rsidRPr="006C2A50">
        <w:rPr>
          <w:rFonts w:eastAsia="Calibri"/>
          <w:noProof/>
        </w:rPr>
        <w:drawing>
          <wp:inline distT="0" distB="0" distL="114300" distR="114300" wp14:anchorId="2C161145" wp14:editId="7FCBAD90">
            <wp:extent cx="4389120" cy="2842895"/>
            <wp:effectExtent l="0" t="0" r="11430" b="14605"/>
            <wp:docPr id="331594224"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F290D92" w14:textId="5F45C2B8" w:rsidR="006C2A50" w:rsidRPr="006C2A50" w:rsidRDefault="006C2A50" w:rsidP="006C2A50">
      <w:pPr>
        <w:spacing w:after="0" w:line="240" w:lineRule="auto"/>
        <w:jc w:val="both"/>
        <w:rPr>
          <w:rFonts w:eastAsia="Calibri"/>
          <w:b/>
          <w:bCs/>
          <w:sz w:val="28"/>
          <w:szCs w:val="28"/>
          <w:lang w:val="es-DO"/>
        </w:rPr>
      </w:pPr>
      <w:r w:rsidRPr="006C2A50">
        <w:rPr>
          <w:rFonts w:eastAsia="Calibri"/>
          <w:i/>
          <w:iCs/>
          <w:sz w:val="20"/>
          <w:szCs w:val="20"/>
          <w:lang w:val="es-DO"/>
        </w:rPr>
        <w:t xml:space="preserve">   Gráfico </w:t>
      </w:r>
      <w:r w:rsidR="00DB7323">
        <w:rPr>
          <w:rFonts w:eastAsia="Calibri"/>
          <w:i/>
          <w:iCs/>
          <w:sz w:val="20"/>
          <w:szCs w:val="20"/>
          <w:lang w:val="es-DO"/>
        </w:rPr>
        <w:t>8.</w:t>
      </w:r>
      <w:r w:rsidRPr="006C2A50">
        <w:rPr>
          <w:rFonts w:eastAsia="Calibri"/>
          <w:i/>
          <w:iCs/>
          <w:sz w:val="20"/>
          <w:szCs w:val="20"/>
          <w:lang w:val="es-DO"/>
        </w:rPr>
        <w:t xml:space="preserve"> Solicitudes atendidas por la Mesa de Ayuda durante el año 2025</w:t>
      </w:r>
    </w:p>
    <w:p w14:paraId="64FAA8B3" w14:textId="77777777" w:rsidR="006C2A50" w:rsidRPr="006C2A50" w:rsidRDefault="006C2A50" w:rsidP="006C2A50">
      <w:pPr>
        <w:spacing w:line="360" w:lineRule="auto"/>
        <w:jc w:val="center"/>
        <w:rPr>
          <w:rFonts w:eastAsia="Calibri"/>
          <w:lang w:val="es-DO"/>
        </w:rPr>
      </w:pPr>
    </w:p>
    <w:p w14:paraId="7F26D53B" w14:textId="77777777" w:rsidR="006C2A50" w:rsidRDefault="006C2A50" w:rsidP="006C2A50">
      <w:pPr>
        <w:spacing w:line="360" w:lineRule="auto"/>
        <w:jc w:val="both"/>
        <w:rPr>
          <w:rFonts w:eastAsia="Calibri"/>
          <w:lang w:val="es-DO"/>
        </w:rPr>
      </w:pPr>
      <w:r w:rsidRPr="006C2A50">
        <w:rPr>
          <w:rFonts w:eastAsia="Calibri"/>
          <w:lang w:val="es-DO"/>
        </w:rPr>
        <w:lastRenderedPageBreak/>
        <w:t xml:space="preserve">Las solicitudes recibidas se distribuyeron en las categorías presentadas en la tabla siguiente: </w:t>
      </w:r>
    </w:p>
    <w:tbl>
      <w:tblPr>
        <w:tblW w:w="6745" w:type="dxa"/>
        <w:jc w:val="center"/>
        <w:tblLook w:val="04A0" w:firstRow="1" w:lastRow="0" w:firstColumn="1" w:lastColumn="0" w:noHBand="0" w:noVBand="1"/>
      </w:tblPr>
      <w:tblGrid>
        <w:gridCol w:w="3150"/>
        <w:gridCol w:w="1800"/>
        <w:gridCol w:w="1795"/>
      </w:tblGrid>
      <w:tr w:rsidR="006C2A50" w:rsidRPr="006C2A50" w14:paraId="686B8D20" w14:textId="77777777" w:rsidTr="00380477">
        <w:trPr>
          <w:trHeight w:val="480"/>
          <w:jc w:val="center"/>
        </w:trPr>
        <w:tc>
          <w:tcPr>
            <w:tcW w:w="3150" w:type="dxa"/>
            <w:tcBorders>
              <w:top w:val="single" w:sz="4" w:space="0" w:color="757171"/>
              <w:left w:val="single" w:sz="4" w:space="0" w:color="757171"/>
              <w:bottom w:val="single" w:sz="4" w:space="0" w:color="757171"/>
              <w:right w:val="single" w:sz="4" w:space="0" w:color="757171"/>
            </w:tcBorders>
            <w:shd w:val="clear" w:color="000000" w:fill="002060"/>
            <w:vAlign w:val="center"/>
          </w:tcPr>
          <w:p w14:paraId="0FCF4274" w14:textId="77777777" w:rsidR="006C2A50" w:rsidRPr="006C2A50" w:rsidRDefault="006C2A50" w:rsidP="006C2A50">
            <w:pPr>
              <w:spacing w:after="0" w:line="240" w:lineRule="auto"/>
              <w:jc w:val="center"/>
              <w:rPr>
                <w:rFonts w:eastAsia="Times New Roman"/>
                <w:b/>
                <w:bCs/>
                <w:color w:val="FFFFFF"/>
                <w:spacing w:val="0"/>
                <w:sz w:val="22"/>
                <w:szCs w:val="22"/>
              </w:rPr>
            </w:pPr>
            <w:proofErr w:type="spellStart"/>
            <w:r w:rsidRPr="006C2A50">
              <w:rPr>
                <w:rFonts w:eastAsia="Times New Roman"/>
                <w:b/>
                <w:bCs/>
                <w:color w:val="FFFFFF"/>
                <w:spacing w:val="0"/>
                <w:sz w:val="22"/>
                <w:szCs w:val="22"/>
              </w:rPr>
              <w:t>Categoría</w:t>
            </w:r>
            <w:proofErr w:type="spellEnd"/>
            <w:r w:rsidRPr="006C2A50">
              <w:rPr>
                <w:rFonts w:eastAsia="Times New Roman"/>
                <w:b/>
                <w:bCs/>
                <w:color w:val="FFFFFF"/>
                <w:spacing w:val="0"/>
                <w:sz w:val="22"/>
                <w:szCs w:val="22"/>
              </w:rPr>
              <w:t xml:space="preserve"> de Servicios</w:t>
            </w:r>
          </w:p>
        </w:tc>
        <w:tc>
          <w:tcPr>
            <w:tcW w:w="1800" w:type="dxa"/>
            <w:tcBorders>
              <w:top w:val="single" w:sz="4" w:space="0" w:color="757171"/>
              <w:left w:val="nil"/>
              <w:bottom w:val="single" w:sz="4" w:space="0" w:color="757171"/>
              <w:right w:val="single" w:sz="4" w:space="0" w:color="757171"/>
            </w:tcBorders>
            <w:shd w:val="clear" w:color="000000" w:fill="002060"/>
            <w:vAlign w:val="center"/>
          </w:tcPr>
          <w:p w14:paraId="1D352619" w14:textId="77777777" w:rsidR="006C2A50" w:rsidRPr="006C2A50" w:rsidRDefault="006C2A50" w:rsidP="006C2A50">
            <w:pPr>
              <w:spacing w:after="0" w:line="240" w:lineRule="auto"/>
              <w:jc w:val="center"/>
              <w:rPr>
                <w:rFonts w:eastAsia="Times New Roman"/>
                <w:b/>
                <w:bCs/>
                <w:color w:val="FFFFFF"/>
                <w:spacing w:val="0"/>
                <w:sz w:val="22"/>
                <w:szCs w:val="22"/>
              </w:rPr>
            </w:pPr>
            <w:r w:rsidRPr="006C2A50">
              <w:rPr>
                <w:rFonts w:eastAsia="Times New Roman"/>
                <w:b/>
                <w:bCs/>
                <w:color w:val="FFFFFF"/>
                <w:spacing w:val="0"/>
                <w:sz w:val="22"/>
                <w:szCs w:val="22"/>
              </w:rPr>
              <w:t>Solicitudes Atendidas</w:t>
            </w:r>
          </w:p>
        </w:tc>
        <w:tc>
          <w:tcPr>
            <w:tcW w:w="1795" w:type="dxa"/>
            <w:tcBorders>
              <w:top w:val="single" w:sz="4" w:space="0" w:color="757171"/>
              <w:left w:val="nil"/>
              <w:bottom w:val="single" w:sz="4" w:space="0" w:color="757171"/>
              <w:right w:val="single" w:sz="4" w:space="0" w:color="757171"/>
            </w:tcBorders>
            <w:shd w:val="clear" w:color="000000" w:fill="002060"/>
            <w:noWrap/>
            <w:vAlign w:val="center"/>
          </w:tcPr>
          <w:p w14:paraId="1B034B46" w14:textId="77777777" w:rsidR="006C2A50" w:rsidRPr="006C2A50" w:rsidRDefault="006C2A50" w:rsidP="006C2A50">
            <w:pPr>
              <w:spacing w:after="0" w:line="240" w:lineRule="auto"/>
              <w:jc w:val="center"/>
              <w:rPr>
                <w:rFonts w:ascii="Calibri" w:eastAsia="Times New Roman" w:hAnsi="Calibri" w:cs="Calibri"/>
                <w:b/>
                <w:bCs/>
                <w:color w:val="FFFFFF"/>
                <w:spacing w:val="0"/>
                <w:sz w:val="22"/>
                <w:szCs w:val="22"/>
              </w:rPr>
            </w:pPr>
            <w:r w:rsidRPr="006C2A50">
              <w:rPr>
                <w:rFonts w:ascii="Calibri" w:eastAsia="Times New Roman" w:hAnsi="Calibri" w:cs="Calibri"/>
                <w:b/>
                <w:bCs/>
                <w:color w:val="FFFFFF"/>
                <w:spacing w:val="0"/>
                <w:sz w:val="22"/>
                <w:szCs w:val="22"/>
              </w:rPr>
              <w:t>%</w:t>
            </w:r>
          </w:p>
        </w:tc>
      </w:tr>
      <w:tr w:rsidR="006C2A50" w:rsidRPr="006C2A50" w14:paraId="64192883" w14:textId="77777777" w:rsidTr="00E413CE">
        <w:trPr>
          <w:trHeight w:val="220"/>
          <w:jc w:val="center"/>
        </w:trPr>
        <w:tc>
          <w:tcPr>
            <w:tcW w:w="3150" w:type="dxa"/>
            <w:tcBorders>
              <w:top w:val="nil"/>
              <w:left w:val="single" w:sz="4" w:space="0" w:color="757171"/>
              <w:bottom w:val="single" w:sz="4" w:space="0" w:color="757171"/>
              <w:right w:val="single" w:sz="4" w:space="0" w:color="757171"/>
            </w:tcBorders>
          </w:tcPr>
          <w:p w14:paraId="0111F685"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Impresora</w:t>
            </w:r>
          </w:p>
        </w:tc>
        <w:tc>
          <w:tcPr>
            <w:tcW w:w="1800" w:type="dxa"/>
            <w:tcBorders>
              <w:top w:val="nil"/>
              <w:left w:val="nil"/>
              <w:bottom w:val="single" w:sz="4" w:space="0" w:color="757171"/>
              <w:right w:val="single" w:sz="4" w:space="0" w:color="757171"/>
            </w:tcBorders>
          </w:tcPr>
          <w:p w14:paraId="292B0364"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95</w:t>
            </w:r>
          </w:p>
        </w:tc>
        <w:tc>
          <w:tcPr>
            <w:tcW w:w="1795" w:type="dxa"/>
            <w:tcBorders>
              <w:top w:val="nil"/>
              <w:left w:val="nil"/>
              <w:bottom w:val="single" w:sz="4" w:space="0" w:color="757171"/>
              <w:right w:val="single" w:sz="4" w:space="0" w:color="757171"/>
            </w:tcBorders>
          </w:tcPr>
          <w:p w14:paraId="722DDA35"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23%</w:t>
            </w:r>
          </w:p>
        </w:tc>
      </w:tr>
      <w:tr w:rsidR="006C2A50" w:rsidRPr="006C2A50" w14:paraId="1B9995EE" w14:textId="77777777" w:rsidTr="00E413CE">
        <w:trPr>
          <w:trHeight w:val="56"/>
          <w:jc w:val="center"/>
        </w:trPr>
        <w:tc>
          <w:tcPr>
            <w:tcW w:w="3150" w:type="dxa"/>
            <w:tcBorders>
              <w:top w:val="nil"/>
              <w:left w:val="single" w:sz="4" w:space="0" w:color="757171"/>
              <w:bottom w:val="single" w:sz="4" w:space="0" w:color="757171"/>
              <w:right w:val="single" w:sz="4" w:space="0" w:color="757171"/>
            </w:tcBorders>
          </w:tcPr>
          <w:p w14:paraId="3434188F"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Redes</w:t>
            </w:r>
          </w:p>
        </w:tc>
        <w:tc>
          <w:tcPr>
            <w:tcW w:w="1800" w:type="dxa"/>
            <w:tcBorders>
              <w:top w:val="nil"/>
              <w:left w:val="nil"/>
              <w:bottom w:val="single" w:sz="4" w:space="0" w:color="757171"/>
              <w:right w:val="single" w:sz="4" w:space="0" w:color="757171"/>
            </w:tcBorders>
          </w:tcPr>
          <w:p w14:paraId="4D9F002A"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72</w:t>
            </w:r>
          </w:p>
        </w:tc>
        <w:tc>
          <w:tcPr>
            <w:tcW w:w="1795" w:type="dxa"/>
            <w:tcBorders>
              <w:top w:val="nil"/>
              <w:left w:val="nil"/>
              <w:bottom w:val="single" w:sz="4" w:space="0" w:color="757171"/>
              <w:right w:val="single" w:sz="4" w:space="0" w:color="757171"/>
            </w:tcBorders>
          </w:tcPr>
          <w:p w14:paraId="67D61968"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18%</w:t>
            </w:r>
          </w:p>
        </w:tc>
      </w:tr>
      <w:tr w:rsidR="006C2A50" w:rsidRPr="006C2A50" w14:paraId="3387E3BF" w14:textId="77777777" w:rsidTr="00E413CE">
        <w:trPr>
          <w:trHeight w:val="247"/>
          <w:jc w:val="center"/>
        </w:trPr>
        <w:tc>
          <w:tcPr>
            <w:tcW w:w="3150" w:type="dxa"/>
            <w:tcBorders>
              <w:top w:val="nil"/>
              <w:left w:val="single" w:sz="4" w:space="0" w:color="757171"/>
              <w:bottom w:val="single" w:sz="4" w:space="0" w:color="757171"/>
              <w:right w:val="single" w:sz="4" w:space="0" w:color="757171"/>
            </w:tcBorders>
          </w:tcPr>
          <w:p w14:paraId="6E199B8F"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Teléfono</w:t>
            </w:r>
          </w:p>
        </w:tc>
        <w:tc>
          <w:tcPr>
            <w:tcW w:w="1800" w:type="dxa"/>
            <w:tcBorders>
              <w:top w:val="nil"/>
              <w:left w:val="nil"/>
              <w:bottom w:val="single" w:sz="4" w:space="0" w:color="757171"/>
              <w:right w:val="single" w:sz="4" w:space="0" w:color="757171"/>
            </w:tcBorders>
          </w:tcPr>
          <w:p w14:paraId="67719D74"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28</w:t>
            </w:r>
          </w:p>
        </w:tc>
        <w:tc>
          <w:tcPr>
            <w:tcW w:w="1795" w:type="dxa"/>
            <w:tcBorders>
              <w:top w:val="nil"/>
              <w:left w:val="nil"/>
              <w:bottom w:val="single" w:sz="4" w:space="0" w:color="757171"/>
              <w:right w:val="single" w:sz="4" w:space="0" w:color="757171"/>
            </w:tcBorders>
          </w:tcPr>
          <w:p w14:paraId="0CB2698C"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7%</w:t>
            </w:r>
          </w:p>
        </w:tc>
      </w:tr>
      <w:tr w:rsidR="006C2A50" w:rsidRPr="006C2A50" w14:paraId="2997AFB8" w14:textId="77777777" w:rsidTr="00E413CE">
        <w:trPr>
          <w:trHeight w:val="247"/>
          <w:jc w:val="center"/>
        </w:trPr>
        <w:tc>
          <w:tcPr>
            <w:tcW w:w="3150" w:type="dxa"/>
            <w:tcBorders>
              <w:top w:val="nil"/>
              <w:left w:val="single" w:sz="4" w:space="0" w:color="757171"/>
              <w:bottom w:val="single" w:sz="4" w:space="0" w:color="757171"/>
              <w:right w:val="single" w:sz="4" w:space="0" w:color="757171"/>
            </w:tcBorders>
          </w:tcPr>
          <w:p w14:paraId="7F38DF97"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Hardware</w:t>
            </w:r>
          </w:p>
        </w:tc>
        <w:tc>
          <w:tcPr>
            <w:tcW w:w="1800" w:type="dxa"/>
            <w:tcBorders>
              <w:top w:val="nil"/>
              <w:left w:val="nil"/>
              <w:bottom w:val="single" w:sz="4" w:space="0" w:color="757171"/>
              <w:right w:val="single" w:sz="4" w:space="0" w:color="757171"/>
            </w:tcBorders>
          </w:tcPr>
          <w:p w14:paraId="43E68F74"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29</w:t>
            </w:r>
          </w:p>
        </w:tc>
        <w:tc>
          <w:tcPr>
            <w:tcW w:w="1795" w:type="dxa"/>
            <w:tcBorders>
              <w:top w:val="nil"/>
              <w:left w:val="nil"/>
              <w:bottom w:val="single" w:sz="4" w:space="0" w:color="757171"/>
              <w:right w:val="single" w:sz="4" w:space="0" w:color="757171"/>
            </w:tcBorders>
          </w:tcPr>
          <w:p w14:paraId="7F1A28AF"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7%</w:t>
            </w:r>
          </w:p>
        </w:tc>
      </w:tr>
      <w:tr w:rsidR="006C2A50" w:rsidRPr="006C2A50" w14:paraId="31BE73A4" w14:textId="77777777" w:rsidTr="00E413CE">
        <w:trPr>
          <w:trHeight w:val="157"/>
          <w:jc w:val="center"/>
        </w:trPr>
        <w:tc>
          <w:tcPr>
            <w:tcW w:w="3150" w:type="dxa"/>
            <w:tcBorders>
              <w:top w:val="nil"/>
              <w:left w:val="single" w:sz="4" w:space="0" w:color="757171"/>
              <w:bottom w:val="single" w:sz="4" w:space="0" w:color="757171"/>
              <w:right w:val="single" w:sz="4" w:space="0" w:color="757171"/>
            </w:tcBorders>
          </w:tcPr>
          <w:p w14:paraId="3B3D0048"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Software</w:t>
            </w:r>
          </w:p>
        </w:tc>
        <w:tc>
          <w:tcPr>
            <w:tcW w:w="1800" w:type="dxa"/>
            <w:tcBorders>
              <w:top w:val="nil"/>
              <w:left w:val="nil"/>
              <w:bottom w:val="single" w:sz="4" w:space="0" w:color="757171"/>
              <w:right w:val="single" w:sz="4" w:space="0" w:color="757171"/>
            </w:tcBorders>
          </w:tcPr>
          <w:p w14:paraId="2E40AD36"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31</w:t>
            </w:r>
          </w:p>
        </w:tc>
        <w:tc>
          <w:tcPr>
            <w:tcW w:w="1795" w:type="dxa"/>
            <w:tcBorders>
              <w:top w:val="nil"/>
              <w:left w:val="nil"/>
              <w:bottom w:val="single" w:sz="4" w:space="0" w:color="757171"/>
              <w:right w:val="single" w:sz="4" w:space="0" w:color="757171"/>
            </w:tcBorders>
          </w:tcPr>
          <w:p w14:paraId="0241CF68"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8%</w:t>
            </w:r>
          </w:p>
        </w:tc>
      </w:tr>
      <w:tr w:rsidR="006C2A50" w:rsidRPr="006C2A50" w14:paraId="7E496B86" w14:textId="77777777" w:rsidTr="00E413CE">
        <w:trPr>
          <w:trHeight w:val="75"/>
          <w:jc w:val="center"/>
        </w:trPr>
        <w:tc>
          <w:tcPr>
            <w:tcW w:w="3150" w:type="dxa"/>
            <w:tcBorders>
              <w:top w:val="nil"/>
              <w:left w:val="single" w:sz="4" w:space="0" w:color="757171"/>
              <w:bottom w:val="single" w:sz="4" w:space="0" w:color="757171"/>
              <w:right w:val="single" w:sz="4" w:space="0" w:color="757171"/>
            </w:tcBorders>
          </w:tcPr>
          <w:p w14:paraId="72673085"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Correo Electrónico</w:t>
            </w:r>
          </w:p>
        </w:tc>
        <w:tc>
          <w:tcPr>
            <w:tcW w:w="1800" w:type="dxa"/>
            <w:tcBorders>
              <w:top w:val="nil"/>
              <w:left w:val="nil"/>
              <w:bottom w:val="single" w:sz="4" w:space="0" w:color="757171"/>
              <w:right w:val="single" w:sz="4" w:space="0" w:color="757171"/>
            </w:tcBorders>
          </w:tcPr>
          <w:p w14:paraId="7BBD5C44"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29</w:t>
            </w:r>
          </w:p>
        </w:tc>
        <w:tc>
          <w:tcPr>
            <w:tcW w:w="1795" w:type="dxa"/>
            <w:tcBorders>
              <w:top w:val="nil"/>
              <w:left w:val="nil"/>
              <w:bottom w:val="single" w:sz="4" w:space="0" w:color="757171"/>
              <w:right w:val="single" w:sz="4" w:space="0" w:color="757171"/>
            </w:tcBorders>
          </w:tcPr>
          <w:p w14:paraId="2A89A9F2"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7%</w:t>
            </w:r>
          </w:p>
        </w:tc>
      </w:tr>
      <w:tr w:rsidR="006C2A50" w:rsidRPr="006C2A50" w14:paraId="17CEE8E1" w14:textId="77777777" w:rsidTr="00E413CE">
        <w:trPr>
          <w:trHeight w:val="256"/>
          <w:jc w:val="center"/>
        </w:trPr>
        <w:tc>
          <w:tcPr>
            <w:tcW w:w="3150" w:type="dxa"/>
            <w:tcBorders>
              <w:top w:val="nil"/>
              <w:left w:val="single" w:sz="4" w:space="0" w:color="757171"/>
              <w:bottom w:val="single" w:sz="4" w:space="0" w:color="757171"/>
              <w:right w:val="single" w:sz="4" w:space="0" w:color="757171"/>
            </w:tcBorders>
          </w:tcPr>
          <w:p w14:paraId="61AEDFE0"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Mantenimiento a equipos</w:t>
            </w:r>
          </w:p>
        </w:tc>
        <w:tc>
          <w:tcPr>
            <w:tcW w:w="1800" w:type="dxa"/>
            <w:tcBorders>
              <w:top w:val="nil"/>
              <w:left w:val="nil"/>
              <w:bottom w:val="single" w:sz="4" w:space="0" w:color="757171"/>
              <w:right w:val="single" w:sz="4" w:space="0" w:color="757171"/>
            </w:tcBorders>
          </w:tcPr>
          <w:p w14:paraId="0CCF794F"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14</w:t>
            </w:r>
          </w:p>
        </w:tc>
        <w:tc>
          <w:tcPr>
            <w:tcW w:w="1795" w:type="dxa"/>
            <w:tcBorders>
              <w:top w:val="nil"/>
              <w:left w:val="nil"/>
              <w:bottom w:val="single" w:sz="4" w:space="0" w:color="757171"/>
              <w:right w:val="single" w:sz="4" w:space="0" w:color="757171"/>
            </w:tcBorders>
          </w:tcPr>
          <w:p w14:paraId="0E6D7284"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3%</w:t>
            </w:r>
          </w:p>
        </w:tc>
      </w:tr>
      <w:tr w:rsidR="006C2A50" w:rsidRPr="006C2A50" w14:paraId="34367259" w14:textId="77777777" w:rsidTr="00E413CE">
        <w:trPr>
          <w:trHeight w:val="72"/>
          <w:jc w:val="center"/>
        </w:trPr>
        <w:tc>
          <w:tcPr>
            <w:tcW w:w="3150" w:type="dxa"/>
            <w:tcBorders>
              <w:top w:val="nil"/>
              <w:left w:val="single" w:sz="4" w:space="0" w:color="757171"/>
              <w:bottom w:val="single" w:sz="4" w:space="0" w:color="757171"/>
              <w:right w:val="single" w:sz="4" w:space="0" w:color="757171"/>
            </w:tcBorders>
          </w:tcPr>
          <w:p w14:paraId="77C8B8AE" w14:textId="77777777" w:rsidR="006C2A50" w:rsidRPr="006C2A50" w:rsidRDefault="006C2A50" w:rsidP="00E413CE">
            <w:pPr>
              <w:spacing w:after="0" w:line="240" w:lineRule="auto"/>
              <w:jc w:val="both"/>
              <w:rPr>
                <w:rFonts w:eastAsia="Calibri"/>
                <w:sz w:val="20"/>
                <w:szCs w:val="20"/>
                <w:lang w:val="es-DO"/>
              </w:rPr>
            </w:pPr>
            <w:r w:rsidRPr="006C2A50">
              <w:rPr>
                <w:rFonts w:eastAsia="Calibri"/>
                <w:sz w:val="20"/>
                <w:szCs w:val="20"/>
                <w:lang w:val="es-DO"/>
              </w:rPr>
              <w:t>Otros</w:t>
            </w:r>
          </w:p>
        </w:tc>
        <w:tc>
          <w:tcPr>
            <w:tcW w:w="1800" w:type="dxa"/>
            <w:tcBorders>
              <w:top w:val="nil"/>
              <w:left w:val="nil"/>
              <w:bottom w:val="single" w:sz="4" w:space="0" w:color="757171"/>
              <w:right w:val="single" w:sz="4" w:space="0" w:color="757171"/>
            </w:tcBorders>
          </w:tcPr>
          <w:p w14:paraId="6A61ED36"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113</w:t>
            </w:r>
          </w:p>
        </w:tc>
        <w:tc>
          <w:tcPr>
            <w:tcW w:w="1795" w:type="dxa"/>
            <w:tcBorders>
              <w:top w:val="nil"/>
              <w:left w:val="nil"/>
              <w:bottom w:val="single" w:sz="4" w:space="0" w:color="757171"/>
              <w:right w:val="single" w:sz="4" w:space="0" w:color="757171"/>
            </w:tcBorders>
          </w:tcPr>
          <w:p w14:paraId="49D61027" w14:textId="77777777" w:rsidR="006C2A50" w:rsidRPr="006C2A50" w:rsidRDefault="006C2A50" w:rsidP="00E413CE">
            <w:pPr>
              <w:spacing w:after="0" w:line="240" w:lineRule="auto"/>
              <w:jc w:val="center"/>
              <w:rPr>
                <w:rFonts w:eastAsia="Calibri"/>
                <w:sz w:val="20"/>
                <w:szCs w:val="20"/>
                <w:lang w:val="es-DO"/>
              </w:rPr>
            </w:pPr>
            <w:r w:rsidRPr="006C2A50">
              <w:rPr>
                <w:rFonts w:eastAsia="Calibri"/>
                <w:sz w:val="20"/>
                <w:szCs w:val="20"/>
                <w:lang w:val="es-DO"/>
              </w:rPr>
              <w:t>27%</w:t>
            </w:r>
          </w:p>
        </w:tc>
      </w:tr>
      <w:tr w:rsidR="006C2A50" w:rsidRPr="006C2A50" w14:paraId="37136C36" w14:textId="77777777" w:rsidTr="00380477">
        <w:trPr>
          <w:trHeight w:val="375"/>
          <w:jc w:val="center"/>
        </w:trPr>
        <w:tc>
          <w:tcPr>
            <w:tcW w:w="3150" w:type="dxa"/>
            <w:tcBorders>
              <w:top w:val="nil"/>
              <w:left w:val="single" w:sz="4" w:space="0" w:color="757171"/>
              <w:bottom w:val="single" w:sz="4" w:space="0" w:color="757171"/>
              <w:right w:val="single" w:sz="4" w:space="0" w:color="757171"/>
            </w:tcBorders>
            <w:shd w:val="clear" w:color="000000" w:fill="002060"/>
            <w:vAlign w:val="center"/>
          </w:tcPr>
          <w:p w14:paraId="27CD936E" w14:textId="77777777" w:rsidR="006C2A50" w:rsidRPr="006C2A50" w:rsidRDefault="006C2A50" w:rsidP="006C2A50">
            <w:pPr>
              <w:spacing w:after="0" w:line="240" w:lineRule="auto"/>
              <w:rPr>
                <w:rFonts w:eastAsia="Times New Roman"/>
                <w:b/>
                <w:bCs/>
                <w:color w:val="FFFFFF"/>
                <w:spacing w:val="0"/>
                <w:sz w:val="22"/>
                <w:szCs w:val="22"/>
              </w:rPr>
            </w:pPr>
            <w:r w:rsidRPr="006C2A50">
              <w:rPr>
                <w:rFonts w:eastAsia="Times New Roman"/>
                <w:b/>
                <w:bCs/>
                <w:color w:val="FFFFFF"/>
                <w:spacing w:val="0"/>
                <w:sz w:val="22"/>
                <w:szCs w:val="22"/>
              </w:rPr>
              <w:t>Total</w:t>
            </w:r>
          </w:p>
        </w:tc>
        <w:tc>
          <w:tcPr>
            <w:tcW w:w="1800" w:type="dxa"/>
            <w:tcBorders>
              <w:top w:val="nil"/>
              <w:left w:val="nil"/>
              <w:bottom w:val="single" w:sz="4" w:space="0" w:color="757171"/>
              <w:right w:val="single" w:sz="4" w:space="0" w:color="757171"/>
            </w:tcBorders>
            <w:shd w:val="clear" w:color="000000" w:fill="002060"/>
            <w:vAlign w:val="center"/>
          </w:tcPr>
          <w:p w14:paraId="149DA74C" w14:textId="77777777" w:rsidR="006C2A50" w:rsidRPr="006C2A50" w:rsidRDefault="006C2A50" w:rsidP="006C2A50">
            <w:pPr>
              <w:spacing w:after="0" w:line="240" w:lineRule="auto"/>
              <w:jc w:val="center"/>
              <w:rPr>
                <w:rFonts w:eastAsia="Times New Roman"/>
                <w:b/>
                <w:bCs/>
                <w:color w:val="FFFFFF"/>
                <w:spacing w:val="0"/>
                <w:sz w:val="22"/>
                <w:szCs w:val="22"/>
              </w:rPr>
            </w:pPr>
            <w:r w:rsidRPr="006C2A50">
              <w:rPr>
                <w:rFonts w:eastAsia="Times New Roman"/>
                <w:b/>
                <w:bCs/>
                <w:color w:val="FFFFFF"/>
                <w:spacing w:val="0"/>
                <w:sz w:val="22"/>
                <w:szCs w:val="22"/>
              </w:rPr>
              <w:t>411</w:t>
            </w:r>
          </w:p>
        </w:tc>
        <w:tc>
          <w:tcPr>
            <w:tcW w:w="1795" w:type="dxa"/>
            <w:tcBorders>
              <w:top w:val="nil"/>
              <w:left w:val="nil"/>
              <w:bottom w:val="single" w:sz="4" w:space="0" w:color="757171"/>
              <w:right w:val="single" w:sz="4" w:space="0" w:color="757171"/>
            </w:tcBorders>
            <w:shd w:val="clear" w:color="000000" w:fill="002060"/>
            <w:vAlign w:val="center"/>
          </w:tcPr>
          <w:p w14:paraId="7F27DB42" w14:textId="77777777" w:rsidR="006C2A50" w:rsidRPr="006C2A50" w:rsidRDefault="006C2A50" w:rsidP="006C2A50">
            <w:pPr>
              <w:spacing w:after="0" w:line="240" w:lineRule="auto"/>
              <w:jc w:val="center"/>
              <w:rPr>
                <w:rFonts w:eastAsia="Times New Roman"/>
                <w:b/>
                <w:bCs/>
                <w:color w:val="FFFFFF"/>
                <w:spacing w:val="0"/>
                <w:sz w:val="22"/>
                <w:szCs w:val="22"/>
              </w:rPr>
            </w:pPr>
            <w:r w:rsidRPr="006C2A50">
              <w:rPr>
                <w:rFonts w:eastAsia="Times New Roman"/>
                <w:b/>
                <w:bCs/>
                <w:color w:val="FFFFFF"/>
                <w:spacing w:val="0"/>
                <w:sz w:val="22"/>
                <w:szCs w:val="22"/>
              </w:rPr>
              <w:t>100%</w:t>
            </w:r>
          </w:p>
        </w:tc>
      </w:tr>
    </w:tbl>
    <w:p w14:paraId="7F2B298E" w14:textId="33273C35" w:rsidR="006C2A50" w:rsidRPr="006C2A50" w:rsidRDefault="006C2A50" w:rsidP="006C2A50">
      <w:pPr>
        <w:spacing w:after="0" w:line="240" w:lineRule="auto"/>
        <w:jc w:val="both"/>
        <w:rPr>
          <w:rFonts w:eastAsia="Calibri"/>
          <w:b/>
          <w:bCs/>
          <w:sz w:val="28"/>
          <w:szCs w:val="28"/>
          <w:lang w:val="es-DO"/>
        </w:rPr>
      </w:pPr>
      <w:r w:rsidRPr="006C2A50">
        <w:rPr>
          <w:rFonts w:eastAsia="Calibri"/>
          <w:i/>
          <w:iCs/>
          <w:sz w:val="20"/>
          <w:szCs w:val="20"/>
          <w:lang w:val="es-DO"/>
        </w:rPr>
        <w:t xml:space="preserve">                  Cuadro </w:t>
      </w:r>
      <w:r w:rsidR="00913C07">
        <w:rPr>
          <w:rFonts w:eastAsia="Calibri"/>
          <w:i/>
          <w:iCs/>
          <w:sz w:val="20"/>
          <w:szCs w:val="20"/>
          <w:lang w:val="es-DO"/>
        </w:rPr>
        <w:t>22</w:t>
      </w:r>
      <w:r w:rsidR="00DB7323">
        <w:rPr>
          <w:rFonts w:eastAsia="Calibri"/>
          <w:i/>
          <w:iCs/>
          <w:sz w:val="20"/>
          <w:szCs w:val="20"/>
          <w:lang w:val="es-DO"/>
        </w:rPr>
        <w:t>.</w:t>
      </w:r>
      <w:r w:rsidRPr="006C2A50">
        <w:rPr>
          <w:rFonts w:eastAsia="Calibri"/>
          <w:i/>
          <w:iCs/>
          <w:sz w:val="20"/>
          <w:szCs w:val="20"/>
          <w:lang w:val="es-DO"/>
        </w:rPr>
        <w:t xml:space="preserve"> Solicitudes atendidas por categoría de servicio</w:t>
      </w:r>
    </w:p>
    <w:p w14:paraId="35E639E7" w14:textId="77777777" w:rsidR="006C2A50" w:rsidRPr="006C2A50" w:rsidRDefault="006C2A50" w:rsidP="006C2A50">
      <w:pPr>
        <w:spacing w:line="360" w:lineRule="auto"/>
        <w:jc w:val="both"/>
        <w:rPr>
          <w:rFonts w:eastAsia="Calibri"/>
          <w:lang w:val="es-DO"/>
        </w:rPr>
      </w:pPr>
    </w:p>
    <w:p w14:paraId="5C481C92"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Mediante esta clasificación observamos que la categoría “Otros” concentra 113 solicitudes equivalentes al 27%, constituyéndose en la de mayor incidencia. Esta proporción elevada sugiere que una parte significativa de las necesidades de los usuarios no está siendo adecuadamente clasificada en las categorías existentes. </w:t>
      </w:r>
    </w:p>
    <w:p w14:paraId="557CFC15"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En segundo lugar, se observa una alta demanda en servicios relacionados con impresoras, con 95 solicitudes (23%), lo cual indica que estos equipos representan un punto crítico en los procesos administrativos. </w:t>
      </w:r>
    </w:p>
    <w:p w14:paraId="36DF92D0" w14:textId="77777777" w:rsidR="006C2A50" w:rsidRPr="006C2A50" w:rsidRDefault="006C2A50" w:rsidP="00ED3FEF">
      <w:pPr>
        <w:spacing w:line="360" w:lineRule="auto"/>
        <w:jc w:val="both"/>
        <w:rPr>
          <w:rFonts w:eastAsia="Calibri"/>
          <w:lang w:val="es-DO"/>
        </w:rPr>
      </w:pPr>
      <w:r w:rsidRPr="006C2A50">
        <w:rPr>
          <w:rFonts w:eastAsia="Calibri"/>
          <w:lang w:val="es-DO"/>
        </w:rPr>
        <w:t>Estos resultados permitieron identificar mejoras para ser implementadas el próximo año 2026.</w:t>
      </w:r>
    </w:p>
    <w:p w14:paraId="3A0FFF98" w14:textId="77777777" w:rsidR="006C2A50" w:rsidRPr="006C2A50" w:rsidRDefault="006C2A50" w:rsidP="00ED3FEF">
      <w:pPr>
        <w:numPr>
          <w:ilvl w:val="0"/>
          <w:numId w:val="27"/>
        </w:numPr>
        <w:tabs>
          <w:tab w:val="left" w:pos="420"/>
        </w:tabs>
        <w:spacing w:line="360" w:lineRule="auto"/>
        <w:jc w:val="both"/>
        <w:rPr>
          <w:rFonts w:eastAsia="Calibri"/>
          <w:lang w:val="es-DO"/>
        </w:rPr>
      </w:pPr>
      <w:r w:rsidRPr="006C2A50">
        <w:rPr>
          <w:rFonts w:eastAsia="Calibri"/>
          <w:lang w:val="es-DO"/>
        </w:rPr>
        <w:t>Revisión y ampliación de las categorías de servicio</w:t>
      </w:r>
    </w:p>
    <w:p w14:paraId="12CD2F61" w14:textId="77777777" w:rsidR="006C2A50" w:rsidRPr="006C2A50" w:rsidRDefault="006C2A50" w:rsidP="00ED3FEF">
      <w:pPr>
        <w:numPr>
          <w:ilvl w:val="0"/>
          <w:numId w:val="27"/>
        </w:numPr>
        <w:tabs>
          <w:tab w:val="left" w:pos="420"/>
        </w:tabs>
        <w:spacing w:line="360" w:lineRule="auto"/>
        <w:jc w:val="both"/>
        <w:rPr>
          <w:rFonts w:eastAsia="Calibri"/>
          <w:lang w:val="es-DO"/>
        </w:rPr>
      </w:pPr>
      <w:r w:rsidRPr="006C2A50">
        <w:rPr>
          <w:rFonts w:eastAsia="Calibri"/>
          <w:lang w:val="es-DO"/>
        </w:rPr>
        <w:t>Analizar los casos incluidos en “Otros” para identificar patrones.</w:t>
      </w:r>
    </w:p>
    <w:p w14:paraId="649F68D0" w14:textId="77777777" w:rsidR="006C2A50" w:rsidRPr="006C2A50" w:rsidRDefault="006C2A50" w:rsidP="00ED3FEF">
      <w:pPr>
        <w:numPr>
          <w:ilvl w:val="0"/>
          <w:numId w:val="27"/>
        </w:numPr>
        <w:tabs>
          <w:tab w:val="left" w:pos="420"/>
        </w:tabs>
        <w:spacing w:line="360" w:lineRule="auto"/>
        <w:jc w:val="both"/>
        <w:rPr>
          <w:rFonts w:eastAsia="Calibri"/>
          <w:lang w:val="es-DO"/>
        </w:rPr>
      </w:pPr>
      <w:r w:rsidRPr="006C2A50">
        <w:rPr>
          <w:rFonts w:eastAsia="Calibri"/>
          <w:lang w:val="es-DO"/>
        </w:rPr>
        <w:t>Crear nuevas categorías o subcategorías que permitan una clasificación más precisa.</w:t>
      </w:r>
    </w:p>
    <w:p w14:paraId="5284E5D4" w14:textId="77777777" w:rsidR="006C2A50" w:rsidRPr="006C2A50" w:rsidRDefault="006C2A50" w:rsidP="00ED3FEF">
      <w:pPr>
        <w:numPr>
          <w:ilvl w:val="0"/>
          <w:numId w:val="27"/>
        </w:numPr>
        <w:tabs>
          <w:tab w:val="left" w:pos="420"/>
        </w:tabs>
        <w:spacing w:line="360" w:lineRule="auto"/>
        <w:jc w:val="both"/>
        <w:rPr>
          <w:rFonts w:eastAsia="Calibri"/>
          <w:lang w:val="es-DO"/>
        </w:rPr>
      </w:pPr>
      <w:r w:rsidRPr="006C2A50">
        <w:rPr>
          <w:rFonts w:eastAsia="Calibri"/>
          <w:lang w:val="es-DO"/>
        </w:rPr>
        <w:t>Fortalecimiento de la gestión de impresoras·</w:t>
      </w:r>
      <w:r w:rsidRPr="006C2A50">
        <w:rPr>
          <w:rFonts w:eastAsia="Calibri" w:hint="eastAsia"/>
          <w:lang w:val="es-DO"/>
        </w:rPr>
        <w:t xml:space="preserve">  </w:t>
      </w:r>
    </w:p>
    <w:p w14:paraId="4F71CFEE" w14:textId="77777777" w:rsidR="006C2A50" w:rsidRDefault="006C2A50" w:rsidP="00ED3FEF">
      <w:pPr>
        <w:spacing w:line="360" w:lineRule="auto"/>
        <w:jc w:val="both"/>
        <w:rPr>
          <w:rFonts w:eastAsia="Calibri"/>
          <w:lang w:val="es-DO"/>
        </w:rPr>
      </w:pPr>
      <w:r w:rsidRPr="006C2A50">
        <w:rPr>
          <w:rFonts w:eastAsia="Calibri"/>
          <w:lang w:val="es-DO"/>
        </w:rPr>
        <w:lastRenderedPageBreak/>
        <w:t>El desempeño alcanzado refleja la capacidad del Departamento TIC para asegurar la continuidad de los servicios tecnológicos, mantener la operatividad institucional y responder de forma oportuna a las necesidades institucionales.</w:t>
      </w:r>
    </w:p>
    <w:p w14:paraId="459FA716" w14:textId="3A2BE25C" w:rsidR="006C2A50" w:rsidRPr="006C2A50" w:rsidRDefault="006C2A50" w:rsidP="00ED3FEF">
      <w:pPr>
        <w:spacing w:line="360" w:lineRule="auto"/>
        <w:jc w:val="both"/>
        <w:rPr>
          <w:rFonts w:eastAsia="Calibri"/>
          <w:b/>
          <w:bCs/>
          <w:sz w:val="28"/>
          <w:szCs w:val="28"/>
          <w:lang w:val="es-DO"/>
        </w:rPr>
      </w:pPr>
      <w:r w:rsidRPr="006C2A50">
        <w:rPr>
          <w:rFonts w:eastAsia="Calibri"/>
          <w:b/>
          <w:bCs/>
          <w:sz w:val="28"/>
          <w:szCs w:val="28"/>
          <w:lang w:val="es-DO"/>
        </w:rPr>
        <w:t xml:space="preserve">4.5 Desempeño </w:t>
      </w:r>
      <w:r w:rsidR="00D52943">
        <w:rPr>
          <w:rFonts w:eastAsia="Calibri"/>
          <w:b/>
          <w:bCs/>
          <w:sz w:val="28"/>
          <w:szCs w:val="28"/>
          <w:lang w:val="es-DO"/>
        </w:rPr>
        <w:t>del Sistema de Planificación y Desarrollo Institucional</w:t>
      </w:r>
    </w:p>
    <w:p w14:paraId="18D9C5AB" w14:textId="77777777" w:rsidR="006C2A50" w:rsidRPr="006C2A50" w:rsidRDefault="006C2A50" w:rsidP="00ED3FEF">
      <w:pPr>
        <w:spacing w:line="360" w:lineRule="auto"/>
        <w:jc w:val="both"/>
        <w:rPr>
          <w:rFonts w:eastAsia="Calibri"/>
          <w:lang w:val="es-DO"/>
        </w:rPr>
      </w:pPr>
      <w:r w:rsidRPr="006C2A50">
        <w:rPr>
          <w:rFonts w:eastAsia="Calibri"/>
          <w:lang w:val="es-DO"/>
        </w:rPr>
        <w:t>La planificación estratégica desempeña un papel fundamental en la administración pública al proporcionar una estructura sistemática y orientada al logro de resultados, mediante el desarrollo e implementación de políticas y programas diseñados en función de las necesidades particulares de cada territorio y de las unidades organizativas de la institución.</w:t>
      </w:r>
    </w:p>
    <w:p w14:paraId="75810051" w14:textId="77777777" w:rsidR="006C2A50" w:rsidRPr="006C2A50" w:rsidRDefault="006C2A50" w:rsidP="00ED3FEF">
      <w:pPr>
        <w:spacing w:line="360" w:lineRule="auto"/>
        <w:jc w:val="both"/>
        <w:rPr>
          <w:rFonts w:eastAsia="Calibri"/>
          <w:lang w:val="es-DO"/>
        </w:rPr>
      </w:pPr>
      <w:r w:rsidRPr="006C2A50">
        <w:rPr>
          <w:rFonts w:eastAsia="Calibri"/>
          <w:lang w:val="es-DO"/>
        </w:rPr>
        <w:t>Durante el año 2025, el Departamento de Planificación y Desarrollo de la DGM, ha concentrado esfuerzos en 7 líneas de acción relevantes:</w:t>
      </w:r>
    </w:p>
    <w:p w14:paraId="70F62367" w14:textId="77777777" w:rsidR="006C2A50" w:rsidRPr="006C2A50" w:rsidRDefault="006C2A50" w:rsidP="00ED3FEF">
      <w:pPr>
        <w:spacing w:line="360" w:lineRule="auto"/>
        <w:ind w:left="720"/>
        <w:contextualSpacing/>
        <w:jc w:val="both"/>
        <w:rPr>
          <w:rFonts w:eastAsia="Calibri"/>
          <w:lang w:val="es-DO"/>
        </w:rPr>
      </w:pPr>
      <w:r w:rsidRPr="006C2A50">
        <w:rPr>
          <w:rFonts w:eastAsia="Calibri"/>
          <w:b/>
          <w:bCs/>
          <w:lang w:val="es-DO"/>
        </w:rPr>
        <w:t xml:space="preserve">Seguimiento y monitoreo del Plan Operativo Anual (POA) </w:t>
      </w:r>
    </w:p>
    <w:p w14:paraId="2EB025B0" w14:textId="77777777" w:rsidR="006C2A50" w:rsidRPr="006C2A50" w:rsidRDefault="006C2A50" w:rsidP="00ED3FEF">
      <w:pPr>
        <w:spacing w:line="360" w:lineRule="auto"/>
        <w:contextualSpacing/>
        <w:jc w:val="both"/>
        <w:rPr>
          <w:rFonts w:eastAsia="Calibri"/>
          <w:lang w:val="es-DO"/>
        </w:rPr>
      </w:pPr>
      <w:r w:rsidRPr="006C2A50">
        <w:rPr>
          <w:rFonts w:eastAsia="Calibri"/>
          <w:lang w:val="es-DO"/>
        </w:rPr>
        <w:t xml:space="preserve">El Plan Operativo Anual (POA)responde a lo establecido en el Plan Estratégico Institucional vigente enfocados en los ejes estratégicos indicados. </w:t>
      </w:r>
    </w:p>
    <w:p w14:paraId="36A2A502" w14:textId="77777777" w:rsidR="006C2A50" w:rsidRPr="006C2A50" w:rsidRDefault="006C2A50" w:rsidP="00ED3FEF">
      <w:pPr>
        <w:numPr>
          <w:ilvl w:val="0"/>
          <w:numId w:val="28"/>
        </w:numPr>
        <w:spacing w:line="360" w:lineRule="auto"/>
        <w:contextualSpacing/>
        <w:jc w:val="both"/>
        <w:rPr>
          <w:rFonts w:eastAsia="Calibri"/>
          <w:lang w:val="es-DO"/>
        </w:rPr>
      </w:pPr>
      <w:r w:rsidRPr="006C2A50">
        <w:rPr>
          <w:rFonts w:eastAsia="Calibri"/>
          <w:lang w:val="es-DO"/>
        </w:rPr>
        <w:t>Fortalecimiento Institucional</w:t>
      </w:r>
    </w:p>
    <w:p w14:paraId="18A10FED" w14:textId="77777777" w:rsidR="006C2A50" w:rsidRPr="006C2A50" w:rsidRDefault="006C2A50" w:rsidP="00ED3FEF">
      <w:pPr>
        <w:numPr>
          <w:ilvl w:val="0"/>
          <w:numId w:val="28"/>
        </w:numPr>
        <w:spacing w:line="360" w:lineRule="auto"/>
        <w:contextualSpacing/>
        <w:jc w:val="both"/>
        <w:rPr>
          <w:rFonts w:eastAsia="Calibri"/>
          <w:lang w:val="es-DO"/>
        </w:rPr>
      </w:pPr>
      <w:r w:rsidRPr="006C2A50">
        <w:rPr>
          <w:rFonts w:eastAsia="Calibri"/>
          <w:lang w:val="es-DO"/>
        </w:rPr>
        <w:t>Desconcentración</w:t>
      </w:r>
    </w:p>
    <w:p w14:paraId="75ECB489" w14:textId="77777777" w:rsidR="006C2A50" w:rsidRPr="006C2A50" w:rsidRDefault="006C2A50" w:rsidP="00ED3FEF">
      <w:pPr>
        <w:numPr>
          <w:ilvl w:val="0"/>
          <w:numId w:val="28"/>
        </w:numPr>
        <w:spacing w:line="360" w:lineRule="auto"/>
        <w:contextualSpacing/>
        <w:jc w:val="both"/>
        <w:rPr>
          <w:rFonts w:eastAsia="Calibri"/>
          <w:lang w:val="es-DO"/>
        </w:rPr>
      </w:pPr>
      <w:r w:rsidRPr="006C2A50">
        <w:rPr>
          <w:rFonts w:eastAsia="Calibri"/>
          <w:lang w:val="es-DO"/>
        </w:rPr>
        <w:t>Conservación y salvaguarda de los museos y sus colecciones</w:t>
      </w:r>
    </w:p>
    <w:p w14:paraId="14D6E9E0" w14:textId="77777777" w:rsidR="006C2A50" w:rsidRPr="006C2A50" w:rsidRDefault="006C2A50" w:rsidP="00ED3FEF">
      <w:pPr>
        <w:numPr>
          <w:ilvl w:val="0"/>
          <w:numId w:val="28"/>
        </w:numPr>
        <w:spacing w:line="360" w:lineRule="auto"/>
        <w:contextualSpacing/>
        <w:jc w:val="both"/>
        <w:rPr>
          <w:rFonts w:eastAsia="Calibri"/>
          <w:lang w:val="es-DO"/>
        </w:rPr>
      </w:pPr>
      <w:r w:rsidRPr="006C2A50">
        <w:rPr>
          <w:rFonts w:eastAsia="Calibri"/>
          <w:lang w:val="es-DO"/>
        </w:rPr>
        <w:t>Fortalecimiento del Sistema de Formación del personal de los museos y la Dirección General de Museos</w:t>
      </w:r>
    </w:p>
    <w:p w14:paraId="13D704D4" w14:textId="77777777" w:rsidR="006C2A50" w:rsidRPr="006C2A50" w:rsidRDefault="006C2A50" w:rsidP="00ED3FEF">
      <w:pPr>
        <w:spacing w:line="360" w:lineRule="auto"/>
        <w:jc w:val="both"/>
        <w:rPr>
          <w:rFonts w:eastAsia="Calibri"/>
          <w:lang w:val="es-DO"/>
        </w:rPr>
      </w:pPr>
      <w:r w:rsidRPr="006C2A50">
        <w:rPr>
          <w:rFonts w:eastAsia="Calibri"/>
          <w:lang w:val="es-DO"/>
        </w:rPr>
        <w:t xml:space="preserve">Para el año 2025, se establecieron doscientas cuarenta y dos (242) iniciativas, de las cuales ciento noventa y seis (196) corresponden a los quince (15) Museos que se encuentran bajo la administración de la DGM y cuarenta y seis (46) corresponden a las ocho (8) Áreas Transversales y de Apoyo. </w:t>
      </w:r>
    </w:p>
    <w:p w14:paraId="3AE0F34F" w14:textId="77777777" w:rsidR="006C2A50" w:rsidRDefault="006C2A50" w:rsidP="00ED3FEF">
      <w:pPr>
        <w:spacing w:line="360" w:lineRule="auto"/>
        <w:jc w:val="both"/>
        <w:rPr>
          <w:rFonts w:eastAsia="Calibri"/>
          <w:lang w:val="es-DO"/>
        </w:rPr>
      </w:pPr>
      <w:r w:rsidRPr="006C2A50">
        <w:rPr>
          <w:rFonts w:eastAsia="Calibri"/>
          <w:lang w:val="es-DO"/>
        </w:rPr>
        <w:lastRenderedPageBreak/>
        <w:t>Durante este período, el 40.50% de las iniciativas fueron ejecutadas, el 17.02% se encuentran en proceso de ejecución y el 52.48% no fueron ejecutadas, por lo que serán incluidas en la planificación del próximo año.  Se ejecutaron cuarenta y cuatro (44) iniciativas que no fueron programadas en el POA del 2025.</w:t>
      </w:r>
    </w:p>
    <w:p w14:paraId="3A10E5DB" w14:textId="77777777" w:rsidR="006C2A50" w:rsidRDefault="006C2A50" w:rsidP="006C2A50">
      <w:pPr>
        <w:spacing w:line="360" w:lineRule="auto"/>
        <w:jc w:val="center"/>
        <w:rPr>
          <w:rFonts w:eastAsia="Calibri"/>
          <w:b/>
          <w:bCs/>
          <w:lang w:val="es-DO"/>
        </w:rPr>
      </w:pPr>
      <w:r w:rsidRPr="006C2A50">
        <w:rPr>
          <w:rFonts w:eastAsia="Calibri"/>
          <w:b/>
          <w:bCs/>
          <w:lang w:val="es-DO"/>
        </w:rPr>
        <w:t>Ejecución del Plan Operativo Anual 2025</w:t>
      </w:r>
    </w:p>
    <w:tbl>
      <w:tblPr>
        <w:tblStyle w:val="Tablaconcuadrcula3"/>
        <w:tblW w:w="0" w:type="auto"/>
        <w:jc w:val="center"/>
        <w:tblLook w:val="04A0" w:firstRow="1" w:lastRow="0" w:firstColumn="1" w:lastColumn="0" w:noHBand="0" w:noVBand="1"/>
      </w:tblPr>
      <w:tblGrid>
        <w:gridCol w:w="3415"/>
        <w:gridCol w:w="1440"/>
        <w:gridCol w:w="1177"/>
      </w:tblGrid>
      <w:tr w:rsidR="006C2A50" w:rsidRPr="006C2A50" w14:paraId="31C6CE9B" w14:textId="77777777" w:rsidTr="00380477">
        <w:trPr>
          <w:trHeight w:val="334"/>
          <w:jc w:val="center"/>
        </w:trPr>
        <w:tc>
          <w:tcPr>
            <w:tcW w:w="3415" w:type="dxa"/>
            <w:shd w:val="clear" w:color="auto" w:fill="002060"/>
            <w:vAlign w:val="bottom"/>
          </w:tcPr>
          <w:p w14:paraId="354ECC84" w14:textId="77777777" w:rsidR="006C2A50" w:rsidRPr="006C2A50" w:rsidRDefault="006C2A50" w:rsidP="006C2A50">
            <w:pPr>
              <w:spacing w:line="360" w:lineRule="auto"/>
              <w:jc w:val="center"/>
              <w:rPr>
                <w:rFonts w:eastAsia="Calibri"/>
                <w:b/>
                <w:bCs/>
                <w:color w:val="FFFFFF"/>
                <w:lang w:val="es-DO"/>
              </w:rPr>
            </w:pPr>
            <w:r w:rsidRPr="006C2A50">
              <w:rPr>
                <w:rFonts w:eastAsia="Calibri"/>
                <w:b/>
                <w:bCs/>
                <w:color w:val="FFFFFF"/>
                <w:lang w:val="es-DO"/>
              </w:rPr>
              <w:t>Estado Iniciativas</w:t>
            </w:r>
          </w:p>
        </w:tc>
        <w:tc>
          <w:tcPr>
            <w:tcW w:w="1440" w:type="dxa"/>
            <w:shd w:val="clear" w:color="auto" w:fill="002060"/>
            <w:vAlign w:val="bottom"/>
          </w:tcPr>
          <w:p w14:paraId="2B08A225" w14:textId="77777777" w:rsidR="006C2A50" w:rsidRPr="006C2A50" w:rsidRDefault="006C2A50" w:rsidP="006C2A50">
            <w:pPr>
              <w:spacing w:line="360" w:lineRule="auto"/>
              <w:jc w:val="center"/>
              <w:rPr>
                <w:rFonts w:eastAsia="Calibri"/>
                <w:b/>
                <w:bCs/>
                <w:color w:val="FFFFFF"/>
                <w:lang w:val="es-DO"/>
              </w:rPr>
            </w:pPr>
            <w:r w:rsidRPr="006C2A50">
              <w:rPr>
                <w:rFonts w:eastAsia="Calibri"/>
                <w:b/>
                <w:bCs/>
                <w:color w:val="FFFFFF"/>
                <w:lang w:val="es-DO"/>
              </w:rPr>
              <w:t>Cantidad</w:t>
            </w:r>
          </w:p>
        </w:tc>
        <w:tc>
          <w:tcPr>
            <w:tcW w:w="1177" w:type="dxa"/>
            <w:shd w:val="clear" w:color="auto" w:fill="002060"/>
            <w:vAlign w:val="center"/>
          </w:tcPr>
          <w:p w14:paraId="05413625" w14:textId="77777777" w:rsidR="006C2A50" w:rsidRPr="006C2A50" w:rsidRDefault="006C2A50" w:rsidP="006C2A50">
            <w:pPr>
              <w:spacing w:line="360" w:lineRule="auto"/>
              <w:jc w:val="center"/>
              <w:rPr>
                <w:rFonts w:eastAsia="Calibri"/>
                <w:b/>
                <w:bCs/>
                <w:color w:val="FFFFFF"/>
                <w:lang w:val="es-DO"/>
              </w:rPr>
            </w:pPr>
            <w:r w:rsidRPr="006C2A50">
              <w:rPr>
                <w:rFonts w:eastAsia="Calibri"/>
                <w:b/>
                <w:bCs/>
                <w:color w:val="FFFFFF"/>
                <w:lang w:val="es-DO"/>
              </w:rPr>
              <w:t>%</w:t>
            </w:r>
          </w:p>
        </w:tc>
      </w:tr>
      <w:tr w:rsidR="006C2A50" w:rsidRPr="006C2A50" w14:paraId="6F708813" w14:textId="77777777" w:rsidTr="00380477">
        <w:trPr>
          <w:trHeight w:val="311"/>
          <w:jc w:val="center"/>
        </w:trPr>
        <w:tc>
          <w:tcPr>
            <w:tcW w:w="3415" w:type="dxa"/>
            <w:vAlign w:val="center"/>
          </w:tcPr>
          <w:p w14:paraId="32F0EDBF" w14:textId="77777777" w:rsidR="006C2A50" w:rsidRPr="006C2A50" w:rsidRDefault="006C2A50" w:rsidP="006C2A50">
            <w:pPr>
              <w:spacing w:line="360" w:lineRule="auto"/>
              <w:jc w:val="both"/>
              <w:rPr>
                <w:rFonts w:eastAsia="Calibri"/>
                <w:color w:val="767171"/>
                <w:lang w:val="es-DO"/>
              </w:rPr>
            </w:pPr>
            <w:r w:rsidRPr="006C2A50">
              <w:rPr>
                <w:rFonts w:eastAsia="Calibri"/>
                <w:color w:val="767171"/>
                <w:lang w:val="es-DO"/>
              </w:rPr>
              <w:t>Ejecutadas</w:t>
            </w:r>
          </w:p>
        </w:tc>
        <w:tc>
          <w:tcPr>
            <w:tcW w:w="1440" w:type="dxa"/>
            <w:vAlign w:val="center"/>
          </w:tcPr>
          <w:p w14:paraId="5FDD7F44" w14:textId="77777777" w:rsidR="006C2A50" w:rsidRPr="006C2A50" w:rsidRDefault="006C2A50" w:rsidP="006C2A50">
            <w:pPr>
              <w:spacing w:line="360" w:lineRule="auto"/>
              <w:jc w:val="center"/>
              <w:rPr>
                <w:rFonts w:eastAsia="Calibri"/>
                <w:color w:val="767171"/>
                <w:lang w:val="es-DO"/>
              </w:rPr>
            </w:pPr>
            <w:r w:rsidRPr="006C2A50">
              <w:rPr>
                <w:rFonts w:eastAsia="Calibri"/>
                <w:color w:val="767171"/>
                <w:lang w:val="es-DO"/>
              </w:rPr>
              <w:t>98</w:t>
            </w:r>
          </w:p>
        </w:tc>
        <w:tc>
          <w:tcPr>
            <w:tcW w:w="1177" w:type="dxa"/>
            <w:vAlign w:val="center"/>
          </w:tcPr>
          <w:p w14:paraId="4F684D76" w14:textId="77777777" w:rsidR="006C2A50" w:rsidRPr="006C2A50" w:rsidRDefault="006C2A50" w:rsidP="006C2A50">
            <w:pPr>
              <w:spacing w:line="360" w:lineRule="auto"/>
              <w:jc w:val="center"/>
              <w:rPr>
                <w:rFonts w:eastAsia="Calibri"/>
                <w:color w:val="767171"/>
                <w:lang w:val="es-DO"/>
              </w:rPr>
            </w:pPr>
            <w:r w:rsidRPr="006C2A50">
              <w:rPr>
                <w:rFonts w:eastAsia="Calibri"/>
                <w:color w:val="767171"/>
                <w:lang w:val="es-DO"/>
              </w:rPr>
              <w:t>40.50%</w:t>
            </w:r>
          </w:p>
        </w:tc>
      </w:tr>
      <w:tr w:rsidR="006C2A50" w:rsidRPr="006C2A50" w14:paraId="0A2BF2BA" w14:textId="77777777" w:rsidTr="00380477">
        <w:trPr>
          <w:trHeight w:val="303"/>
          <w:jc w:val="center"/>
        </w:trPr>
        <w:tc>
          <w:tcPr>
            <w:tcW w:w="3415" w:type="dxa"/>
            <w:vAlign w:val="center"/>
          </w:tcPr>
          <w:p w14:paraId="4B21236F" w14:textId="77777777" w:rsidR="006C2A50" w:rsidRPr="006C2A50" w:rsidRDefault="006C2A50" w:rsidP="006C2A50">
            <w:pPr>
              <w:spacing w:line="360" w:lineRule="auto"/>
              <w:jc w:val="both"/>
              <w:rPr>
                <w:rFonts w:eastAsia="Calibri"/>
                <w:color w:val="767171"/>
                <w:lang w:val="es-DO"/>
              </w:rPr>
            </w:pPr>
            <w:r w:rsidRPr="006C2A50">
              <w:rPr>
                <w:rFonts w:eastAsia="Calibri"/>
                <w:color w:val="767171"/>
                <w:lang w:val="es-DO"/>
              </w:rPr>
              <w:t xml:space="preserve">En </w:t>
            </w:r>
            <w:r w:rsidRPr="006C2A50">
              <w:rPr>
                <w:rFonts w:eastAsia="Calibri"/>
                <w:color w:val="767171"/>
              </w:rPr>
              <w:t>proceso</w:t>
            </w:r>
            <w:r w:rsidRPr="006C2A50">
              <w:rPr>
                <w:rFonts w:eastAsia="Calibri"/>
                <w:color w:val="767171"/>
                <w:lang w:val="es-DO"/>
              </w:rPr>
              <w:t xml:space="preserve"> de ejecución</w:t>
            </w:r>
          </w:p>
        </w:tc>
        <w:tc>
          <w:tcPr>
            <w:tcW w:w="1440" w:type="dxa"/>
            <w:vAlign w:val="center"/>
          </w:tcPr>
          <w:p w14:paraId="51592DC5" w14:textId="77777777" w:rsidR="006C2A50" w:rsidRPr="006C2A50" w:rsidRDefault="006C2A50" w:rsidP="006C2A50">
            <w:pPr>
              <w:spacing w:line="360" w:lineRule="auto"/>
              <w:jc w:val="center"/>
              <w:rPr>
                <w:rFonts w:eastAsia="Calibri"/>
                <w:color w:val="767171"/>
                <w:lang w:val="es-DO"/>
              </w:rPr>
            </w:pPr>
            <w:r w:rsidRPr="006C2A50">
              <w:rPr>
                <w:rFonts w:eastAsia="Calibri"/>
                <w:color w:val="767171"/>
                <w:lang w:val="es-DO"/>
              </w:rPr>
              <w:t>17</w:t>
            </w:r>
          </w:p>
        </w:tc>
        <w:tc>
          <w:tcPr>
            <w:tcW w:w="1177" w:type="dxa"/>
            <w:vAlign w:val="center"/>
          </w:tcPr>
          <w:p w14:paraId="653DAD3D" w14:textId="77777777" w:rsidR="006C2A50" w:rsidRPr="006C2A50" w:rsidRDefault="006C2A50" w:rsidP="006C2A50">
            <w:pPr>
              <w:spacing w:line="360" w:lineRule="auto"/>
              <w:jc w:val="center"/>
              <w:rPr>
                <w:rFonts w:eastAsia="Calibri"/>
                <w:color w:val="767171"/>
                <w:lang w:val="es-DO"/>
              </w:rPr>
            </w:pPr>
            <w:r w:rsidRPr="006C2A50">
              <w:rPr>
                <w:rFonts w:eastAsia="Calibri"/>
                <w:color w:val="767171"/>
                <w:lang w:val="es-DO"/>
              </w:rPr>
              <w:t>7.02%</w:t>
            </w:r>
          </w:p>
        </w:tc>
      </w:tr>
      <w:tr w:rsidR="006C2A50" w:rsidRPr="006C2A50" w14:paraId="06171C61" w14:textId="77777777" w:rsidTr="00380477">
        <w:trPr>
          <w:trHeight w:val="118"/>
          <w:jc w:val="center"/>
        </w:trPr>
        <w:tc>
          <w:tcPr>
            <w:tcW w:w="3415" w:type="dxa"/>
            <w:vAlign w:val="center"/>
          </w:tcPr>
          <w:p w14:paraId="530B7CD2" w14:textId="77777777" w:rsidR="006C2A50" w:rsidRPr="006C2A50" w:rsidRDefault="006C2A50" w:rsidP="006C2A50">
            <w:pPr>
              <w:spacing w:line="360" w:lineRule="auto"/>
              <w:jc w:val="both"/>
              <w:rPr>
                <w:rFonts w:eastAsia="Calibri"/>
                <w:color w:val="767171"/>
                <w:lang w:val="es-DO"/>
              </w:rPr>
            </w:pPr>
            <w:r w:rsidRPr="006C2A50">
              <w:rPr>
                <w:rFonts w:eastAsia="Calibri"/>
                <w:color w:val="767171"/>
                <w:lang w:val="es-DO"/>
              </w:rPr>
              <w:t>No ejecutadas</w:t>
            </w:r>
          </w:p>
        </w:tc>
        <w:tc>
          <w:tcPr>
            <w:tcW w:w="1440" w:type="dxa"/>
            <w:vAlign w:val="center"/>
          </w:tcPr>
          <w:p w14:paraId="7AC0676A" w14:textId="77777777" w:rsidR="006C2A50" w:rsidRPr="006C2A50" w:rsidRDefault="006C2A50" w:rsidP="006C2A50">
            <w:pPr>
              <w:spacing w:line="360" w:lineRule="auto"/>
              <w:jc w:val="center"/>
              <w:rPr>
                <w:rFonts w:eastAsia="Calibri"/>
                <w:color w:val="767171"/>
                <w:lang w:val="es-DO"/>
              </w:rPr>
            </w:pPr>
            <w:r w:rsidRPr="006C2A50">
              <w:rPr>
                <w:rFonts w:eastAsia="Calibri"/>
                <w:color w:val="767171"/>
                <w:lang w:val="es-DO"/>
              </w:rPr>
              <w:t>127</w:t>
            </w:r>
          </w:p>
        </w:tc>
        <w:tc>
          <w:tcPr>
            <w:tcW w:w="1177" w:type="dxa"/>
            <w:vAlign w:val="center"/>
          </w:tcPr>
          <w:p w14:paraId="424C59A0" w14:textId="77777777" w:rsidR="006C2A50" w:rsidRPr="006C2A50" w:rsidRDefault="006C2A50" w:rsidP="006C2A50">
            <w:pPr>
              <w:spacing w:line="360" w:lineRule="auto"/>
              <w:jc w:val="center"/>
              <w:rPr>
                <w:rFonts w:eastAsia="Calibri"/>
                <w:color w:val="767171"/>
                <w:lang w:val="es-DO"/>
              </w:rPr>
            </w:pPr>
            <w:r w:rsidRPr="006C2A50">
              <w:rPr>
                <w:rFonts w:eastAsia="Calibri"/>
                <w:color w:val="767171"/>
                <w:lang w:val="es-DO"/>
              </w:rPr>
              <w:t>52.48%</w:t>
            </w:r>
          </w:p>
        </w:tc>
      </w:tr>
      <w:tr w:rsidR="006C2A50" w:rsidRPr="006C2A50" w14:paraId="538ACB5C" w14:textId="77777777" w:rsidTr="00380477">
        <w:trPr>
          <w:trHeight w:val="118"/>
          <w:jc w:val="center"/>
        </w:trPr>
        <w:tc>
          <w:tcPr>
            <w:tcW w:w="3415" w:type="dxa"/>
            <w:shd w:val="clear" w:color="auto" w:fill="002060"/>
            <w:vAlign w:val="center"/>
          </w:tcPr>
          <w:p w14:paraId="3FA87321" w14:textId="77777777" w:rsidR="006C2A50" w:rsidRPr="006C2A50" w:rsidRDefault="006C2A50" w:rsidP="006C2A50">
            <w:pPr>
              <w:spacing w:line="360" w:lineRule="auto"/>
              <w:jc w:val="both"/>
              <w:rPr>
                <w:rFonts w:eastAsia="Calibri"/>
                <w:b/>
                <w:bCs/>
                <w:color w:val="FFFFFF" w:themeColor="background1"/>
                <w:lang w:val="es-DO"/>
              </w:rPr>
            </w:pPr>
            <w:r w:rsidRPr="006C2A50">
              <w:rPr>
                <w:rFonts w:eastAsia="Calibri"/>
                <w:b/>
                <w:bCs/>
                <w:color w:val="FFFFFF" w:themeColor="background1"/>
                <w:lang w:val="es-DO"/>
              </w:rPr>
              <w:t>Total</w:t>
            </w:r>
          </w:p>
        </w:tc>
        <w:tc>
          <w:tcPr>
            <w:tcW w:w="1440" w:type="dxa"/>
            <w:shd w:val="clear" w:color="auto" w:fill="002060"/>
            <w:vAlign w:val="center"/>
          </w:tcPr>
          <w:p w14:paraId="3C55942D" w14:textId="77777777" w:rsidR="006C2A50" w:rsidRPr="006C2A50" w:rsidRDefault="006C2A50" w:rsidP="006C2A50">
            <w:pPr>
              <w:spacing w:line="360" w:lineRule="auto"/>
              <w:jc w:val="center"/>
              <w:rPr>
                <w:rFonts w:eastAsia="Calibri"/>
                <w:b/>
                <w:bCs/>
                <w:color w:val="FFFFFF" w:themeColor="background1"/>
                <w:lang w:val="es-DO"/>
              </w:rPr>
            </w:pPr>
            <w:r w:rsidRPr="006C2A50">
              <w:rPr>
                <w:rFonts w:eastAsia="Calibri"/>
                <w:b/>
                <w:bCs/>
                <w:color w:val="FFFFFF" w:themeColor="background1"/>
                <w:lang w:val="es-DO"/>
              </w:rPr>
              <w:t>242</w:t>
            </w:r>
          </w:p>
        </w:tc>
        <w:tc>
          <w:tcPr>
            <w:tcW w:w="1177" w:type="dxa"/>
            <w:shd w:val="clear" w:color="auto" w:fill="002060"/>
            <w:vAlign w:val="center"/>
          </w:tcPr>
          <w:p w14:paraId="3A225E5C" w14:textId="77777777" w:rsidR="006C2A50" w:rsidRPr="006C2A50" w:rsidRDefault="006C2A50" w:rsidP="006C2A50">
            <w:pPr>
              <w:spacing w:line="360" w:lineRule="auto"/>
              <w:jc w:val="center"/>
              <w:rPr>
                <w:rFonts w:eastAsia="Calibri"/>
                <w:b/>
                <w:bCs/>
                <w:color w:val="FFFFFF" w:themeColor="background1"/>
                <w:lang w:val="es-DO"/>
              </w:rPr>
            </w:pPr>
            <w:r w:rsidRPr="006C2A50">
              <w:rPr>
                <w:rFonts w:eastAsia="Calibri"/>
                <w:b/>
                <w:bCs/>
                <w:color w:val="FFFFFF" w:themeColor="background1"/>
                <w:lang w:val="es-DO"/>
              </w:rPr>
              <w:t>100%</w:t>
            </w:r>
          </w:p>
        </w:tc>
      </w:tr>
    </w:tbl>
    <w:p w14:paraId="0EA85D65" w14:textId="11F519ED" w:rsidR="006C2A50" w:rsidRPr="006C2A50" w:rsidRDefault="006C2A50" w:rsidP="006C2A50">
      <w:pPr>
        <w:spacing w:line="360" w:lineRule="auto"/>
        <w:ind w:firstLine="720"/>
        <w:rPr>
          <w:rFonts w:eastAsia="Calibri"/>
          <w:color w:val="FF0000"/>
          <w:sz w:val="18"/>
          <w:szCs w:val="18"/>
          <w:lang w:val="es-DO"/>
        </w:rPr>
      </w:pPr>
      <w:r w:rsidRPr="006C2A50">
        <w:rPr>
          <w:rFonts w:eastAsia="Calibri"/>
          <w:color w:val="FF0000"/>
          <w:sz w:val="18"/>
          <w:szCs w:val="18"/>
          <w:lang w:val="es-DO"/>
        </w:rPr>
        <w:t xml:space="preserve">          </w:t>
      </w:r>
      <w:r w:rsidRPr="006C2A50">
        <w:rPr>
          <w:rFonts w:eastAsia="Calibri"/>
          <w:i/>
          <w:iCs/>
          <w:sz w:val="19"/>
          <w:szCs w:val="19"/>
          <w:lang w:val="es-DO"/>
        </w:rPr>
        <w:t xml:space="preserve">Cuadro </w:t>
      </w:r>
      <w:r w:rsidR="00913C07">
        <w:rPr>
          <w:rFonts w:eastAsia="Calibri"/>
          <w:i/>
          <w:iCs/>
          <w:sz w:val="19"/>
          <w:szCs w:val="19"/>
          <w:lang w:val="es-DO"/>
        </w:rPr>
        <w:t xml:space="preserve">23. </w:t>
      </w:r>
      <w:r w:rsidRPr="006C2A50">
        <w:rPr>
          <w:rFonts w:eastAsia="Calibri"/>
          <w:i/>
          <w:iCs/>
          <w:sz w:val="19"/>
          <w:szCs w:val="19"/>
          <w:lang w:val="es-DO"/>
        </w:rPr>
        <w:t>Ejecución del POA durante el año 2025</w:t>
      </w:r>
      <w:r w:rsidRPr="006C2A50">
        <w:rPr>
          <w:rFonts w:eastAsia="Calibri"/>
          <w:color w:val="FF0000"/>
          <w:sz w:val="18"/>
          <w:szCs w:val="18"/>
          <w:lang w:val="es-DO"/>
        </w:rPr>
        <w:t>.</w:t>
      </w:r>
    </w:p>
    <w:p w14:paraId="47B14796" w14:textId="77777777" w:rsidR="006C2A50" w:rsidRPr="006C2A50" w:rsidRDefault="006C2A50" w:rsidP="006C2A50">
      <w:pPr>
        <w:spacing w:line="240" w:lineRule="auto"/>
        <w:jc w:val="center"/>
        <w:rPr>
          <w:rFonts w:eastAsia="Calibri"/>
          <w:color w:val="FFFFFF" w:themeColor="background1"/>
          <w:lang w:val="es-DO"/>
          <w14:textFill>
            <w14:noFill/>
          </w14:textFill>
        </w:rPr>
      </w:pPr>
      <w:r w:rsidRPr="006C2A50">
        <w:rPr>
          <w:rFonts w:eastAsia="Calibri"/>
          <w:noProof/>
        </w:rPr>
        <w:drawing>
          <wp:inline distT="0" distB="0" distL="114300" distR="114300" wp14:anchorId="7812BC2D" wp14:editId="01CA14BF">
            <wp:extent cx="5343525" cy="3169920"/>
            <wp:effectExtent l="4445" t="4445" r="16510" b="10795"/>
            <wp:docPr id="9753002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71421BA" w14:textId="71772D95" w:rsidR="006C2A50" w:rsidRPr="006C2A50" w:rsidRDefault="006C2A50" w:rsidP="006C2A50">
      <w:pPr>
        <w:spacing w:line="240" w:lineRule="auto"/>
        <w:rPr>
          <w:rFonts w:eastAsia="Calibri"/>
          <w:color w:val="FFFFFF" w:themeColor="background1"/>
          <w:lang w:val="es-DO"/>
          <w14:textFill>
            <w14:noFill/>
          </w14:textFill>
        </w:rPr>
      </w:pPr>
      <w:r w:rsidRPr="006C2A50">
        <w:rPr>
          <w:rFonts w:eastAsia="Calibri"/>
          <w:i/>
          <w:iCs/>
          <w:sz w:val="19"/>
          <w:szCs w:val="19"/>
          <w:lang w:val="es-DO"/>
        </w:rPr>
        <w:t xml:space="preserve">   Gráfico </w:t>
      </w:r>
      <w:r w:rsidR="00913C07">
        <w:rPr>
          <w:rFonts w:eastAsia="Calibri"/>
          <w:i/>
          <w:iCs/>
          <w:sz w:val="19"/>
          <w:szCs w:val="19"/>
          <w:lang w:val="es-DO"/>
        </w:rPr>
        <w:t>9</w:t>
      </w:r>
      <w:r w:rsidR="00DB7323">
        <w:rPr>
          <w:rFonts w:eastAsia="Calibri"/>
          <w:i/>
          <w:iCs/>
          <w:sz w:val="19"/>
          <w:szCs w:val="19"/>
          <w:lang w:val="es-DO"/>
        </w:rPr>
        <w:t>.</w:t>
      </w:r>
      <w:r w:rsidRPr="006C2A50">
        <w:rPr>
          <w:rFonts w:eastAsia="Calibri"/>
          <w:i/>
          <w:iCs/>
          <w:sz w:val="19"/>
          <w:szCs w:val="19"/>
          <w:lang w:val="es-DO"/>
        </w:rPr>
        <w:t xml:space="preserve"> Ejecución del POA durante el año 2025</w:t>
      </w:r>
      <w:r w:rsidRPr="006C2A50">
        <w:rPr>
          <w:rFonts w:eastAsia="Calibri"/>
          <w:color w:val="FF0000"/>
          <w:sz w:val="18"/>
          <w:szCs w:val="18"/>
          <w:lang w:val="es-DO"/>
        </w:rPr>
        <w:t>.</w:t>
      </w:r>
    </w:p>
    <w:p w14:paraId="5A5ECD69" w14:textId="77777777" w:rsidR="006C2A50" w:rsidRPr="006C2A50" w:rsidRDefault="006C2A50" w:rsidP="006C2A50">
      <w:pPr>
        <w:keepNext/>
        <w:keepLines/>
        <w:spacing w:before="240" w:after="0" w:line="360" w:lineRule="auto"/>
        <w:jc w:val="center"/>
        <w:outlineLvl w:val="0"/>
        <w:rPr>
          <w:rFonts w:eastAsia="DengXian Light"/>
          <w:b/>
          <w:color w:val="4C4747"/>
          <w:sz w:val="28"/>
          <w:szCs w:val="32"/>
          <w:lang w:val="es-DO"/>
        </w:rPr>
      </w:pPr>
    </w:p>
    <w:p w14:paraId="2DEF7862" w14:textId="77777777" w:rsidR="006C2A50" w:rsidRPr="006C2A50" w:rsidRDefault="006C2A50" w:rsidP="006C2A50">
      <w:pPr>
        <w:spacing w:line="360" w:lineRule="auto"/>
        <w:ind w:left="360"/>
        <w:jc w:val="center"/>
        <w:rPr>
          <w:rFonts w:eastAsia="Calibri"/>
          <w:b/>
          <w:bCs/>
          <w:sz w:val="28"/>
          <w:szCs w:val="28"/>
          <w:lang w:val="es-DO"/>
        </w:rPr>
      </w:pPr>
      <w:r w:rsidRPr="006C2A50">
        <w:rPr>
          <w:rFonts w:eastAsia="Calibri"/>
          <w:b/>
          <w:bCs/>
          <w:sz w:val="28"/>
          <w:szCs w:val="28"/>
          <w:lang w:val="es-DO"/>
        </w:rPr>
        <w:t>Subsistema de Calidad de Gestión</w:t>
      </w:r>
    </w:p>
    <w:p w14:paraId="56EA032B" w14:textId="77777777" w:rsidR="006C2A50" w:rsidRPr="006C2A50" w:rsidRDefault="006C2A50" w:rsidP="006C2A50">
      <w:pPr>
        <w:spacing w:line="360" w:lineRule="auto"/>
        <w:jc w:val="both"/>
        <w:rPr>
          <w:rFonts w:eastAsia="Calibri"/>
          <w:lang w:val="es-DO"/>
        </w:rPr>
      </w:pPr>
      <w:r w:rsidRPr="006C2A50">
        <w:rPr>
          <w:rFonts w:eastAsia="Calibri"/>
          <w:lang w:val="es-DO"/>
        </w:rPr>
        <w:t xml:space="preserve">Durante el año 2025, la Dirección General de Museos (DGM) continuó fortaleciendo su desempeño en el Sistema de Monitoreo de </w:t>
      </w:r>
      <w:r w:rsidRPr="006C2A50">
        <w:rPr>
          <w:rFonts w:eastAsia="Calibri"/>
          <w:lang w:val="es-DO"/>
        </w:rPr>
        <w:lastRenderedPageBreak/>
        <w:t>la Administración Pública (SISMAP), consolidándose como una institución comprometida con la mejora continua, la transparencia y el cumplimiento de los estándares establecidos por los órganos rectores del Estado.</w:t>
      </w:r>
    </w:p>
    <w:p w14:paraId="6A8871F8" w14:textId="77777777" w:rsidR="006C2A50" w:rsidRPr="006C2A50" w:rsidRDefault="006C2A50" w:rsidP="006C2A50">
      <w:pPr>
        <w:spacing w:line="360" w:lineRule="auto"/>
        <w:jc w:val="both"/>
        <w:rPr>
          <w:rFonts w:eastAsia="Calibri"/>
          <w:lang w:val="es-DO"/>
        </w:rPr>
      </w:pPr>
      <w:r w:rsidRPr="006C2A50">
        <w:rPr>
          <w:rFonts w:eastAsia="Calibri"/>
          <w:lang w:val="es-DO"/>
        </w:rPr>
        <w:t>Los avances alcanzados evidencian una gestión más organizada, orientada a resultados y alineada con los objetivos estratégicos del sector cultural y del Ministerio de Cultura.</w:t>
      </w:r>
    </w:p>
    <w:p w14:paraId="0F891FC6" w14:textId="77777777" w:rsidR="006C2A50" w:rsidRPr="006C2A50" w:rsidRDefault="006C2A50" w:rsidP="006C2A50">
      <w:pPr>
        <w:spacing w:line="360" w:lineRule="auto"/>
        <w:jc w:val="both"/>
        <w:rPr>
          <w:rFonts w:eastAsia="Calibri"/>
          <w:lang w:val="es-DO"/>
        </w:rPr>
      </w:pPr>
      <w:r w:rsidRPr="006C2A50">
        <w:rPr>
          <w:rFonts w:eastAsia="Calibri"/>
          <w:lang w:val="es-DO"/>
        </w:rPr>
        <w:t>Durante este período la DGM logró un incremento de un 48% en su puntuación global, gracias al fortalecimiento de los indicadores vinculados a planificación, compras públicas, recursos humanos, transparencia y gestión interna. Este avance posiciona a la institución entre los organismos con mayor mejora relativa en 2025.</w:t>
      </w:r>
    </w:p>
    <w:p w14:paraId="6F18506A" w14:textId="4EDE2497" w:rsidR="006C2A50" w:rsidRPr="006C2A50" w:rsidRDefault="006C2A50" w:rsidP="006C2A50">
      <w:pPr>
        <w:spacing w:line="360" w:lineRule="auto"/>
        <w:jc w:val="center"/>
        <w:rPr>
          <w:rFonts w:eastAsia="Calibri"/>
          <w:b/>
          <w:bCs/>
          <w:noProof/>
          <w:lang w:val="es-DO"/>
        </w:rPr>
      </w:pPr>
      <w:r w:rsidRPr="006C2A50">
        <w:rPr>
          <w:rFonts w:eastAsia="Calibri"/>
          <w:b/>
          <w:bCs/>
          <w:noProof/>
          <w:lang w:val="es-DO"/>
        </w:rPr>
        <w:t>Indice de Gestión Presupuestaria (DIGEPRES)</w:t>
      </w:r>
    </w:p>
    <w:p w14:paraId="12D1DDE2" w14:textId="77777777" w:rsidR="006C2A50" w:rsidRPr="006C2A50" w:rsidRDefault="006C2A50" w:rsidP="006C2A50">
      <w:pPr>
        <w:spacing w:line="360" w:lineRule="auto"/>
        <w:jc w:val="both"/>
        <w:rPr>
          <w:rFonts w:eastAsia="Calibri"/>
          <w:noProof/>
          <w:lang w:val="es-DO"/>
        </w:rPr>
      </w:pPr>
      <w:r w:rsidRPr="006C2A50">
        <w:rPr>
          <w:rFonts w:eastAsia="Calibri"/>
          <w:noProof/>
          <w:lang w:val="es-DO"/>
        </w:rPr>
        <w:t>Un aspecto relevante a destacar durante el año 2025 es el Indice de Gestión Presupuestaria (IGP) monitoreado por la DIGEPRES, trimestralmente, con la finalidad de medir los avances en la ejecución física y financiera, mediante los reportes del cumplimiento de las metas programadas a inicios del año.</w:t>
      </w:r>
    </w:p>
    <w:p w14:paraId="1839E5D2" w14:textId="77777777" w:rsidR="006C2A50" w:rsidRPr="006C2A50" w:rsidRDefault="006C2A50" w:rsidP="006C2A50">
      <w:pPr>
        <w:spacing w:line="360" w:lineRule="auto"/>
        <w:jc w:val="both"/>
        <w:rPr>
          <w:rFonts w:eastAsia="Calibri"/>
          <w:noProof/>
          <w:lang w:val="es-DO"/>
        </w:rPr>
      </w:pPr>
      <w:r w:rsidRPr="006C2A50">
        <w:rPr>
          <w:rFonts w:eastAsia="Calibri"/>
          <w:noProof/>
          <w:lang w:val="es-DO"/>
        </w:rPr>
        <w:t>La DGM, constituida como Unidad Ejecutora de Proyectos, para el Programa de Difusión de la Cultura (Material e Inmaterial), contribuye al cumplimiento del objetivo estratégico 2.6 de la END, Cultura e Identidad Nacional en un Mundo Global​; en los objetivos específicos 2.6.1 Recuperar, promover y desarrollar los diferentes procesos y manifestaciones culturales que reafirman la identidad nacional​; y 2.6.2 Promover el desarrollo de la industria cultural​.</w:t>
      </w:r>
    </w:p>
    <w:p w14:paraId="00325E0B" w14:textId="77777777" w:rsidR="006C2A50" w:rsidRDefault="006C2A50" w:rsidP="006C2A50">
      <w:pPr>
        <w:spacing w:line="360" w:lineRule="auto"/>
        <w:jc w:val="both"/>
        <w:rPr>
          <w:rFonts w:eastAsia="Calibri"/>
          <w:noProof/>
          <w:lang w:val="es-DO"/>
        </w:rPr>
      </w:pPr>
      <w:r w:rsidRPr="006C2A50">
        <w:rPr>
          <w:rFonts w:eastAsia="Calibri"/>
          <w:noProof/>
          <w:lang w:val="es-DO"/>
        </w:rPr>
        <w:t>Para el año 2025, los indicadores de logro del Programa son los siguientes:</w:t>
      </w:r>
    </w:p>
    <w:tbl>
      <w:tblPr>
        <w:tblW w:w="7650" w:type="dxa"/>
        <w:jc w:val="center"/>
        <w:tblCellMar>
          <w:left w:w="70" w:type="dxa"/>
          <w:right w:w="70" w:type="dxa"/>
        </w:tblCellMar>
        <w:tblLook w:val="04A0" w:firstRow="1" w:lastRow="0" w:firstColumn="1" w:lastColumn="0" w:noHBand="0" w:noVBand="1"/>
      </w:tblPr>
      <w:tblGrid>
        <w:gridCol w:w="540"/>
        <w:gridCol w:w="4405"/>
        <w:gridCol w:w="1440"/>
        <w:gridCol w:w="1265"/>
      </w:tblGrid>
      <w:tr w:rsidR="006C2A50" w:rsidRPr="006C2A50" w14:paraId="5CEDA2E0" w14:textId="77777777" w:rsidTr="00380477">
        <w:trPr>
          <w:trHeight w:val="215"/>
          <w:jc w:val="center"/>
        </w:trPr>
        <w:tc>
          <w:tcPr>
            <w:tcW w:w="540" w:type="dxa"/>
            <w:tcBorders>
              <w:top w:val="single" w:sz="4" w:space="0" w:color="auto"/>
              <w:left w:val="single" w:sz="4" w:space="0" w:color="auto"/>
              <w:bottom w:val="nil"/>
              <w:right w:val="single" w:sz="4" w:space="0" w:color="auto"/>
            </w:tcBorders>
            <w:shd w:val="clear" w:color="auto" w:fill="002060"/>
            <w:noWrap/>
            <w:vAlign w:val="center"/>
            <w:hideMark/>
          </w:tcPr>
          <w:p w14:paraId="274E7AAE"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lastRenderedPageBreak/>
              <w:t>Ítem</w:t>
            </w:r>
          </w:p>
        </w:tc>
        <w:tc>
          <w:tcPr>
            <w:tcW w:w="4405" w:type="dxa"/>
            <w:tcBorders>
              <w:top w:val="single" w:sz="4" w:space="0" w:color="auto"/>
              <w:left w:val="nil"/>
              <w:bottom w:val="single" w:sz="4" w:space="0" w:color="auto"/>
              <w:right w:val="single" w:sz="4" w:space="0" w:color="auto"/>
            </w:tcBorders>
            <w:shd w:val="clear" w:color="auto" w:fill="002060"/>
            <w:noWrap/>
            <w:vAlign w:val="center"/>
            <w:hideMark/>
          </w:tcPr>
          <w:p w14:paraId="08C51EE9"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Indicador</w:t>
            </w:r>
          </w:p>
        </w:tc>
        <w:tc>
          <w:tcPr>
            <w:tcW w:w="1440" w:type="dxa"/>
            <w:tcBorders>
              <w:top w:val="single" w:sz="4" w:space="0" w:color="auto"/>
              <w:left w:val="nil"/>
              <w:bottom w:val="nil"/>
              <w:right w:val="single" w:sz="4" w:space="0" w:color="auto"/>
            </w:tcBorders>
            <w:shd w:val="clear" w:color="auto" w:fill="002060"/>
            <w:vAlign w:val="center"/>
            <w:hideMark/>
          </w:tcPr>
          <w:p w14:paraId="0D3F8D44"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Unidad de Medida</w:t>
            </w:r>
          </w:p>
        </w:tc>
        <w:tc>
          <w:tcPr>
            <w:tcW w:w="1265" w:type="dxa"/>
            <w:tcBorders>
              <w:top w:val="single" w:sz="4" w:space="0" w:color="auto"/>
              <w:left w:val="nil"/>
              <w:bottom w:val="single" w:sz="4" w:space="0" w:color="auto"/>
              <w:right w:val="single" w:sz="4" w:space="0" w:color="auto"/>
            </w:tcBorders>
            <w:shd w:val="clear" w:color="auto" w:fill="002060"/>
            <w:noWrap/>
            <w:vAlign w:val="center"/>
            <w:hideMark/>
          </w:tcPr>
          <w:p w14:paraId="5A1B1B28"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Meta 2024</w:t>
            </w:r>
          </w:p>
        </w:tc>
      </w:tr>
      <w:tr w:rsidR="006C2A50" w:rsidRPr="006C2A50" w14:paraId="55E3FDA4" w14:textId="77777777" w:rsidTr="00380477">
        <w:trPr>
          <w:trHeight w:val="576"/>
          <w:jc w:val="center"/>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238E40F2"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1</w:t>
            </w:r>
          </w:p>
        </w:tc>
        <w:tc>
          <w:tcPr>
            <w:tcW w:w="4405" w:type="dxa"/>
            <w:tcBorders>
              <w:top w:val="nil"/>
              <w:left w:val="nil"/>
              <w:bottom w:val="single" w:sz="4" w:space="0" w:color="auto"/>
              <w:right w:val="single" w:sz="4" w:space="0" w:color="auto"/>
            </w:tcBorders>
            <w:vAlign w:val="center"/>
            <w:hideMark/>
          </w:tcPr>
          <w:p w14:paraId="235E4807" w14:textId="77777777" w:rsidR="006C2A50" w:rsidRPr="006C2A50" w:rsidRDefault="006C2A50" w:rsidP="006C2A50">
            <w:pPr>
              <w:spacing w:after="0" w:line="240" w:lineRule="auto"/>
              <w:rPr>
                <w:rFonts w:eastAsia="Times New Roman"/>
                <w:spacing w:val="0"/>
                <w:sz w:val="18"/>
                <w:szCs w:val="18"/>
                <w:lang w:val="es-DO" w:eastAsia="es-DO"/>
              </w:rPr>
            </w:pPr>
            <w:r w:rsidRPr="006C2A50">
              <w:rPr>
                <w:rFonts w:eastAsia="Times New Roman"/>
                <w:spacing w:val="0"/>
                <w:sz w:val="18"/>
                <w:szCs w:val="18"/>
                <w:lang w:val="es-DO" w:eastAsia="es-DO"/>
              </w:rPr>
              <w:t>Programación flujo financiero año 2025 - Unidad Ejecutora 0006 Dirección General de Museos</w:t>
            </w:r>
          </w:p>
        </w:tc>
        <w:tc>
          <w:tcPr>
            <w:tcW w:w="1440" w:type="dxa"/>
            <w:tcBorders>
              <w:top w:val="single" w:sz="4" w:space="0" w:color="auto"/>
              <w:left w:val="nil"/>
              <w:bottom w:val="single" w:sz="4" w:space="0" w:color="auto"/>
              <w:right w:val="single" w:sz="4" w:space="0" w:color="auto"/>
            </w:tcBorders>
            <w:noWrap/>
            <w:vAlign w:val="center"/>
            <w:hideMark/>
          </w:tcPr>
          <w:p w14:paraId="72FDEC49"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DOP</w:t>
            </w:r>
          </w:p>
        </w:tc>
        <w:tc>
          <w:tcPr>
            <w:tcW w:w="1265" w:type="dxa"/>
            <w:tcBorders>
              <w:top w:val="nil"/>
              <w:left w:val="nil"/>
              <w:bottom w:val="single" w:sz="4" w:space="0" w:color="auto"/>
              <w:right w:val="single" w:sz="4" w:space="0" w:color="auto"/>
            </w:tcBorders>
            <w:noWrap/>
            <w:vAlign w:val="center"/>
            <w:hideMark/>
          </w:tcPr>
          <w:p w14:paraId="125EB21F" w14:textId="77777777" w:rsidR="006C2A50" w:rsidRPr="006C2A50" w:rsidRDefault="006C2A50" w:rsidP="006C2A50">
            <w:pPr>
              <w:spacing w:after="0" w:line="240" w:lineRule="auto"/>
              <w:jc w:val="right"/>
              <w:rPr>
                <w:rFonts w:eastAsia="Times New Roman"/>
                <w:spacing w:val="0"/>
                <w:sz w:val="18"/>
                <w:szCs w:val="18"/>
                <w:lang w:val="es-DO" w:eastAsia="es-DO"/>
              </w:rPr>
            </w:pPr>
            <w:r w:rsidRPr="006C2A50">
              <w:rPr>
                <w:rFonts w:eastAsia="Times New Roman"/>
                <w:spacing w:val="0"/>
                <w:sz w:val="18"/>
                <w:szCs w:val="18"/>
                <w:lang w:val="es-DO" w:eastAsia="es-DO"/>
              </w:rPr>
              <w:t>348,799,992.00</w:t>
            </w:r>
          </w:p>
        </w:tc>
      </w:tr>
      <w:tr w:rsidR="006C2A50" w:rsidRPr="006C2A50" w14:paraId="71C18456" w14:textId="77777777" w:rsidTr="00380477">
        <w:trPr>
          <w:trHeight w:val="576"/>
          <w:jc w:val="center"/>
        </w:trPr>
        <w:tc>
          <w:tcPr>
            <w:tcW w:w="540" w:type="dxa"/>
            <w:tcBorders>
              <w:top w:val="nil"/>
              <w:left w:val="single" w:sz="4" w:space="0" w:color="auto"/>
              <w:bottom w:val="single" w:sz="4" w:space="0" w:color="auto"/>
              <w:right w:val="single" w:sz="4" w:space="0" w:color="auto"/>
            </w:tcBorders>
            <w:noWrap/>
            <w:vAlign w:val="center"/>
            <w:hideMark/>
          </w:tcPr>
          <w:p w14:paraId="26866721"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2</w:t>
            </w:r>
          </w:p>
        </w:tc>
        <w:tc>
          <w:tcPr>
            <w:tcW w:w="4405" w:type="dxa"/>
            <w:tcBorders>
              <w:top w:val="nil"/>
              <w:left w:val="nil"/>
              <w:bottom w:val="single" w:sz="4" w:space="0" w:color="auto"/>
              <w:right w:val="single" w:sz="4" w:space="0" w:color="auto"/>
            </w:tcBorders>
            <w:vAlign w:val="center"/>
            <w:hideMark/>
          </w:tcPr>
          <w:p w14:paraId="0D2F1BB5" w14:textId="77777777" w:rsidR="006C2A50" w:rsidRPr="006C2A50" w:rsidRDefault="006C2A50" w:rsidP="006C2A50">
            <w:pPr>
              <w:spacing w:after="0" w:line="240" w:lineRule="auto"/>
              <w:rPr>
                <w:rFonts w:eastAsia="Times New Roman"/>
                <w:spacing w:val="0"/>
                <w:sz w:val="18"/>
                <w:szCs w:val="18"/>
                <w:lang w:val="es-DO" w:eastAsia="es-DO"/>
              </w:rPr>
            </w:pPr>
            <w:r w:rsidRPr="006C2A50">
              <w:rPr>
                <w:rFonts w:eastAsia="Times New Roman"/>
                <w:spacing w:val="0"/>
                <w:sz w:val="18"/>
                <w:szCs w:val="18"/>
                <w:lang w:val="es-DO" w:eastAsia="es-DO"/>
              </w:rPr>
              <w:t>08 - Público en general acceden a edificios patrimoniales y museos</w:t>
            </w:r>
          </w:p>
        </w:tc>
        <w:tc>
          <w:tcPr>
            <w:tcW w:w="1440" w:type="dxa"/>
            <w:tcBorders>
              <w:top w:val="nil"/>
              <w:left w:val="nil"/>
              <w:bottom w:val="single" w:sz="4" w:space="0" w:color="auto"/>
              <w:right w:val="single" w:sz="4" w:space="0" w:color="auto"/>
            </w:tcBorders>
            <w:noWrap/>
            <w:vAlign w:val="center"/>
            <w:hideMark/>
          </w:tcPr>
          <w:p w14:paraId="6346A380" w14:textId="77777777" w:rsidR="006C2A50" w:rsidRPr="006C2A50" w:rsidRDefault="006C2A50" w:rsidP="006C2A50">
            <w:pPr>
              <w:spacing w:after="0" w:line="240" w:lineRule="auto"/>
              <w:jc w:val="center"/>
              <w:rPr>
                <w:rFonts w:eastAsia="Times New Roman"/>
                <w:spacing w:val="0"/>
                <w:sz w:val="18"/>
                <w:szCs w:val="18"/>
                <w:lang w:val="es-DO" w:eastAsia="es-DO"/>
              </w:rPr>
            </w:pPr>
            <w:r w:rsidRPr="006C2A50">
              <w:rPr>
                <w:rFonts w:eastAsia="Times New Roman"/>
                <w:spacing w:val="0"/>
                <w:sz w:val="18"/>
                <w:szCs w:val="18"/>
                <w:lang w:val="es-DO" w:eastAsia="es-DO"/>
              </w:rPr>
              <w:t>Visitante</w:t>
            </w:r>
          </w:p>
        </w:tc>
        <w:tc>
          <w:tcPr>
            <w:tcW w:w="1265" w:type="dxa"/>
            <w:tcBorders>
              <w:top w:val="nil"/>
              <w:left w:val="nil"/>
              <w:bottom w:val="single" w:sz="4" w:space="0" w:color="auto"/>
              <w:right w:val="single" w:sz="4" w:space="0" w:color="auto"/>
            </w:tcBorders>
            <w:noWrap/>
            <w:vAlign w:val="center"/>
            <w:hideMark/>
          </w:tcPr>
          <w:p w14:paraId="27FB60E9" w14:textId="77777777" w:rsidR="006C2A50" w:rsidRPr="006C2A50" w:rsidRDefault="006C2A50" w:rsidP="006C2A50">
            <w:pPr>
              <w:spacing w:after="0" w:line="240" w:lineRule="auto"/>
              <w:jc w:val="right"/>
              <w:rPr>
                <w:rFonts w:eastAsia="Times New Roman"/>
                <w:spacing w:val="0"/>
                <w:sz w:val="18"/>
                <w:szCs w:val="18"/>
                <w:lang w:val="es-DO" w:eastAsia="es-DO"/>
              </w:rPr>
            </w:pPr>
            <w:r w:rsidRPr="006C2A50">
              <w:rPr>
                <w:rFonts w:eastAsia="Times New Roman"/>
                <w:spacing w:val="0"/>
                <w:sz w:val="18"/>
                <w:szCs w:val="18"/>
                <w:lang w:val="es-DO" w:eastAsia="es-DO"/>
              </w:rPr>
              <w:t>1,625,000.00</w:t>
            </w:r>
          </w:p>
        </w:tc>
      </w:tr>
    </w:tbl>
    <w:p w14:paraId="27FED234" w14:textId="77777777" w:rsidR="006C2A50" w:rsidRPr="006C2A50" w:rsidRDefault="006C2A50" w:rsidP="006C2A50">
      <w:pPr>
        <w:spacing w:line="360" w:lineRule="auto"/>
        <w:jc w:val="both"/>
        <w:rPr>
          <w:rFonts w:eastAsia="Calibri"/>
          <w:i/>
          <w:iCs/>
          <w:noProof/>
          <w:sz w:val="20"/>
          <w:szCs w:val="20"/>
          <w:lang w:val="es-DO"/>
        </w:rPr>
      </w:pPr>
      <w:r w:rsidRPr="006C2A50">
        <w:rPr>
          <w:rFonts w:eastAsia="Calibri"/>
          <w:noProof/>
          <w:sz w:val="20"/>
          <w:szCs w:val="20"/>
          <w:lang w:val="es-DO"/>
        </w:rPr>
        <w:t xml:space="preserve">   </w:t>
      </w:r>
      <w:r w:rsidRPr="006C2A50">
        <w:rPr>
          <w:rFonts w:eastAsia="Calibri"/>
          <w:i/>
          <w:iCs/>
          <w:noProof/>
          <w:sz w:val="20"/>
          <w:szCs w:val="20"/>
          <w:lang w:val="es-DO"/>
        </w:rPr>
        <w:t>Cuadro No. 25 Indicdores de impacto PEI – DGM 2025.</w:t>
      </w:r>
    </w:p>
    <w:p w14:paraId="2662F967" w14:textId="4097B2D9" w:rsidR="003F639F" w:rsidRPr="006C2A50" w:rsidRDefault="006C2A50" w:rsidP="006C2A50">
      <w:pPr>
        <w:spacing w:line="360" w:lineRule="auto"/>
        <w:jc w:val="both"/>
        <w:rPr>
          <w:rFonts w:eastAsia="Calibri"/>
          <w:noProof/>
          <w:lang w:val="es-DO"/>
        </w:rPr>
      </w:pPr>
      <w:r w:rsidRPr="006C2A50">
        <w:rPr>
          <w:rFonts w:eastAsia="Calibri"/>
          <w:noProof/>
          <w:lang w:val="es-DO"/>
        </w:rPr>
        <w:t>En términos globales, las metas físicas presentan un nivel de ejecución de 136.74%, con un total de visitas de 885,577; mientras que la ejecución financiera alcanzó un 96.59%, equivalente a un monto de DOP</w:t>
      </w:r>
      <w:r w:rsidRPr="006C2A50">
        <w:rPr>
          <w:rFonts w:eastAsia="Times New Roman"/>
          <w:spacing w:val="0"/>
          <w:lang w:val="es-DO" w:eastAsia="es-DO"/>
        </w:rPr>
        <w:t>324,706,509</w:t>
      </w:r>
      <w:r w:rsidRPr="006C2A50">
        <w:rPr>
          <w:rFonts w:eastAsia="Calibri"/>
          <w:noProof/>
          <w:lang w:val="es-DO"/>
        </w:rPr>
        <w:t>, como se observa en el cuadro siguiente.</w:t>
      </w:r>
    </w:p>
    <w:tbl>
      <w:tblPr>
        <w:tblpPr w:leftFromText="141" w:rightFromText="141" w:vertAnchor="text" w:horzAnchor="margin" w:tblpXSpec="center" w:tblpY="213"/>
        <w:tblW w:w="7110" w:type="dxa"/>
        <w:tblCellMar>
          <w:left w:w="70" w:type="dxa"/>
          <w:right w:w="70" w:type="dxa"/>
        </w:tblCellMar>
        <w:tblLook w:val="04A0" w:firstRow="1" w:lastRow="0" w:firstColumn="1" w:lastColumn="0" w:noHBand="0" w:noVBand="1"/>
      </w:tblPr>
      <w:tblGrid>
        <w:gridCol w:w="1958"/>
        <w:gridCol w:w="899"/>
        <w:gridCol w:w="1390"/>
        <w:gridCol w:w="1418"/>
        <w:gridCol w:w="1445"/>
      </w:tblGrid>
      <w:tr w:rsidR="006C2A50" w:rsidRPr="006C2A50" w14:paraId="28D6FC87" w14:textId="77777777" w:rsidTr="00380477">
        <w:trPr>
          <w:trHeight w:val="368"/>
        </w:trPr>
        <w:tc>
          <w:tcPr>
            <w:tcW w:w="7110" w:type="dxa"/>
            <w:gridSpan w:val="5"/>
            <w:vAlign w:val="center"/>
          </w:tcPr>
          <w:p w14:paraId="32CACAE8" w14:textId="77777777" w:rsidR="006C2A50" w:rsidRPr="006C2A50" w:rsidRDefault="006C2A50" w:rsidP="006C2A50">
            <w:pPr>
              <w:spacing w:after="0" w:line="240" w:lineRule="auto"/>
              <w:jc w:val="center"/>
              <w:rPr>
                <w:rFonts w:eastAsia="Times New Roman"/>
                <w:b/>
                <w:bCs/>
                <w:color w:val="auto"/>
                <w:spacing w:val="0"/>
                <w:sz w:val="20"/>
                <w:szCs w:val="20"/>
                <w:lang w:val="es-DO" w:eastAsia="es-DO"/>
              </w:rPr>
            </w:pPr>
            <w:r w:rsidRPr="006C2A50">
              <w:rPr>
                <w:rFonts w:eastAsia="Calibri"/>
                <w:noProof/>
                <w:sz w:val="20"/>
                <w:szCs w:val="20"/>
                <w:lang w:val="es-DO"/>
              </w:rPr>
              <w:t>Ejecucioón Física – Financiera año 2025</w:t>
            </w:r>
          </w:p>
        </w:tc>
      </w:tr>
      <w:tr w:rsidR="006C2A50" w:rsidRPr="006C2A50" w14:paraId="092233DD" w14:textId="77777777" w:rsidTr="00380477">
        <w:trPr>
          <w:trHeight w:val="368"/>
        </w:trPr>
        <w:tc>
          <w:tcPr>
            <w:tcW w:w="1958" w:type="dxa"/>
            <w:tcBorders>
              <w:left w:val="single" w:sz="4" w:space="0" w:color="000000"/>
              <w:bottom w:val="single" w:sz="4" w:space="0" w:color="auto"/>
              <w:right w:val="single" w:sz="4" w:space="0" w:color="auto"/>
            </w:tcBorders>
            <w:shd w:val="clear" w:color="000000" w:fill="203764"/>
            <w:vAlign w:val="center"/>
            <w:hideMark/>
          </w:tcPr>
          <w:p w14:paraId="5AA27D24"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Indicador</w:t>
            </w:r>
            <w:r w:rsidRPr="006C2A50">
              <w:rPr>
                <w:rFonts w:eastAsia="Times New Roman"/>
                <w:color w:val="FFFFFF"/>
                <w:spacing w:val="0"/>
                <w:sz w:val="20"/>
                <w:szCs w:val="20"/>
                <w:lang w:val="es-DO" w:eastAsia="es-DO"/>
              </w:rPr>
              <w:t> </w:t>
            </w:r>
          </w:p>
        </w:tc>
        <w:tc>
          <w:tcPr>
            <w:tcW w:w="899" w:type="dxa"/>
            <w:tcBorders>
              <w:left w:val="nil"/>
              <w:bottom w:val="single" w:sz="4" w:space="0" w:color="auto"/>
              <w:right w:val="single" w:sz="4" w:space="0" w:color="auto"/>
            </w:tcBorders>
            <w:shd w:val="clear" w:color="000000" w:fill="203764"/>
            <w:vAlign w:val="center"/>
            <w:hideMark/>
          </w:tcPr>
          <w:p w14:paraId="26A7AD77"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Unidad Medida</w:t>
            </w:r>
            <w:r w:rsidRPr="006C2A50">
              <w:rPr>
                <w:rFonts w:eastAsia="Times New Roman"/>
                <w:color w:val="FFFFFF"/>
                <w:spacing w:val="0"/>
                <w:sz w:val="20"/>
                <w:szCs w:val="20"/>
                <w:lang w:val="es-DO" w:eastAsia="es-DO"/>
              </w:rPr>
              <w:t> </w:t>
            </w:r>
          </w:p>
        </w:tc>
        <w:tc>
          <w:tcPr>
            <w:tcW w:w="1390" w:type="dxa"/>
            <w:tcBorders>
              <w:left w:val="nil"/>
              <w:bottom w:val="single" w:sz="4" w:space="0" w:color="auto"/>
              <w:right w:val="single" w:sz="4" w:space="0" w:color="auto"/>
            </w:tcBorders>
            <w:shd w:val="clear" w:color="000000" w:fill="203764"/>
            <w:vAlign w:val="center"/>
            <w:hideMark/>
          </w:tcPr>
          <w:p w14:paraId="09B66A7A"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Programado</w:t>
            </w:r>
            <w:r w:rsidRPr="006C2A50">
              <w:rPr>
                <w:rFonts w:eastAsia="Times New Roman"/>
                <w:color w:val="FFFFFF"/>
                <w:spacing w:val="0"/>
                <w:sz w:val="20"/>
                <w:szCs w:val="20"/>
                <w:lang w:val="es-DO" w:eastAsia="es-DO"/>
              </w:rPr>
              <w:t> </w:t>
            </w:r>
          </w:p>
        </w:tc>
        <w:tc>
          <w:tcPr>
            <w:tcW w:w="1418" w:type="dxa"/>
            <w:tcBorders>
              <w:left w:val="nil"/>
              <w:bottom w:val="single" w:sz="4" w:space="0" w:color="auto"/>
              <w:right w:val="single" w:sz="4" w:space="0" w:color="auto"/>
            </w:tcBorders>
            <w:shd w:val="clear" w:color="000000" w:fill="203764"/>
            <w:vAlign w:val="center"/>
            <w:hideMark/>
          </w:tcPr>
          <w:p w14:paraId="361F7F4C"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Ejecutado</w:t>
            </w:r>
            <w:r w:rsidRPr="006C2A50">
              <w:rPr>
                <w:rFonts w:eastAsia="Times New Roman"/>
                <w:color w:val="FFFFFF"/>
                <w:spacing w:val="0"/>
                <w:sz w:val="20"/>
                <w:szCs w:val="20"/>
                <w:lang w:val="es-DO" w:eastAsia="es-DO"/>
              </w:rPr>
              <w:t> </w:t>
            </w:r>
          </w:p>
        </w:tc>
        <w:tc>
          <w:tcPr>
            <w:tcW w:w="1445" w:type="dxa"/>
            <w:tcBorders>
              <w:left w:val="nil"/>
              <w:bottom w:val="single" w:sz="4" w:space="0" w:color="auto"/>
              <w:right w:val="single" w:sz="4" w:space="0" w:color="auto"/>
            </w:tcBorders>
            <w:shd w:val="clear" w:color="000000" w:fill="203764"/>
            <w:vAlign w:val="center"/>
            <w:hideMark/>
          </w:tcPr>
          <w:p w14:paraId="71634A31" w14:textId="77777777" w:rsidR="006C2A50" w:rsidRPr="006C2A50" w:rsidRDefault="006C2A50" w:rsidP="006C2A50">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 Ejecución</w:t>
            </w:r>
          </w:p>
        </w:tc>
      </w:tr>
      <w:tr w:rsidR="006C2A50" w:rsidRPr="006C2A50" w14:paraId="5E666355" w14:textId="77777777" w:rsidTr="00380477">
        <w:trPr>
          <w:trHeight w:val="312"/>
        </w:trPr>
        <w:tc>
          <w:tcPr>
            <w:tcW w:w="1958" w:type="dxa"/>
            <w:tcBorders>
              <w:top w:val="nil"/>
              <w:left w:val="single" w:sz="4" w:space="0" w:color="000000"/>
              <w:bottom w:val="single" w:sz="4" w:space="0" w:color="auto"/>
              <w:right w:val="single" w:sz="4" w:space="0" w:color="auto"/>
            </w:tcBorders>
            <w:vAlign w:val="center"/>
            <w:hideMark/>
          </w:tcPr>
          <w:p w14:paraId="002C54B8"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Número de visitantes </w:t>
            </w:r>
          </w:p>
        </w:tc>
        <w:tc>
          <w:tcPr>
            <w:tcW w:w="899" w:type="dxa"/>
            <w:tcBorders>
              <w:top w:val="nil"/>
              <w:left w:val="nil"/>
              <w:bottom w:val="single" w:sz="4" w:space="0" w:color="auto"/>
              <w:right w:val="single" w:sz="4" w:space="0" w:color="auto"/>
            </w:tcBorders>
            <w:vAlign w:val="center"/>
            <w:hideMark/>
          </w:tcPr>
          <w:p w14:paraId="3FBAC97F"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Persona </w:t>
            </w:r>
          </w:p>
        </w:tc>
        <w:tc>
          <w:tcPr>
            <w:tcW w:w="1390" w:type="dxa"/>
            <w:tcBorders>
              <w:top w:val="nil"/>
              <w:left w:val="nil"/>
              <w:bottom w:val="single" w:sz="4" w:space="0" w:color="auto"/>
              <w:right w:val="single" w:sz="4" w:space="0" w:color="auto"/>
            </w:tcBorders>
            <w:vAlign w:val="center"/>
            <w:hideMark/>
          </w:tcPr>
          <w:p w14:paraId="7BD0DEE2"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1,625,000</w:t>
            </w:r>
          </w:p>
        </w:tc>
        <w:tc>
          <w:tcPr>
            <w:tcW w:w="1418" w:type="dxa"/>
            <w:tcBorders>
              <w:top w:val="nil"/>
              <w:left w:val="nil"/>
              <w:bottom w:val="single" w:sz="4" w:space="0" w:color="auto"/>
              <w:right w:val="single" w:sz="4" w:space="0" w:color="auto"/>
            </w:tcBorders>
            <w:vAlign w:val="center"/>
            <w:hideMark/>
          </w:tcPr>
          <w:p w14:paraId="170372D9" w14:textId="77777777" w:rsidR="006C2A50" w:rsidRPr="006C2A50" w:rsidRDefault="006C2A50" w:rsidP="006C2A50">
            <w:pPr>
              <w:spacing w:after="0" w:line="240" w:lineRule="auto"/>
              <w:jc w:val="right"/>
              <w:rPr>
                <w:rFonts w:eastAsia="Calibri"/>
                <w:sz w:val="20"/>
                <w:szCs w:val="20"/>
              </w:rPr>
            </w:pPr>
            <w:r w:rsidRPr="006C2A50">
              <w:rPr>
                <w:rFonts w:eastAsia="Calibri"/>
                <w:sz w:val="20"/>
                <w:szCs w:val="20"/>
              </w:rPr>
              <w:t>885,577</w:t>
            </w:r>
          </w:p>
        </w:tc>
        <w:tc>
          <w:tcPr>
            <w:tcW w:w="1445" w:type="dxa"/>
            <w:tcBorders>
              <w:top w:val="nil"/>
              <w:left w:val="single" w:sz="4" w:space="0" w:color="auto"/>
              <w:bottom w:val="single" w:sz="4" w:space="0" w:color="auto"/>
              <w:right w:val="single" w:sz="4" w:space="0" w:color="auto"/>
            </w:tcBorders>
            <w:noWrap/>
            <w:vAlign w:val="center"/>
            <w:hideMark/>
          </w:tcPr>
          <w:p w14:paraId="7A59B44A"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136.74%</w:t>
            </w:r>
          </w:p>
        </w:tc>
      </w:tr>
      <w:tr w:rsidR="006C2A50" w:rsidRPr="006C2A50" w14:paraId="4A5F8DB5" w14:textId="77777777" w:rsidTr="00380477">
        <w:trPr>
          <w:trHeight w:val="312"/>
        </w:trPr>
        <w:tc>
          <w:tcPr>
            <w:tcW w:w="1958" w:type="dxa"/>
            <w:tcBorders>
              <w:top w:val="nil"/>
              <w:left w:val="single" w:sz="4" w:space="0" w:color="000000"/>
              <w:bottom w:val="single" w:sz="4" w:space="0" w:color="000000"/>
              <w:right w:val="single" w:sz="4" w:space="0" w:color="auto"/>
            </w:tcBorders>
            <w:vAlign w:val="center"/>
            <w:hideMark/>
          </w:tcPr>
          <w:p w14:paraId="18FD95D0" w14:textId="77777777" w:rsidR="006C2A50" w:rsidRPr="006C2A50" w:rsidRDefault="006C2A50" w:rsidP="006C2A50">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Ejecución Financiera </w:t>
            </w:r>
          </w:p>
        </w:tc>
        <w:tc>
          <w:tcPr>
            <w:tcW w:w="899" w:type="dxa"/>
            <w:tcBorders>
              <w:top w:val="nil"/>
              <w:left w:val="nil"/>
              <w:bottom w:val="single" w:sz="4" w:space="0" w:color="000000"/>
              <w:right w:val="single" w:sz="4" w:space="0" w:color="auto"/>
            </w:tcBorders>
            <w:vAlign w:val="center"/>
            <w:hideMark/>
          </w:tcPr>
          <w:p w14:paraId="53690F8C" w14:textId="77777777" w:rsidR="006C2A50" w:rsidRPr="006C2A50" w:rsidRDefault="006C2A50" w:rsidP="006C2A50">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DOP</w:t>
            </w:r>
          </w:p>
        </w:tc>
        <w:tc>
          <w:tcPr>
            <w:tcW w:w="1390" w:type="dxa"/>
            <w:tcBorders>
              <w:top w:val="nil"/>
              <w:left w:val="nil"/>
              <w:bottom w:val="single" w:sz="4" w:space="0" w:color="000000"/>
              <w:right w:val="single" w:sz="4" w:space="0" w:color="auto"/>
            </w:tcBorders>
            <w:vAlign w:val="center"/>
            <w:hideMark/>
          </w:tcPr>
          <w:p w14:paraId="0086568A"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348,799,992.00</w:t>
            </w:r>
          </w:p>
        </w:tc>
        <w:tc>
          <w:tcPr>
            <w:tcW w:w="1418" w:type="dxa"/>
            <w:tcBorders>
              <w:top w:val="nil"/>
              <w:left w:val="nil"/>
              <w:bottom w:val="single" w:sz="4" w:space="0" w:color="000000"/>
              <w:right w:val="single" w:sz="4" w:space="0" w:color="auto"/>
            </w:tcBorders>
            <w:vAlign w:val="center"/>
            <w:hideMark/>
          </w:tcPr>
          <w:p w14:paraId="3CB29618"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281,079,713.56</w:t>
            </w:r>
          </w:p>
        </w:tc>
        <w:tc>
          <w:tcPr>
            <w:tcW w:w="1445" w:type="dxa"/>
            <w:tcBorders>
              <w:top w:val="nil"/>
              <w:left w:val="single" w:sz="4" w:space="0" w:color="auto"/>
              <w:bottom w:val="single" w:sz="4" w:space="0" w:color="auto"/>
              <w:right w:val="single" w:sz="4" w:space="0" w:color="auto"/>
            </w:tcBorders>
            <w:noWrap/>
            <w:vAlign w:val="center"/>
            <w:hideMark/>
          </w:tcPr>
          <w:p w14:paraId="2A34E5C5" w14:textId="77777777" w:rsidR="006C2A50" w:rsidRPr="006C2A50" w:rsidRDefault="006C2A50" w:rsidP="006C2A50">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80.59%</w:t>
            </w:r>
          </w:p>
        </w:tc>
      </w:tr>
    </w:tbl>
    <w:p w14:paraId="5DD4C252" w14:textId="36EBCE60" w:rsidR="006C2A50" w:rsidRPr="006C2A50" w:rsidRDefault="006C2A50" w:rsidP="006C2A50">
      <w:pPr>
        <w:spacing w:line="360" w:lineRule="auto"/>
        <w:jc w:val="both"/>
        <w:rPr>
          <w:rFonts w:eastAsia="Calibri"/>
          <w:noProof/>
          <w:sz w:val="20"/>
          <w:szCs w:val="20"/>
          <w:lang w:val="es-DO"/>
        </w:rPr>
      </w:pPr>
      <w:r w:rsidRPr="006C2A50">
        <w:rPr>
          <w:rFonts w:eastAsia="Calibri"/>
          <w:i/>
          <w:iCs/>
          <w:noProof/>
          <w:sz w:val="20"/>
          <w:szCs w:val="20"/>
          <w:lang w:val="es-DO"/>
        </w:rPr>
        <w:t xml:space="preserve">              Cuadro </w:t>
      </w:r>
      <w:r w:rsidR="007F6064">
        <w:rPr>
          <w:rFonts w:eastAsia="Calibri"/>
          <w:i/>
          <w:iCs/>
          <w:noProof/>
          <w:sz w:val="20"/>
          <w:szCs w:val="20"/>
          <w:lang w:val="es-DO"/>
        </w:rPr>
        <w:t>2</w:t>
      </w:r>
      <w:r w:rsidR="00DB7323">
        <w:rPr>
          <w:rFonts w:eastAsia="Calibri"/>
          <w:i/>
          <w:iCs/>
          <w:noProof/>
          <w:sz w:val="20"/>
          <w:szCs w:val="20"/>
          <w:lang w:val="es-DO"/>
        </w:rPr>
        <w:t>6.</w:t>
      </w:r>
      <w:r w:rsidRPr="006C2A50">
        <w:rPr>
          <w:rFonts w:eastAsia="Calibri"/>
          <w:i/>
          <w:iCs/>
          <w:noProof/>
          <w:sz w:val="20"/>
          <w:szCs w:val="20"/>
          <w:lang w:val="es-DO"/>
        </w:rPr>
        <w:t xml:space="preserve"> Ejecución indicadores PEI – DGM 2025.</w:t>
      </w:r>
    </w:p>
    <w:p w14:paraId="462F9CA7" w14:textId="77777777" w:rsidR="006C2A50" w:rsidRPr="006C2A50" w:rsidRDefault="006C2A50" w:rsidP="006C2A50">
      <w:pPr>
        <w:spacing w:line="360" w:lineRule="auto"/>
        <w:jc w:val="both"/>
        <w:rPr>
          <w:rFonts w:eastAsia="Calibri"/>
          <w:noProof/>
          <w:lang w:val="es-DO"/>
        </w:rPr>
      </w:pPr>
      <w:r w:rsidRPr="006C2A50">
        <w:rPr>
          <w:rFonts w:eastAsia="Calibri"/>
          <w:noProof/>
          <w:lang w:val="es-DO"/>
        </w:rPr>
        <w:t>En ese contexto, las evaluaciones trimestrates de los niveles de ejecución fisica-financiera de la DGM fueron evaluados como excelente, con una puntuación sobre los 97 puntos; para una puntuación promedio del periodo enero – septiembre de 97.17, como se muestra en el cuadro siguiente:</w:t>
      </w:r>
    </w:p>
    <w:tbl>
      <w:tblPr>
        <w:tblW w:w="8212" w:type="dxa"/>
        <w:tblLook w:val="04A0" w:firstRow="1" w:lastRow="0" w:firstColumn="1" w:lastColumn="0" w:noHBand="0" w:noVBand="1"/>
      </w:tblPr>
      <w:tblGrid>
        <w:gridCol w:w="860"/>
        <w:gridCol w:w="2532"/>
        <w:gridCol w:w="790"/>
        <w:gridCol w:w="900"/>
        <w:gridCol w:w="900"/>
        <w:gridCol w:w="830"/>
        <w:gridCol w:w="1400"/>
      </w:tblGrid>
      <w:tr w:rsidR="006C2A50" w:rsidRPr="006C2A50" w14:paraId="266FB946" w14:textId="77777777" w:rsidTr="00DB7323">
        <w:trPr>
          <w:trHeight w:val="315"/>
        </w:trPr>
        <w:tc>
          <w:tcPr>
            <w:tcW w:w="860" w:type="dxa"/>
            <w:vMerge w:val="restart"/>
            <w:tcBorders>
              <w:top w:val="single" w:sz="8" w:space="0" w:color="auto"/>
              <w:left w:val="single" w:sz="8" w:space="0" w:color="auto"/>
              <w:bottom w:val="single" w:sz="8" w:space="0" w:color="000000"/>
              <w:right w:val="single" w:sz="8" w:space="0" w:color="auto"/>
            </w:tcBorders>
            <w:shd w:val="clear" w:color="000000" w:fill="142F62"/>
            <w:noWrap/>
            <w:vAlign w:val="center"/>
            <w:hideMark/>
          </w:tcPr>
          <w:p w14:paraId="2B999CD8"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Ítem</w:t>
            </w:r>
          </w:p>
        </w:tc>
        <w:tc>
          <w:tcPr>
            <w:tcW w:w="2532"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3F22CCB5"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Descripción</w:t>
            </w:r>
          </w:p>
        </w:tc>
        <w:tc>
          <w:tcPr>
            <w:tcW w:w="3420" w:type="dxa"/>
            <w:gridSpan w:val="4"/>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3514051C"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Puntuación por Trimestre año 2025</w:t>
            </w:r>
          </w:p>
        </w:tc>
        <w:tc>
          <w:tcPr>
            <w:tcW w:w="1400" w:type="dxa"/>
            <w:vMerge w:val="restart"/>
            <w:tcBorders>
              <w:top w:val="single" w:sz="8" w:space="0" w:color="auto"/>
              <w:left w:val="nil"/>
              <w:bottom w:val="single" w:sz="8" w:space="0" w:color="000000"/>
              <w:right w:val="single" w:sz="8" w:space="0" w:color="auto"/>
            </w:tcBorders>
            <w:shd w:val="clear" w:color="000000" w:fill="142F62"/>
            <w:noWrap/>
            <w:vAlign w:val="center"/>
            <w:hideMark/>
          </w:tcPr>
          <w:p w14:paraId="5C14D657"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Promedio</w:t>
            </w:r>
          </w:p>
        </w:tc>
      </w:tr>
      <w:tr w:rsidR="006C2A50" w:rsidRPr="006C2A50" w14:paraId="7C7EF0D3" w14:textId="77777777" w:rsidTr="00DB7323">
        <w:trPr>
          <w:trHeight w:val="315"/>
        </w:trPr>
        <w:tc>
          <w:tcPr>
            <w:tcW w:w="860" w:type="dxa"/>
            <w:vMerge/>
            <w:tcBorders>
              <w:top w:val="single" w:sz="8" w:space="0" w:color="auto"/>
              <w:left w:val="single" w:sz="8" w:space="0" w:color="auto"/>
              <w:bottom w:val="single" w:sz="8" w:space="0" w:color="000000"/>
              <w:right w:val="single" w:sz="8" w:space="0" w:color="auto"/>
            </w:tcBorders>
            <w:vAlign w:val="center"/>
            <w:hideMark/>
          </w:tcPr>
          <w:p w14:paraId="27237AF6" w14:textId="77777777" w:rsidR="006C2A50" w:rsidRPr="006C2A50" w:rsidRDefault="006C2A50" w:rsidP="006C2A50">
            <w:pPr>
              <w:spacing w:after="0" w:line="240" w:lineRule="auto"/>
              <w:rPr>
                <w:rFonts w:eastAsia="Times New Roman"/>
                <w:b/>
                <w:bCs/>
                <w:color w:val="FFFFFF"/>
                <w:spacing w:val="0"/>
                <w:sz w:val="18"/>
                <w:szCs w:val="18"/>
              </w:rPr>
            </w:pPr>
          </w:p>
        </w:tc>
        <w:tc>
          <w:tcPr>
            <w:tcW w:w="2532" w:type="dxa"/>
            <w:vMerge/>
            <w:tcBorders>
              <w:top w:val="single" w:sz="8" w:space="0" w:color="auto"/>
              <w:left w:val="single" w:sz="8" w:space="0" w:color="auto"/>
              <w:bottom w:val="single" w:sz="8" w:space="0" w:color="000000"/>
              <w:right w:val="single" w:sz="8" w:space="0" w:color="auto"/>
            </w:tcBorders>
            <w:vAlign w:val="center"/>
            <w:hideMark/>
          </w:tcPr>
          <w:p w14:paraId="1731029E" w14:textId="77777777" w:rsidR="006C2A50" w:rsidRPr="006C2A50" w:rsidRDefault="006C2A50" w:rsidP="006C2A50">
            <w:pPr>
              <w:spacing w:after="0" w:line="240" w:lineRule="auto"/>
              <w:rPr>
                <w:rFonts w:eastAsia="Times New Roman"/>
                <w:b/>
                <w:bCs/>
                <w:color w:val="FFFFFF"/>
                <w:spacing w:val="0"/>
                <w:sz w:val="18"/>
                <w:szCs w:val="18"/>
              </w:rPr>
            </w:pPr>
          </w:p>
        </w:tc>
        <w:tc>
          <w:tcPr>
            <w:tcW w:w="790" w:type="dxa"/>
            <w:tcBorders>
              <w:top w:val="nil"/>
              <w:left w:val="nil"/>
              <w:bottom w:val="single" w:sz="8" w:space="0" w:color="auto"/>
              <w:right w:val="single" w:sz="8" w:space="0" w:color="auto"/>
            </w:tcBorders>
            <w:shd w:val="clear" w:color="000000" w:fill="142F62"/>
            <w:noWrap/>
            <w:vAlign w:val="center"/>
            <w:hideMark/>
          </w:tcPr>
          <w:p w14:paraId="4E3E134E"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T-1</w:t>
            </w:r>
          </w:p>
        </w:tc>
        <w:tc>
          <w:tcPr>
            <w:tcW w:w="900" w:type="dxa"/>
            <w:tcBorders>
              <w:top w:val="nil"/>
              <w:left w:val="nil"/>
              <w:bottom w:val="single" w:sz="8" w:space="0" w:color="auto"/>
              <w:right w:val="single" w:sz="8" w:space="0" w:color="auto"/>
            </w:tcBorders>
            <w:shd w:val="clear" w:color="000000" w:fill="142F62"/>
            <w:noWrap/>
            <w:vAlign w:val="center"/>
            <w:hideMark/>
          </w:tcPr>
          <w:p w14:paraId="3E77821C"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T-2</w:t>
            </w:r>
          </w:p>
        </w:tc>
        <w:tc>
          <w:tcPr>
            <w:tcW w:w="900" w:type="dxa"/>
            <w:tcBorders>
              <w:top w:val="nil"/>
              <w:left w:val="nil"/>
              <w:bottom w:val="single" w:sz="8" w:space="0" w:color="auto"/>
              <w:right w:val="single" w:sz="8" w:space="0" w:color="auto"/>
            </w:tcBorders>
            <w:shd w:val="clear" w:color="000000" w:fill="142F62"/>
            <w:noWrap/>
            <w:vAlign w:val="center"/>
            <w:hideMark/>
          </w:tcPr>
          <w:p w14:paraId="09C73FCC"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T-3</w:t>
            </w:r>
          </w:p>
        </w:tc>
        <w:tc>
          <w:tcPr>
            <w:tcW w:w="830" w:type="dxa"/>
            <w:tcBorders>
              <w:top w:val="nil"/>
              <w:left w:val="nil"/>
              <w:bottom w:val="single" w:sz="8" w:space="0" w:color="auto"/>
              <w:right w:val="single" w:sz="8" w:space="0" w:color="auto"/>
            </w:tcBorders>
            <w:shd w:val="clear" w:color="000000" w:fill="142F62"/>
            <w:noWrap/>
            <w:vAlign w:val="center"/>
            <w:hideMark/>
          </w:tcPr>
          <w:p w14:paraId="3BE71D7F"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T-4</w:t>
            </w:r>
          </w:p>
        </w:tc>
        <w:tc>
          <w:tcPr>
            <w:tcW w:w="1400" w:type="dxa"/>
            <w:vMerge/>
            <w:tcBorders>
              <w:top w:val="single" w:sz="8" w:space="0" w:color="auto"/>
              <w:left w:val="nil"/>
              <w:bottom w:val="single" w:sz="8" w:space="0" w:color="000000"/>
              <w:right w:val="single" w:sz="8" w:space="0" w:color="auto"/>
            </w:tcBorders>
            <w:vAlign w:val="center"/>
            <w:hideMark/>
          </w:tcPr>
          <w:p w14:paraId="2C63674E" w14:textId="77777777" w:rsidR="006C2A50" w:rsidRPr="006C2A50" w:rsidRDefault="006C2A50" w:rsidP="006C2A50">
            <w:pPr>
              <w:spacing w:after="0" w:line="240" w:lineRule="auto"/>
              <w:rPr>
                <w:rFonts w:eastAsia="Times New Roman"/>
                <w:b/>
                <w:bCs/>
                <w:color w:val="FFFFFF"/>
                <w:spacing w:val="0"/>
                <w:sz w:val="18"/>
                <w:szCs w:val="18"/>
              </w:rPr>
            </w:pPr>
          </w:p>
        </w:tc>
      </w:tr>
      <w:tr w:rsidR="006C2A50" w:rsidRPr="006C2A50" w14:paraId="0359DD74" w14:textId="77777777" w:rsidTr="00DB7323">
        <w:trPr>
          <w:trHeight w:val="315"/>
        </w:trPr>
        <w:tc>
          <w:tcPr>
            <w:tcW w:w="860" w:type="dxa"/>
            <w:tcBorders>
              <w:top w:val="nil"/>
              <w:left w:val="single" w:sz="8" w:space="0" w:color="auto"/>
              <w:bottom w:val="single" w:sz="8" w:space="0" w:color="auto"/>
              <w:right w:val="single" w:sz="8" w:space="0" w:color="auto"/>
            </w:tcBorders>
            <w:noWrap/>
            <w:vAlign w:val="center"/>
            <w:hideMark/>
          </w:tcPr>
          <w:p w14:paraId="2CE9D886"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w:t>
            </w:r>
          </w:p>
        </w:tc>
        <w:tc>
          <w:tcPr>
            <w:tcW w:w="2532" w:type="dxa"/>
            <w:tcBorders>
              <w:top w:val="nil"/>
              <w:left w:val="nil"/>
              <w:bottom w:val="single" w:sz="8" w:space="0" w:color="auto"/>
              <w:right w:val="single" w:sz="8" w:space="0" w:color="auto"/>
            </w:tcBorders>
            <w:vAlign w:val="center"/>
            <w:hideMark/>
          </w:tcPr>
          <w:p w14:paraId="2224488D" w14:textId="77777777" w:rsidR="006C2A50" w:rsidRPr="006C2A50" w:rsidRDefault="006C2A50" w:rsidP="006C2A50">
            <w:pPr>
              <w:spacing w:after="0" w:line="240" w:lineRule="auto"/>
              <w:rPr>
                <w:rFonts w:eastAsia="Times New Roman"/>
                <w:color w:val="717676"/>
                <w:spacing w:val="0"/>
                <w:sz w:val="18"/>
                <w:szCs w:val="18"/>
              </w:rPr>
            </w:pPr>
            <w:r w:rsidRPr="006C2A50">
              <w:rPr>
                <w:rFonts w:eastAsia="Times New Roman"/>
                <w:color w:val="717676"/>
                <w:spacing w:val="0"/>
                <w:sz w:val="18"/>
                <w:szCs w:val="18"/>
                <w:lang w:val="es-DO"/>
              </w:rPr>
              <w:t>Nivel de cumplimiento físico</w:t>
            </w:r>
          </w:p>
        </w:tc>
        <w:tc>
          <w:tcPr>
            <w:tcW w:w="790" w:type="dxa"/>
            <w:tcBorders>
              <w:top w:val="nil"/>
              <w:left w:val="nil"/>
              <w:bottom w:val="single" w:sz="8" w:space="0" w:color="auto"/>
              <w:right w:val="single" w:sz="8" w:space="0" w:color="auto"/>
            </w:tcBorders>
            <w:noWrap/>
            <w:vAlign w:val="center"/>
            <w:hideMark/>
          </w:tcPr>
          <w:p w14:paraId="650001B7"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20%</w:t>
            </w:r>
          </w:p>
        </w:tc>
        <w:tc>
          <w:tcPr>
            <w:tcW w:w="900" w:type="dxa"/>
            <w:tcBorders>
              <w:top w:val="nil"/>
              <w:left w:val="nil"/>
              <w:bottom w:val="single" w:sz="8" w:space="0" w:color="auto"/>
              <w:right w:val="single" w:sz="8" w:space="0" w:color="auto"/>
            </w:tcBorders>
            <w:noWrap/>
            <w:vAlign w:val="center"/>
            <w:hideMark/>
          </w:tcPr>
          <w:p w14:paraId="4C4EC809"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13%</w:t>
            </w:r>
          </w:p>
        </w:tc>
        <w:tc>
          <w:tcPr>
            <w:tcW w:w="900" w:type="dxa"/>
            <w:tcBorders>
              <w:top w:val="nil"/>
              <w:left w:val="nil"/>
              <w:bottom w:val="single" w:sz="8" w:space="0" w:color="auto"/>
              <w:right w:val="single" w:sz="8" w:space="0" w:color="auto"/>
            </w:tcBorders>
            <w:noWrap/>
            <w:vAlign w:val="center"/>
            <w:hideMark/>
          </w:tcPr>
          <w:p w14:paraId="055CD318"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16%</w:t>
            </w:r>
          </w:p>
        </w:tc>
        <w:tc>
          <w:tcPr>
            <w:tcW w:w="830" w:type="dxa"/>
            <w:vMerge w:val="restart"/>
            <w:tcBorders>
              <w:top w:val="single" w:sz="8" w:space="0" w:color="auto"/>
              <w:left w:val="single" w:sz="8" w:space="0" w:color="auto"/>
              <w:bottom w:val="nil"/>
              <w:right w:val="single" w:sz="8" w:space="0" w:color="auto"/>
            </w:tcBorders>
            <w:noWrap/>
            <w:textDirection w:val="btLr"/>
            <w:vAlign w:val="center"/>
            <w:hideMark/>
          </w:tcPr>
          <w:p w14:paraId="551B00AE"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Pendiente</w:t>
            </w:r>
          </w:p>
        </w:tc>
        <w:tc>
          <w:tcPr>
            <w:tcW w:w="1400" w:type="dxa"/>
            <w:tcBorders>
              <w:top w:val="nil"/>
              <w:left w:val="nil"/>
              <w:bottom w:val="single" w:sz="8" w:space="0" w:color="auto"/>
              <w:right w:val="single" w:sz="8" w:space="0" w:color="auto"/>
            </w:tcBorders>
            <w:noWrap/>
            <w:vAlign w:val="center"/>
            <w:hideMark/>
          </w:tcPr>
          <w:p w14:paraId="07F5FF90"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rPr>
              <w:t>16%</w:t>
            </w:r>
          </w:p>
        </w:tc>
      </w:tr>
      <w:tr w:rsidR="006C2A50" w:rsidRPr="006C2A50" w14:paraId="0D54159A" w14:textId="77777777" w:rsidTr="007F6064">
        <w:trPr>
          <w:trHeight w:val="127"/>
        </w:trPr>
        <w:tc>
          <w:tcPr>
            <w:tcW w:w="860" w:type="dxa"/>
            <w:tcBorders>
              <w:top w:val="nil"/>
              <w:left w:val="single" w:sz="8" w:space="0" w:color="auto"/>
              <w:bottom w:val="single" w:sz="8" w:space="0" w:color="auto"/>
              <w:right w:val="single" w:sz="8" w:space="0" w:color="auto"/>
            </w:tcBorders>
            <w:noWrap/>
            <w:vAlign w:val="center"/>
            <w:hideMark/>
          </w:tcPr>
          <w:p w14:paraId="29917014"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2</w:t>
            </w:r>
          </w:p>
        </w:tc>
        <w:tc>
          <w:tcPr>
            <w:tcW w:w="2532" w:type="dxa"/>
            <w:tcBorders>
              <w:top w:val="nil"/>
              <w:left w:val="nil"/>
              <w:bottom w:val="single" w:sz="8" w:space="0" w:color="auto"/>
              <w:right w:val="single" w:sz="8" w:space="0" w:color="auto"/>
            </w:tcBorders>
            <w:vAlign w:val="center"/>
            <w:hideMark/>
          </w:tcPr>
          <w:p w14:paraId="4B8566F0" w14:textId="77777777" w:rsidR="006C2A50" w:rsidRPr="006C2A50" w:rsidRDefault="006C2A50" w:rsidP="006C2A50">
            <w:pPr>
              <w:spacing w:after="0" w:line="240" w:lineRule="auto"/>
              <w:rPr>
                <w:rFonts w:eastAsia="Times New Roman"/>
                <w:color w:val="717676"/>
                <w:spacing w:val="0"/>
                <w:sz w:val="18"/>
                <w:szCs w:val="18"/>
              </w:rPr>
            </w:pPr>
            <w:r w:rsidRPr="006C2A50">
              <w:rPr>
                <w:rFonts w:eastAsia="Times New Roman"/>
                <w:color w:val="717676"/>
                <w:spacing w:val="0"/>
                <w:sz w:val="18"/>
                <w:szCs w:val="18"/>
                <w:lang w:val="es-DO"/>
              </w:rPr>
              <w:t>Evidencia del cumplimiento</w:t>
            </w:r>
          </w:p>
        </w:tc>
        <w:tc>
          <w:tcPr>
            <w:tcW w:w="790" w:type="dxa"/>
            <w:tcBorders>
              <w:top w:val="nil"/>
              <w:left w:val="nil"/>
              <w:bottom w:val="single" w:sz="8" w:space="0" w:color="auto"/>
              <w:right w:val="single" w:sz="8" w:space="0" w:color="auto"/>
            </w:tcBorders>
            <w:noWrap/>
            <w:vAlign w:val="center"/>
            <w:hideMark/>
          </w:tcPr>
          <w:p w14:paraId="57CADD74"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900" w:type="dxa"/>
            <w:tcBorders>
              <w:top w:val="nil"/>
              <w:left w:val="nil"/>
              <w:bottom w:val="single" w:sz="8" w:space="0" w:color="auto"/>
              <w:right w:val="single" w:sz="8" w:space="0" w:color="auto"/>
            </w:tcBorders>
            <w:noWrap/>
            <w:vAlign w:val="center"/>
            <w:hideMark/>
          </w:tcPr>
          <w:p w14:paraId="1C9E83EF"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900" w:type="dxa"/>
            <w:tcBorders>
              <w:top w:val="nil"/>
              <w:left w:val="nil"/>
              <w:bottom w:val="single" w:sz="8" w:space="0" w:color="auto"/>
              <w:right w:val="single" w:sz="8" w:space="0" w:color="auto"/>
            </w:tcBorders>
            <w:noWrap/>
            <w:vAlign w:val="center"/>
            <w:hideMark/>
          </w:tcPr>
          <w:p w14:paraId="083824AB"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830" w:type="dxa"/>
            <w:vMerge/>
            <w:tcBorders>
              <w:top w:val="single" w:sz="8" w:space="0" w:color="auto"/>
              <w:left w:val="single" w:sz="8" w:space="0" w:color="auto"/>
              <w:bottom w:val="nil"/>
              <w:right w:val="single" w:sz="8" w:space="0" w:color="auto"/>
            </w:tcBorders>
            <w:vAlign w:val="center"/>
            <w:hideMark/>
          </w:tcPr>
          <w:p w14:paraId="6CE37A7A" w14:textId="77777777" w:rsidR="006C2A50" w:rsidRPr="006C2A50" w:rsidRDefault="006C2A50" w:rsidP="006C2A50">
            <w:pPr>
              <w:spacing w:after="0" w:line="240" w:lineRule="auto"/>
              <w:rPr>
                <w:rFonts w:eastAsia="Times New Roman"/>
                <w:color w:val="717676"/>
                <w:spacing w:val="0"/>
                <w:sz w:val="18"/>
                <w:szCs w:val="18"/>
              </w:rPr>
            </w:pPr>
          </w:p>
        </w:tc>
        <w:tc>
          <w:tcPr>
            <w:tcW w:w="1400" w:type="dxa"/>
            <w:tcBorders>
              <w:top w:val="nil"/>
              <w:left w:val="nil"/>
              <w:bottom w:val="single" w:sz="8" w:space="0" w:color="auto"/>
              <w:right w:val="single" w:sz="8" w:space="0" w:color="auto"/>
            </w:tcBorders>
            <w:noWrap/>
            <w:vAlign w:val="center"/>
            <w:hideMark/>
          </w:tcPr>
          <w:p w14:paraId="6DDE89A9"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rPr>
              <w:t>10%</w:t>
            </w:r>
          </w:p>
        </w:tc>
      </w:tr>
      <w:tr w:rsidR="006C2A50" w:rsidRPr="006C2A50" w14:paraId="6CD976D7" w14:textId="77777777" w:rsidTr="00DB7323">
        <w:trPr>
          <w:trHeight w:val="315"/>
        </w:trPr>
        <w:tc>
          <w:tcPr>
            <w:tcW w:w="860" w:type="dxa"/>
            <w:tcBorders>
              <w:top w:val="nil"/>
              <w:left w:val="single" w:sz="8" w:space="0" w:color="auto"/>
              <w:bottom w:val="single" w:sz="8" w:space="0" w:color="auto"/>
              <w:right w:val="single" w:sz="8" w:space="0" w:color="auto"/>
            </w:tcBorders>
            <w:noWrap/>
            <w:vAlign w:val="center"/>
            <w:hideMark/>
          </w:tcPr>
          <w:p w14:paraId="6DCD7C80"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3</w:t>
            </w:r>
          </w:p>
        </w:tc>
        <w:tc>
          <w:tcPr>
            <w:tcW w:w="2532" w:type="dxa"/>
            <w:tcBorders>
              <w:top w:val="nil"/>
              <w:left w:val="nil"/>
              <w:bottom w:val="single" w:sz="8" w:space="0" w:color="auto"/>
              <w:right w:val="single" w:sz="8" w:space="0" w:color="auto"/>
            </w:tcBorders>
            <w:vAlign w:val="center"/>
            <w:hideMark/>
          </w:tcPr>
          <w:p w14:paraId="7F2E263E" w14:textId="77777777" w:rsidR="006C2A50" w:rsidRPr="006C2A50" w:rsidRDefault="006C2A50" w:rsidP="006C2A50">
            <w:pPr>
              <w:spacing w:after="0" w:line="240" w:lineRule="auto"/>
              <w:rPr>
                <w:rFonts w:eastAsia="Times New Roman"/>
                <w:color w:val="717676"/>
                <w:spacing w:val="0"/>
                <w:sz w:val="18"/>
                <w:szCs w:val="18"/>
              </w:rPr>
            </w:pPr>
            <w:r w:rsidRPr="006C2A50">
              <w:rPr>
                <w:rFonts w:eastAsia="Times New Roman"/>
                <w:color w:val="717676"/>
                <w:spacing w:val="0"/>
                <w:sz w:val="18"/>
                <w:szCs w:val="18"/>
                <w:lang w:val="es-DO"/>
              </w:rPr>
              <w:t>Cumplimiento financiero</w:t>
            </w:r>
          </w:p>
        </w:tc>
        <w:tc>
          <w:tcPr>
            <w:tcW w:w="790" w:type="dxa"/>
            <w:tcBorders>
              <w:top w:val="nil"/>
              <w:left w:val="nil"/>
              <w:bottom w:val="single" w:sz="8" w:space="0" w:color="auto"/>
              <w:right w:val="single" w:sz="8" w:space="0" w:color="auto"/>
            </w:tcBorders>
            <w:noWrap/>
            <w:vAlign w:val="center"/>
            <w:hideMark/>
          </w:tcPr>
          <w:p w14:paraId="287E2085"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19%</w:t>
            </w:r>
          </w:p>
        </w:tc>
        <w:tc>
          <w:tcPr>
            <w:tcW w:w="900" w:type="dxa"/>
            <w:tcBorders>
              <w:top w:val="nil"/>
              <w:left w:val="nil"/>
              <w:bottom w:val="single" w:sz="8" w:space="0" w:color="auto"/>
              <w:right w:val="single" w:sz="8" w:space="0" w:color="auto"/>
            </w:tcBorders>
            <w:noWrap/>
            <w:vAlign w:val="center"/>
            <w:hideMark/>
          </w:tcPr>
          <w:p w14:paraId="09B25BDF"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20%</w:t>
            </w:r>
          </w:p>
        </w:tc>
        <w:tc>
          <w:tcPr>
            <w:tcW w:w="900" w:type="dxa"/>
            <w:tcBorders>
              <w:top w:val="nil"/>
              <w:left w:val="nil"/>
              <w:bottom w:val="single" w:sz="8" w:space="0" w:color="auto"/>
              <w:right w:val="single" w:sz="8" w:space="0" w:color="auto"/>
            </w:tcBorders>
            <w:noWrap/>
            <w:vAlign w:val="center"/>
            <w:hideMark/>
          </w:tcPr>
          <w:p w14:paraId="1A7B2D6A"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17%</w:t>
            </w:r>
          </w:p>
        </w:tc>
        <w:tc>
          <w:tcPr>
            <w:tcW w:w="830" w:type="dxa"/>
            <w:vMerge/>
            <w:tcBorders>
              <w:top w:val="single" w:sz="8" w:space="0" w:color="auto"/>
              <w:left w:val="single" w:sz="8" w:space="0" w:color="auto"/>
              <w:bottom w:val="nil"/>
              <w:right w:val="single" w:sz="8" w:space="0" w:color="auto"/>
            </w:tcBorders>
            <w:vAlign w:val="center"/>
            <w:hideMark/>
          </w:tcPr>
          <w:p w14:paraId="028A0637" w14:textId="77777777" w:rsidR="006C2A50" w:rsidRPr="006C2A50" w:rsidRDefault="006C2A50" w:rsidP="006C2A50">
            <w:pPr>
              <w:spacing w:after="0" w:line="240" w:lineRule="auto"/>
              <w:rPr>
                <w:rFonts w:eastAsia="Times New Roman"/>
                <w:color w:val="717676"/>
                <w:spacing w:val="0"/>
                <w:sz w:val="18"/>
                <w:szCs w:val="18"/>
              </w:rPr>
            </w:pPr>
          </w:p>
        </w:tc>
        <w:tc>
          <w:tcPr>
            <w:tcW w:w="1400" w:type="dxa"/>
            <w:tcBorders>
              <w:top w:val="nil"/>
              <w:left w:val="nil"/>
              <w:bottom w:val="single" w:sz="8" w:space="0" w:color="auto"/>
              <w:right w:val="single" w:sz="8" w:space="0" w:color="auto"/>
            </w:tcBorders>
            <w:noWrap/>
            <w:vAlign w:val="center"/>
            <w:hideMark/>
          </w:tcPr>
          <w:p w14:paraId="041D2322"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rPr>
              <w:t>19%</w:t>
            </w:r>
          </w:p>
        </w:tc>
      </w:tr>
      <w:tr w:rsidR="006C2A50" w:rsidRPr="006C2A50" w14:paraId="36A0B09F" w14:textId="77777777" w:rsidTr="00DB7323">
        <w:trPr>
          <w:trHeight w:val="315"/>
        </w:trPr>
        <w:tc>
          <w:tcPr>
            <w:tcW w:w="860" w:type="dxa"/>
            <w:tcBorders>
              <w:top w:val="nil"/>
              <w:left w:val="single" w:sz="8" w:space="0" w:color="auto"/>
              <w:bottom w:val="single" w:sz="8" w:space="0" w:color="auto"/>
              <w:right w:val="single" w:sz="8" w:space="0" w:color="auto"/>
            </w:tcBorders>
            <w:noWrap/>
            <w:vAlign w:val="center"/>
            <w:hideMark/>
          </w:tcPr>
          <w:p w14:paraId="6DB0FC5F"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4</w:t>
            </w:r>
          </w:p>
        </w:tc>
        <w:tc>
          <w:tcPr>
            <w:tcW w:w="2532" w:type="dxa"/>
            <w:tcBorders>
              <w:top w:val="nil"/>
              <w:left w:val="nil"/>
              <w:bottom w:val="single" w:sz="8" w:space="0" w:color="auto"/>
              <w:right w:val="single" w:sz="8" w:space="0" w:color="auto"/>
            </w:tcBorders>
            <w:vAlign w:val="center"/>
            <w:hideMark/>
          </w:tcPr>
          <w:p w14:paraId="39CEB72E" w14:textId="77777777" w:rsidR="006C2A50" w:rsidRPr="006C2A50" w:rsidRDefault="006C2A50" w:rsidP="006C2A50">
            <w:pPr>
              <w:spacing w:after="0" w:line="240" w:lineRule="auto"/>
              <w:rPr>
                <w:rFonts w:eastAsia="Times New Roman"/>
                <w:color w:val="717676"/>
                <w:spacing w:val="0"/>
                <w:sz w:val="18"/>
                <w:szCs w:val="18"/>
              </w:rPr>
            </w:pPr>
            <w:r w:rsidRPr="006C2A50">
              <w:rPr>
                <w:rFonts w:eastAsia="Times New Roman"/>
                <w:color w:val="717676"/>
                <w:spacing w:val="0"/>
                <w:sz w:val="18"/>
                <w:szCs w:val="18"/>
                <w:lang w:val="es-DO"/>
              </w:rPr>
              <w:t>Cumplimiento ampliado</w:t>
            </w:r>
          </w:p>
        </w:tc>
        <w:tc>
          <w:tcPr>
            <w:tcW w:w="790" w:type="dxa"/>
            <w:tcBorders>
              <w:top w:val="nil"/>
              <w:left w:val="nil"/>
              <w:bottom w:val="single" w:sz="8" w:space="0" w:color="auto"/>
              <w:right w:val="single" w:sz="8" w:space="0" w:color="auto"/>
            </w:tcBorders>
            <w:noWrap/>
            <w:vAlign w:val="center"/>
            <w:hideMark/>
          </w:tcPr>
          <w:p w14:paraId="4A56447D"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900" w:type="dxa"/>
            <w:tcBorders>
              <w:top w:val="nil"/>
              <w:left w:val="nil"/>
              <w:bottom w:val="single" w:sz="8" w:space="0" w:color="auto"/>
              <w:right w:val="single" w:sz="8" w:space="0" w:color="auto"/>
            </w:tcBorders>
            <w:noWrap/>
            <w:vAlign w:val="center"/>
            <w:hideMark/>
          </w:tcPr>
          <w:p w14:paraId="6A8E5503"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9%</w:t>
            </w:r>
          </w:p>
        </w:tc>
        <w:tc>
          <w:tcPr>
            <w:tcW w:w="900" w:type="dxa"/>
            <w:tcBorders>
              <w:top w:val="nil"/>
              <w:left w:val="nil"/>
              <w:bottom w:val="single" w:sz="8" w:space="0" w:color="auto"/>
              <w:right w:val="single" w:sz="8" w:space="0" w:color="auto"/>
            </w:tcBorders>
            <w:noWrap/>
            <w:vAlign w:val="center"/>
            <w:hideMark/>
          </w:tcPr>
          <w:p w14:paraId="7160399D"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830" w:type="dxa"/>
            <w:vMerge/>
            <w:tcBorders>
              <w:top w:val="single" w:sz="8" w:space="0" w:color="auto"/>
              <w:left w:val="single" w:sz="8" w:space="0" w:color="auto"/>
              <w:bottom w:val="nil"/>
              <w:right w:val="single" w:sz="8" w:space="0" w:color="auto"/>
            </w:tcBorders>
            <w:vAlign w:val="center"/>
            <w:hideMark/>
          </w:tcPr>
          <w:p w14:paraId="138F40F6" w14:textId="77777777" w:rsidR="006C2A50" w:rsidRPr="006C2A50" w:rsidRDefault="006C2A50" w:rsidP="006C2A50">
            <w:pPr>
              <w:spacing w:after="0" w:line="240" w:lineRule="auto"/>
              <w:rPr>
                <w:rFonts w:eastAsia="Times New Roman"/>
                <w:color w:val="717676"/>
                <w:spacing w:val="0"/>
                <w:sz w:val="18"/>
                <w:szCs w:val="18"/>
              </w:rPr>
            </w:pPr>
          </w:p>
        </w:tc>
        <w:tc>
          <w:tcPr>
            <w:tcW w:w="1400" w:type="dxa"/>
            <w:tcBorders>
              <w:top w:val="nil"/>
              <w:left w:val="nil"/>
              <w:bottom w:val="single" w:sz="8" w:space="0" w:color="auto"/>
              <w:right w:val="single" w:sz="8" w:space="0" w:color="auto"/>
            </w:tcBorders>
            <w:noWrap/>
            <w:vAlign w:val="center"/>
            <w:hideMark/>
          </w:tcPr>
          <w:p w14:paraId="79BBD9D5"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rPr>
              <w:t>10%</w:t>
            </w:r>
          </w:p>
        </w:tc>
      </w:tr>
      <w:tr w:rsidR="006C2A50" w:rsidRPr="006C2A50" w14:paraId="3B42C10A" w14:textId="77777777" w:rsidTr="00DB7323">
        <w:trPr>
          <w:trHeight w:val="315"/>
        </w:trPr>
        <w:tc>
          <w:tcPr>
            <w:tcW w:w="860" w:type="dxa"/>
            <w:tcBorders>
              <w:top w:val="nil"/>
              <w:left w:val="single" w:sz="8" w:space="0" w:color="auto"/>
              <w:bottom w:val="single" w:sz="8" w:space="0" w:color="auto"/>
              <w:right w:val="single" w:sz="8" w:space="0" w:color="auto"/>
            </w:tcBorders>
            <w:noWrap/>
            <w:vAlign w:val="center"/>
            <w:hideMark/>
          </w:tcPr>
          <w:p w14:paraId="4DA4A17F"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5</w:t>
            </w:r>
          </w:p>
        </w:tc>
        <w:tc>
          <w:tcPr>
            <w:tcW w:w="2532" w:type="dxa"/>
            <w:tcBorders>
              <w:top w:val="nil"/>
              <w:left w:val="nil"/>
              <w:bottom w:val="single" w:sz="8" w:space="0" w:color="auto"/>
              <w:right w:val="single" w:sz="8" w:space="0" w:color="auto"/>
            </w:tcBorders>
            <w:vAlign w:val="center"/>
            <w:hideMark/>
          </w:tcPr>
          <w:p w14:paraId="3FD467E4" w14:textId="77777777" w:rsidR="006C2A50" w:rsidRPr="006C2A50" w:rsidRDefault="006C2A50" w:rsidP="006C2A50">
            <w:pPr>
              <w:spacing w:after="0" w:line="240" w:lineRule="auto"/>
              <w:rPr>
                <w:rFonts w:eastAsia="Times New Roman"/>
                <w:color w:val="717676"/>
                <w:spacing w:val="0"/>
                <w:sz w:val="18"/>
                <w:szCs w:val="18"/>
              </w:rPr>
            </w:pPr>
            <w:r w:rsidRPr="006C2A50">
              <w:rPr>
                <w:rFonts w:eastAsia="Times New Roman"/>
                <w:color w:val="717676"/>
                <w:spacing w:val="0"/>
                <w:sz w:val="18"/>
                <w:szCs w:val="18"/>
                <w:lang w:val="es-DO"/>
              </w:rPr>
              <w:t>Autoevaluación</w:t>
            </w:r>
          </w:p>
        </w:tc>
        <w:tc>
          <w:tcPr>
            <w:tcW w:w="790" w:type="dxa"/>
            <w:tcBorders>
              <w:top w:val="nil"/>
              <w:left w:val="nil"/>
              <w:bottom w:val="single" w:sz="8" w:space="0" w:color="auto"/>
              <w:right w:val="single" w:sz="8" w:space="0" w:color="auto"/>
            </w:tcBorders>
            <w:noWrap/>
            <w:vAlign w:val="center"/>
            <w:hideMark/>
          </w:tcPr>
          <w:p w14:paraId="52A27F1A"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30%</w:t>
            </w:r>
          </w:p>
        </w:tc>
        <w:tc>
          <w:tcPr>
            <w:tcW w:w="900" w:type="dxa"/>
            <w:tcBorders>
              <w:top w:val="nil"/>
              <w:left w:val="nil"/>
              <w:bottom w:val="single" w:sz="8" w:space="0" w:color="auto"/>
              <w:right w:val="single" w:sz="8" w:space="0" w:color="auto"/>
            </w:tcBorders>
            <w:noWrap/>
            <w:vAlign w:val="center"/>
            <w:hideMark/>
          </w:tcPr>
          <w:p w14:paraId="3EF2EA27"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21%</w:t>
            </w:r>
          </w:p>
        </w:tc>
        <w:tc>
          <w:tcPr>
            <w:tcW w:w="900" w:type="dxa"/>
            <w:tcBorders>
              <w:top w:val="nil"/>
              <w:left w:val="nil"/>
              <w:bottom w:val="single" w:sz="8" w:space="0" w:color="auto"/>
              <w:right w:val="single" w:sz="8" w:space="0" w:color="auto"/>
            </w:tcBorders>
            <w:noWrap/>
            <w:vAlign w:val="center"/>
            <w:hideMark/>
          </w:tcPr>
          <w:p w14:paraId="080DAE9E"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21%</w:t>
            </w:r>
          </w:p>
        </w:tc>
        <w:tc>
          <w:tcPr>
            <w:tcW w:w="830" w:type="dxa"/>
            <w:vMerge/>
            <w:tcBorders>
              <w:top w:val="single" w:sz="8" w:space="0" w:color="auto"/>
              <w:left w:val="single" w:sz="8" w:space="0" w:color="auto"/>
              <w:bottom w:val="nil"/>
              <w:right w:val="single" w:sz="8" w:space="0" w:color="auto"/>
            </w:tcBorders>
            <w:vAlign w:val="center"/>
            <w:hideMark/>
          </w:tcPr>
          <w:p w14:paraId="0FF08BB7" w14:textId="77777777" w:rsidR="006C2A50" w:rsidRPr="006C2A50" w:rsidRDefault="006C2A50" w:rsidP="006C2A50">
            <w:pPr>
              <w:spacing w:after="0" w:line="240" w:lineRule="auto"/>
              <w:rPr>
                <w:rFonts w:eastAsia="Times New Roman"/>
                <w:color w:val="717676"/>
                <w:spacing w:val="0"/>
                <w:sz w:val="18"/>
                <w:szCs w:val="18"/>
              </w:rPr>
            </w:pPr>
          </w:p>
        </w:tc>
        <w:tc>
          <w:tcPr>
            <w:tcW w:w="1400" w:type="dxa"/>
            <w:tcBorders>
              <w:top w:val="nil"/>
              <w:left w:val="nil"/>
              <w:bottom w:val="single" w:sz="8" w:space="0" w:color="auto"/>
              <w:right w:val="single" w:sz="8" w:space="0" w:color="auto"/>
            </w:tcBorders>
            <w:noWrap/>
            <w:vAlign w:val="center"/>
            <w:hideMark/>
          </w:tcPr>
          <w:p w14:paraId="1A2C9452"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rPr>
              <w:t>24%</w:t>
            </w:r>
          </w:p>
        </w:tc>
      </w:tr>
      <w:tr w:rsidR="006C2A50" w:rsidRPr="006C2A50" w14:paraId="17EB68B1" w14:textId="77777777" w:rsidTr="00DB7323">
        <w:trPr>
          <w:trHeight w:val="318"/>
        </w:trPr>
        <w:tc>
          <w:tcPr>
            <w:tcW w:w="860" w:type="dxa"/>
            <w:tcBorders>
              <w:top w:val="nil"/>
              <w:left w:val="single" w:sz="8" w:space="0" w:color="auto"/>
              <w:bottom w:val="single" w:sz="8" w:space="0" w:color="auto"/>
              <w:right w:val="single" w:sz="8" w:space="0" w:color="auto"/>
            </w:tcBorders>
            <w:noWrap/>
            <w:vAlign w:val="center"/>
            <w:hideMark/>
          </w:tcPr>
          <w:p w14:paraId="0AF47FC4"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6</w:t>
            </w:r>
          </w:p>
        </w:tc>
        <w:tc>
          <w:tcPr>
            <w:tcW w:w="2532" w:type="dxa"/>
            <w:tcBorders>
              <w:top w:val="nil"/>
              <w:left w:val="nil"/>
              <w:bottom w:val="single" w:sz="8" w:space="0" w:color="auto"/>
              <w:right w:val="single" w:sz="8" w:space="0" w:color="auto"/>
            </w:tcBorders>
            <w:vAlign w:val="center"/>
            <w:hideMark/>
          </w:tcPr>
          <w:p w14:paraId="60D64197" w14:textId="77777777" w:rsidR="006C2A50" w:rsidRPr="006C2A50" w:rsidRDefault="006C2A50" w:rsidP="006C2A50">
            <w:pPr>
              <w:spacing w:after="0" w:line="240" w:lineRule="auto"/>
              <w:rPr>
                <w:rFonts w:eastAsia="Times New Roman"/>
                <w:color w:val="717676"/>
                <w:spacing w:val="0"/>
                <w:sz w:val="18"/>
                <w:szCs w:val="18"/>
              </w:rPr>
            </w:pPr>
            <w:r w:rsidRPr="006C2A50">
              <w:rPr>
                <w:rFonts w:eastAsia="Times New Roman"/>
                <w:color w:val="717676"/>
                <w:spacing w:val="0"/>
                <w:sz w:val="18"/>
                <w:szCs w:val="18"/>
                <w:lang w:val="es-DO"/>
              </w:rPr>
              <w:t>Modificaciones presupuestarias</w:t>
            </w:r>
          </w:p>
        </w:tc>
        <w:tc>
          <w:tcPr>
            <w:tcW w:w="790" w:type="dxa"/>
            <w:tcBorders>
              <w:top w:val="nil"/>
              <w:left w:val="nil"/>
              <w:bottom w:val="single" w:sz="8" w:space="0" w:color="auto"/>
              <w:right w:val="single" w:sz="8" w:space="0" w:color="auto"/>
            </w:tcBorders>
            <w:noWrap/>
            <w:vAlign w:val="center"/>
            <w:hideMark/>
          </w:tcPr>
          <w:p w14:paraId="169F3153"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900" w:type="dxa"/>
            <w:tcBorders>
              <w:top w:val="nil"/>
              <w:left w:val="nil"/>
              <w:bottom w:val="single" w:sz="8" w:space="0" w:color="auto"/>
              <w:right w:val="single" w:sz="8" w:space="0" w:color="auto"/>
            </w:tcBorders>
            <w:noWrap/>
            <w:vAlign w:val="center"/>
            <w:hideMark/>
          </w:tcPr>
          <w:p w14:paraId="7433ED1B"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900" w:type="dxa"/>
            <w:tcBorders>
              <w:top w:val="nil"/>
              <w:left w:val="nil"/>
              <w:bottom w:val="single" w:sz="8" w:space="0" w:color="auto"/>
              <w:right w:val="single" w:sz="8" w:space="0" w:color="auto"/>
            </w:tcBorders>
            <w:noWrap/>
            <w:vAlign w:val="center"/>
            <w:hideMark/>
          </w:tcPr>
          <w:p w14:paraId="071C083E"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lang w:val="es-DO"/>
              </w:rPr>
              <w:t>10%</w:t>
            </w:r>
          </w:p>
        </w:tc>
        <w:tc>
          <w:tcPr>
            <w:tcW w:w="830" w:type="dxa"/>
            <w:vMerge/>
            <w:tcBorders>
              <w:top w:val="single" w:sz="8" w:space="0" w:color="auto"/>
              <w:left w:val="single" w:sz="8" w:space="0" w:color="auto"/>
              <w:bottom w:val="nil"/>
              <w:right w:val="single" w:sz="8" w:space="0" w:color="auto"/>
            </w:tcBorders>
            <w:vAlign w:val="center"/>
            <w:hideMark/>
          </w:tcPr>
          <w:p w14:paraId="5974E77F" w14:textId="77777777" w:rsidR="006C2A50" w:rsidRPr="006C2A50" w:rsidRDefault="006C2A50" w:rsidP="006C2A50">
            <w:pPr>
              <w:spacing w:after="0" w:line="240" w:lineRule="auto"/>
              <w:rPr>
                <w:rFonts w:eastAsia="Times New Roman"/>
                <w:color w:val="717676"/>
                <w:spacing w:val="0"/>
                <w:sz w:val="18"/>
                <w:szCs w:val="18"/>
              </w:rPr>
            </w:pPr>
          </w:p>
        </w:tc>
        <w:tc>
          <w:tcPr>
            <w:tcW w:w="1400" w:type="dxa"/>
            <w:tcBorders>
              <w:top w:val="nil"/>
              <w:left w:val="nil"/>
              <w:bottom w:val="single" w:sz="8" w:space="0" w:color="auto"/>
              <w:right w:val="single" w:sz="8" w:space="0" w:color="auto"/>
            </w:tcBorders>
            <w:noWrap/>
            <w:vAlign w:val="center"/>
            <w:hideMark/>
          </w:tcPr>
          <w:p w14:paraId="74E1DD15" w14:textId="77777777" w:rsidR="006C2A50" w:rsidRPr="006C2A50" w:rsidRDefault="006C2A50" w:rsidP="006C2A50">
            <w:pPr>
              <w:spacing w:after="0" w:line="240" w:lineRule="auto"/>
              <w:jc w:val="center"/>
              <w:rPr>
                <w:rFonts w:eastAsia="Times New Roman"/>
                <w:color w:val="717676"/>
                <w:spacing w:val="0"/>
                <w:sz w:val="18"/>
                <w:szCs w:val="18"/>
              </w:rPr>
            </w:pPr>
            <w:r w:rsidRPr="006C2A50">
              <w:rPr>
                <w:rFonts w:eastAsia="Times New Roman"/>
                <w:color w:val="717676"/>
                <w:spacing w:val="0"/>
                <w:sz w:val="18"/>
                <w:szCs w:val="18"/>
              </w:rPr>
              <w:t>10%</w:t>
            </w:r>
          </w:p>
        </w:tc>
      </w:tr>
      <w:tr w:rsidR="006C2A50" w:rsidRPr="006C2A50" w14:paraId="60962D6F" w14:textId="77777777" w:rsidTr="00DB7323">
        <w:trPr>
          <w:trHeight w:val="315"/>
        </w:trPr>
        <w:tc>
          <w:tcPr>
            <w:tcW w:w="3392" w:type="dxa"/>
            <w:gridSpan w:val="2"/>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3D1BFDBB" w14:textId="77777777" w:rsidR="006C2A50" w:rsidRPr="006C2A50" w:rsidRDefault="006C2A50" w:rsidP="006C2A50">
            <w:pPr>
              <w:spacing w:after="0" w:line="240" w:lineRule="auto"/>
              <w:jc w:val="right"/>
              <w:rPr>
                <w:rFonts w:eastAsia="Times New Roman"/>
                <w:b/>
                <w:bCs/>
                <w:color w:val="FFFFFF"/>
                <w:spacing w:val="0"/>
                <w:sz w:val="18"/>
                <w:szCs w:val="18"/>
              </w:rPr>
            </w:pPr>
            <w:r w:rsidRPr="006C2A50">
              <w:rPr>
                <w:rFonts w:eastAsia="Times New Roman"/>
                <w:b/>
                <w:bCs/>
                <w:color w:val="FFFFFF"/>
                <w:spacing w:val="0"/>
                <w:sz w:val="18"/>
                <w:szCs w:val="18"/>
                <w:lang w:val="es-DO"/>
              </w:rPr>
              <w:t>Resultado IGP</w:t>
            </w:r>
          </w:p>
        </w:tc>
        <w:tc>
          <w:tcPr>
            <w:tcW w:w="790" w:type="dxa"/>
            <w:tcBorders>
              <w:top w:val="nil"/>
              <w:left w:val="nil"/>
              <w:bottom w:val="single" w:sz="8" w:space="0" w:color="auto"/>
              <w:right w:val="single" w:sz="8" w:space="0" w:color="auto"/>
            </w:tcBorders>
            <w:shd w:val="clear" w:color="000000" w:fill="142F62"/>
            <w:noWrap/>
            <w:vAlign w:val="center"/>
            <w:hideMark/>
          </w:tcPr>
          <w:p w14:paraId="75E1C7F2"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99.%</w:t>
            </w:r>
          </w:p>
        </w:tc>
        <w:tc>
          <w:tcPr>
            <w:tcW w:w="900" w:type="dxa"/>
            <w:tcBorders>
              <w:top w:val="nil"/>
              <w:left w:val="nil"/>
              <w:bottom w:val="single" w:sz="8" w:space="0" w:color="auto"/>
              <w:right w:val="single" w:sz="8" w:space="0" w:color="auto"/>
            </w:tcBorders>
            <w:shd w:val="clear" w:color="000000" w:fill="142F62"/>
            <w:noWrap/>
            <w:vAlign w:val="center"/>
            <w:hideMark/>
          </w:tcPr>
          <w:p w14:paraId="71C08705"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83%</w:t>
            </w:r>
          </w:p>
        </w:tc>
        <w:tc>
          <w:tcPr>
            <w:tcW w:w="900" w:type="dxa"/>
            <w:tcBorders>
              <w:top w:val="nil"/>
              <w:left w:val="nil"/>
              <w:bottom w:val="single" w:sz="8" w:space="0" w:color="auto"/>
              <w:right w:val="single" w:sz="8" w:space="0" w:color="auto"/>
            </w:tcBorders>
            <w:shd w:val="clear" w:color="000000" w:fill="142F62"/>
            <w:noWrap/>
            <w:vAlign w:val="center"/>
            <w:hideMark/>
          </w:tcPr>
          <w:p w14:paraId="0208D19E"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84%</w:t>
            </w:r>
          </w:p>
        </w:tc>
        <w:tc>
          <w:tcPr>
            <w:tcW w:w="830" w:type="dxa"/>
            <w:tcBorders>
              <w:top w:val="nil"/>
              <w:left w:val="nil"/>
              <w:bottom w:val="single" w:sz="8" w:space="0" w:color="auto"/>
              <w:right w:val="single" w:sz="8" w:space="0" w:color="auto"/>
            </w:tcBorders>
            <w:shd w:val="clear" w:color="000000" w:fill="142F62"/>
            <w:noWrap/>
            <w:vAlign w:val="center"/>
            <w:hideMark/>
          </w:tcPr>
          <w:p w14:paraId="275E452F"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lang w:val="es-DO"/>
              </w:rPr>
              <w:t> </w:t>
            </w:r>
          </w:p>
        </w:tc>
        <w:tc>
          <w:tcPr>
            <w:tcW w:w="1400" w:type="dxa"/>
            <w:tcBorders>
              <w:top w:val="nil"/>
              <w:left w:val="nil"/>
              <w:bottom w:val="single" w:sz="8" w:space="0" w:color="auto"/>
              <w:right w:val="single" w:sz="8" w:space="0" w:color="auto"/>
            </w:tcBorders>
            <w:shd w:val="clear" w:color="000000" w:fill="142F62"/>
            <w:noWrap/>
            <w:vAlign w:val="center"/>
            <w:hideMark/>
          </w:tcPr>
          <w:p w14:paraId="6690EB0D" w14:textId="77777777" w:rsidR="006C2A50" w:rsidRPr="006C2A50" w:rsidRDefault="006C2A50"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rPr>
              <w:t>88.67%</w:t>
            </w:r>
          </w:p>
        </w:tc>
      </w:tr>
    </w:tbl>
    <w:p w14:paraId="7C59E1BF" w14:textId="12DCBBFC" w:rsidR="006C2A50" w:rsidRPr="006C2A50" w:rsidRDefault="006C2A50" w:rsidP="006C2A50">
      <w:pPr>
        <w:spacing w:line="360" w:lineRule="auto"/>
        <w:rPr>
          <w:rFonts w:eastAsia="Calibri"/>
          <w:i/>
          <w:iCs/>
          <w:noProof/>
          <w:sz w:val="18"/>
          <w:szCs w:val="18"/>
          <w:lang w:val="es-DO"/>
        </w:rPr>
      </w:pPr>
      <w:bookmarkStart w:id="6" w:name="_Hlk156400716"/>
      <w:r w:rsidRPr="006C2A50">
        <w:rPr>
          <w:rFonts w:eastAsia="Calibri"/>
          <w:i/>
          <w:iCs/>
          <w:noProof/>
          <w:sz w:val="18"/>
          <w:szCs w:val="18"/>
          <w:lang w:val="es-DO"/>
        </w:rPr>
        <w:t xml:space="preserve">Cuadro </w:t>
      </w:r>
      <w:r w:rsidR="007F6064">
        <w:rPr>
          <w:rFonts w:eastAsia="Calibri"/>
          <w:i/>
          <w:iCs/>
          <w:noProof/>
          <w:sz w:val="18"/>
          <w:szCs w:val="18"/>
          <w:lang w:val="es-DO"/>
        </w:rPr>
        <w:t>27</w:t>
      </w:r>
      <w:r w:rsidR="00DB7323">
        <w:rPr>
          <w:rFonts w:eastAsia="Calibri"/>
          <w:i/>
          <w:iCs/>
          <w:noProof/>
          <w:sz w:val="18"/>
          <w:szCs w:val="18"/>
          <w:lang w:val="es-DO"/>
        </w:rPr>
        <w:t>.</w:t>
      </w:r>
      <w:r w:rsidRPr="006C2A50">
        <w:rPr>
          <w:rFonts w:eastAsia="Calibri"/>
          <w:i/>
          <w:iCs/>
          <w:noProof/>
          <w:sz w:val="18"/>
          <w:szCs w:val="18"/>
          <w:lang w:val="es-DO"/>
        </w:rPr>
        <w:t xml:space="preserve"> Resultados evaluación IGP año 2025.</w:t>
      </w:r>
      <w:bookmarkEnd w:id="6"/>
    </w:p>
    <w:p w14:paraId="0DF7EC3B" w14:textId="77777777" w:rsidR="00A24706" w:rsidRDefault="00A24706" w:rsidP="00DB2C88">
      <w:pPr>
        <w:spacing w:line="360" w:lineRule="auto"/>
        <w:jc w:val="center"/>
        <w:rPr>
          <w:rFonts w:eastAsia="Calibri"/>
          <w:b/>
          <w:bCs/>
          <w:noProof/>
          <w:lang w:val="es-DO"/>
        </w:rPr>
      </w:pPr>
    </w:p>
    <w:p w14:paraId="398B6882" w14:textId="77777777" w:rsidR="00A24706" w:rsidRDefault="00A24706" w:rsidP="00DB2C88">
      <w:pPr>
        <w:spacing w:line="360" w:lineRule="auto"/>
        <w:jc w:val="center"/>
        <w:rPr>
          <w:rFonts w:eastAsia="Calibri"/>
          <w:b/>
          <w:bCs/>
          <w:noProof/>
          <w:lang w:val="es-DO"/>
        </w:rPr>
      </w:pPr>
    </w:p>
    <w:p w14:paraId="05486AA3" w14:textId="7B2E47F4" w:rsidR="006C2A50" w:rsidRPr="00DB2C88" w:rsidRDefault="006C2A50" w:rsidP="00DB2C88">
      <w:pPr>
        <w:spacing w:line="360" w:lineRule="auto"/>
        <w:jc w:val="center"/>
        <w:rPr>
          <w:rFonts w:eastAsia="Calibri"/>
          <w:noProof/>
          <w:lang w:val="es-DO"/>
        </w:rPr>
      </w:pPr>
      <w:r w:rsidRPr="006C2A50">
        <w:rPr>
          <w:rFonts w:eastAsia="Calibri"/>
          <w:b/>
          <w:bCs/>
          <w:noProof/>
          <w:lang w:val="es-DO"/>
        </w:rPr>
        <w:lastRenderedPageBreak/>
        <w:t>Subsistema de Cooperación Internacional</w:t>
      </w:r>
    </w:p>
    <w:p w14:paraId="5D056931" w14:textId="77777777" w:rsidR="00DB2C88" w:rsidRDefault="00DB2C88" w:rsidP="00DB2C88">
      <w:pPr>
        <w:spacing w:line="360" w:lineRule="auto"/>
        <w:jc w:val="both"/>
        <w:rPr>
          <w:rFonts w:eastAsia="Calibri"/>
          <w:lang w:val="es-DO"/>
        </w:rPr>
      </w:pPr>
      <w:r w:rsidRPr="00DB2C88">
        <w:rPr>
          <w:rFonts w:eastAsia="Calibri"/>
          <w:lang w:val="es-DO"/>
        </w:rPr>
        <w:t xml:space="preserve">Durante el año 2025, la Dirección General de Museos (DGM) fortaleció de manera sostenida su inserción en los mecanismos de cooperación internacional, con énfasis en el Programa Ibermuseos, como plataforma estratégica para el intercambio técnico, la profesionalización del sector museístico y el fortalecimiento institucional del Sistema Nacional de Museos. </w:t>
      </w:r>
    </w:p>
    <w:p w14:paraId="0E114E92" w14:textId="0033C47C" w:rsidR="00DB2C88" w:rsidRPr="00DB2C88" w:rsidRDefault="00DB2C88" w:rsidP="00DB2C88">
      <w:pPr>
        <w:spacing w:line="360" w:lineRule="auto"/>
        <w:jc w:val="both"/>
        <w:rPr>
          <w:rFonts w:eastAsia="Calibri"/>
          <w:lang w:val="es-DO"/>
        </w:rPr>
      </w:pPr>
      <w:r w:rsidRPr="00DB2C88">
        <w:rPr>
          <w:rFonts w:eastAsia="Calibri"/>
          <w:lang w:val="es-DO"/>
        </w:rPr>
        <w:t>Estas acciones se desarrollaron en coherencia con los lineamientos del Ministerio de Cultura y con los compromisos asumidos por la República Dominicana en el ámbito de la cooperación cultural iberoamericana.</w:t>
      </w:r>
    </w:p>
    <w:p w14:paraId="4BE7534D" w14:textId="77777777" w:rsidR="00B85649" w:rsidRDefault="00DB2C88" w:rsidP="00DB2C88">
      <w:pPr>
        <w:spacing w:line="360" w:lineRule="auto"/>
        <w:jc w:val="both"/>
        <w:rPr>
          <w:rFonts w:eastAsia="Calibri"/>
          <w:lang w:val="es-DO"/>
        </w:rPr>
      </w:pPr>
      <w:r w:rsidRPr="00DB2C88">
        <w:rPr>
          <w:rFonts w:eastAsia="Calibri"/>
          <w:lang w:val="es-DO"/>
        </w:rPr>
        <w:t xml:space="preserve">En el marco del Programa Ibermuseos, la DGM participó activamente en los espacios de gobernanza, evaluación y seguimiento de las convocatorias regionales. Durante el período, la institución formó parte de la Comisión Nacional Evaluadora del Premio Ibermuseos 2024–2025, contribuyendo al proceso técnico de valoración de proyectos museísticos presentados a nivel nacional. </w:t>
      </w:r>
    </w:p>
    <w:p w14:paraId="2021B59B" w14:textId="2EBE0C37" w:rsidR="00DB2C88" w:rsidRPr="00DB2C88" w:rsidRDefault="00DB2C88" w:rsidP="00DB2C88">
      <w:pPr>
        <w:spacing w:line="360" w:lineRule="auto"/>
        <w:jc w:val="both"/>
        <w:rPr>
          <w:rFonts w:eastAsia="Calibri"/>
          <w:lang w:val="es-DO"/>
        </w:rPr>
      </w:pPr>
      <w:r w:rsidRPr="00DB2C88">
        <w:rPr>
          <w:rFonts w:eastAsia="Calibri"/>
          <w:lang w:val="es-DO"/>
        </w:rPr>
        <w:t>Como resultado de esta convocatoria, dos museos dominicanos resultaron ganadores: el Centro Cultural Eduardo León Jimenes (Centro León) y el Museo Memorial de la Resistencia Dominicana, fortaleciendo la proyección internacional del sector museístico nacional y validando la calidad de las iniciativas desarrolladas en el país.</w:t>
      </w:r>
    </w:p>
    <w:p w14:paraId="71B208FD" w14:textId="77777777" w:rsidR="00A24706" w:rsidRDefault="00DB2C88" w:rsidP="00DB2C88">
      <w:pPr>
        <w:spacing w:line="360" w:lineRule="auto"/>
        <w:jc w:val="both"/>
        <w:rPr>
          <w:rFonts w:eastAsia="Calibri"/>
          <w:lang w:val="es-DO"/>
        </w:rPr>
      </w:pPr>
      <w:r w:rsidRPr="00DB2C88">
        <w:rPr>
          <w:rFonts w:eastAsia="Calibri"/>
          <w:lang w:val="es-DO"/>
        </w:rPr>
        <w:t xml:space="preserve">De manera complementaria, representantes de la DGM participaron en encuentros técnicos, mesas de trabajo y actividades formativas del Programa Ibermuseos, celebradas en países como Colombia y Portugal, entre otros espacios de intercambio regional. Estas participaciones permitieron compartir experiencias en materia de </w:t>
      </w:r>
    </w:p>
    <w:p w14:paraId="76D40BCA" w14:textId="34350949" w:rsidR="00DB2C88" w:rsidRPr="00DB2C88" w:rsidRDefault="00DB2C88" w:rsidP="00DB2C88">
      <w:pPr>
        <w:spacing w:line="360" w:lineRule="auto"/>
        <w:jc w:val="both"/>
        <w:rPr>
          <w:rFonts w:eastAsia="Calibri"/>
          <w:lang w:val="es-DO"/>
        </w:rPr>
      </w:pPr>
      <w:r w:rsidRPr="00DB2C88">
        <w:rPr>
          <w:rFonts w:eastAsia="Calibri"/>
          <w:lang w:val="es-DO"/>
        </w:rPr>
        <w:lastRenderedPageBreak/>
        <w:t>gestión museística, conservación preventiva, educación patrimonial, innovación museográfica y modelos de sostenibilidad, así como incorporar buenas prácticas internacionales al contexto dominicano.</w:t>
      </w:r>
    </w:p>
    <w:p w14:paraId="4F1596AE" w14:textId="77777777" w:rsidR="00DB2C88" w:rsidRDefault="00DB2C88" w:rsidP="00DB2C88">
      <w:pPr>
        <w:spacing w:line="360" w:lineRule="auto"/>
        <w:jc w:val="both"/>
        <w:rPr>
          <w:rFonts w:eastAsia="Calibri"/>
          <w:lang w:val="es-DO"/>
        </w:rPr>
      </w:pPr>
      <w:r w:rsidRPr="00DB2C88">
        <w:rPr>
          <w:rFonts w:eastAsia="Calibri"/>
          <w:lang w:val="es-DO"/>
        </w:rPr>
        <w:t xml:space="preserve">En el ámbito de la cooperación técnica internacional, durante 2025 se avanzó en la articulación con organismos multilaterales, destacándose la consultoría financiada por el Banco Interamericano de Desarrollo (BID) para la elaboración del Plan de Gestión de Riesgos de Desastres de los museos ubicados en la Ciudad Colonial de Santo Domingo. </w:t>
      </w:r>
    </w:p>
    <w:p w14:paraId="71A9D7C6" w14:textId="33A153B8" w:rsidR="00DB2C88" w:rsidRPr="00DB2C88" w:rsidRDefault="00DB2C88" w:rsidP="00DB2C88">
      <w:pPr>
        <w:spacing w:line="360" w:lineRule="auto"/>
        <w:jc w:val="both"/>
        <w:rPr>
          <w:rFonts w:eastAsia="Calibri"/>
          <w:lang w:val="es-DO"/>
        </w:rPr>
      </w:pPr>
      <w:r w:rsidRPr="00DB2C88">
        <w:rPr>
          <w:rFonts w:eastAsia="Calibri"/>
          <w:lang w:val="es-DO"/>
        </w:rPr>
        <w:t>Esta iniciativa constituye un hito relevante para la reducción de vulnerabilidades, la protección del patrimonio cultural mueble e inmueble y el fortalecimiento de la resiliencia institucional frente a amenazas naturales y antrópicas, alineándose con estándares internacionales de gestión de riesgos en museos y sitios patrimoniales.</w:t>
      </w:r>
    </w:p>
    <w:p w14:paraId="58942784" w14:textId="77777777" w:rsidR="00DB2C88" w:rsidRPr="00DB2C88" w:rsidRDefault="00DB2C88" w:rsidP="00DB2C88">
      <w:pPr>
        <w:spacing w:line="360" w:lineRule="auto"/>
        <w:jc w:val="both"/>
        <w:rPr>
          <w:rFonts w:eastAsia="Calibri"/>
          <w:lang w:val="es-DO"/>
        </w:rPr>
      </w:pPr>
      <w:r w:rsidRPr="00DB2C88">
        <w:rPr>
          <w:rFonts w:eastAsia="Calibri"/>
          <w:lang w:val="es-DO"/>
        </w:rPr>
        <w:t>Asimismo, se fortalecieron los vínculos de cooperación con instituciones museísticas internacionales y redes profesionales, incluyendo intercambios técnicos y acciones de colaboración orientadas a la innovación museográfica, la mediación cultural y la formación de capacidades. Estas alianzas han contribuido a posicionar a la DGM como un actor activo en los circuitos regionales de cooperación cultural y museológica.</w:t>
      </w:r>
    </w:p>
    <w:p w14:paraId="473CBFE7" w14:textId="560BE245" w:rsidR="007F6064" w:rsidRDefault="00DB2C88" w:rsidP="00DB2C88">
      <w:pPr>
        <w:spacing w:line="360" w:lineRule="auto"/>
        <w:jc w:val="both"/>
        <w:rPr>
          <w:rFonts w:eastAsia="Calibri"/>
          <w:lang w:val="es-DO"/>
        </w:rPr>
      </w:pPr>
      <w:r w:rsidRPr="00DB2C88">
        <w:rPr>
          <w:rFonts w:eastAsia="Calibri"/>
          <w:lang w:val="es-DO"/>
        </w:rPr>
        <w:t xml:space="preserve">En conjunto, las acciones desarrolladas durante 2025 en el marco del subsistema de cooperación internacional consolidan a la Dirección General de Museos como una institución comprometida con el fortalecimiento del sector museístico desde una perspectiva de cooperación, intercambio de conocimientos y alineación con estándares internacionales, contribuyendo a la sostenibilidad, </w:t>
      </w:r>
      <w:r w:rsidRPr="00DB2C88">
        <w:rPr>
          <w:rFonts w:eastAsia="Calibri"/>
          <w:lang w:val="es-DO"/>
        </w:rPr>
        <w:lastRenderedPageBreak/>
        <w:t>profesionalización e internacionalización de los museos dominicanos.</w:t>
      </w:r>
    </w:p>
    <w:p w14:paraId="31E68C4E" w14:textId="77777777" w:rsidR="009A1B5B" w:rsidRPr="009A1B5B" w:rsidRDefault="009A1B5B" w:rsidP="009A1B5B">
      <w:pPr>
        <w:spacing w:line="360" w:lineRule="auto"/>
        <w:jc w:val="center"/>
        <w:rPr>
          <w:rFonts w:eastAsia="Calibri"/>
          <w:b/>
          <w:bCs/>
          <w:lang w:val="es-DO"/>
        </w:rPr>
      </w:pPr>
      <w:r w:rsidRPr="009A1B5B">
        <w:rPr>
          <w:rFonts w:eastAsia="Calibri"/>
          <w:b/>
          <w:bCs/>
          <w:lang w:val="es-DO"/>
        </w:rPr>
        <w:t>Subsistema de Fortalecimiento Institucional</w:t>
      </w:r>
    </w:p>
    <w:p w14:paraId="51507C5D" w14:textId="30D01669" w:rsidR="009A1B5B" w:rsidRDefault="009A1B5B" w:rsidP="009A1B5B">
      <w:pPr>
        <w:spacing w:line="360" w:lineRule="auto"/>
        <w:rPr>
          <w:rFonts w:eastAsia="Calibri"/>
          <w:b/>
          <w:bCs/>
          <w:lang w:val="es-DO"/>
        </w:rPr>
      </w:pPr>
      <w:r>
        <w:rPr>
          <w:rFonts w:eastAsia="Calibri"/>
          <w:b/>
          <w:bCs/>
          <w:lang w:val="es-DO"/>
        </w:rPr>
        <w:t>Registro Nacional de Museos</w:t>
      </w:r>
    </w:p>
    <w:p w14:paraId="14D94527" w14:textId="77777777" w:rsidR="00BF08C3" w:rsidRDefault="00BF08C3" w:rsidP="00BF08C3">
      <w:pPr>
        <w:spacing w:line="360" w:lineRule="auto"/>
        <w:jc w:val="both"/>
        <w:rPr>
          <w:rFonts w:eastAsia="Calibri"/>
          <w:lang w:val="es-DO"/>
        </w:rPr>
      </w:pPr>
      <w:r w:rsidRPr="00BF08C3">
        <w:rPr>
          <w:rFonts w:eastAsia="Calibri"/>
          <w:lang w:val="es-DO"/>
        </w:rPr>
        <w:t xml:space="preserve">Durante el año 2025, la Dirección General de Museos avanzó en el proceso de diseño y estructuración del </w:t>
      </w:r>
      <w:r w:rsidRPr="00BF08C3">
        <w:rPr>
          <w:rFonts w:eastAsia="Calibri"/>
          <w:b/>
          <w:bCs/>
          <w:lang w:val="es-DO"/>
        </w:rPr>
        <w:t>Registro Nacional de Museos</w:t>
      </w:r>
      <w:r w:rsidRPr="00BF08C3">
        <w:rPr>
          <w:rFonts w:eastAsia="Calibri"/>
          <w:lang w:val="es-DO"/>
        </w:rPr>
        <w:t>, concebido como un instrumento estratégico para la organización, normalización y fortalecimiento del sistema museístico dominicano.</w:t>
      </w:r>
    </w:p>
    <w:p w14:paraId="0F2F5F64" w14:textId="6E3EB8BD" w:rsidR="00BF08C3" w:rsidRPr="00BF08C3" w:rsidRDefault="00BF08C3" w:rsidP="00BF08C3">
      <w:pPr>
        <w:spacing w:line="360" w:lineRule="auto"/>
        <w:jc w:val="both"/>
        <w:rPr>
          <w:rFonts w:eastAsia="Calibri"/>
          <w:lang w:val="es-DO"/>
        </w:rPr>
      </w:pPr>
      <w:r w:rsidRPr="00BF08C3">
        <w:rPr>
          <w:rFonts w:eastAsia="Calibri"/>
          <w:lang w:val="es-DO"/>
        </w:rPr>
        <w:t>Este registro tiene como objetivo disponer de una base de datos oficial, actualizada y verificable de los museos del país, tanto públicos como privados, que permita caracterizar su tipología, estado jurídico-administrativo, condiciones de gestión, colecciones, infraestructura y programación.</w:t>
      </w:r>
    </w:p>
    <w:p w14:paraId="3FE37880" w14:textId="77777777" w:rsidR="00BF08C3" w:rsidRDefault="00BF08C3" w:rsidP="00BF08C3">
      <w:pPr>
        <w:spacing w:line="360" w:lineRule="auto"/>
        <w:jc w:val="both"/>
        <w:rPr>
          <w:rFonts w:eastAsia="Calibri"/>
          <w:lang w:val="es-DO"/>
        </w:rPr>
      </w:pPr>
      <w:r w:rsidRPr="00BF08C3">
        <w:rPr>
          <w:rFonts w:eastAsia="Calibri"/>
          <w:lang w:val="es-DO"/>
        </w:rPr>
        <w:t xml:space="preserve">En este período, el registro se encuentra en fase de diseño del sistema informático y formalización del marco legal y administrativo, desarrollándose de manera articulada con la aplicación tecnológica que alojará la base de datos de la Red Nacional de Museos. </w:t>
      </w:r>
    </w:p>
    <w:p w14:paraId="5863252B" w14:textId="7742271D" w:rsidR="00BF08C3" w:rsidRPr="00BF08C3" w:rsidRDefault="00BF08C3" w:rsidP="00BF08C3">
      <w:pPr>
        <w:spacing w:line="360" w:lineRule="auto"/>
        <w:jc w:val="both"/>
        <w:rPr>
          <w:rFonts w:eastAsia="Calibri"/>
          <w:lang w:val="es-DO"/>
        </w:rPr>
      </w:pPr>
      <w:r w:rsidRPr="00BF08C3">
        <w:rPr>
          <w:rFonts w:eastAsia="Calibri"/>
          <w:lang w:val="es-DO"/>
        </w:rPr>
        <w:t>Este proceso incluye la definición de criterios de inscripción, validación de información, interoperabilidad con otros sistemas institucionales y alineación con estándares internacionales de gestión museística.</w:t>
      </w:r>
    </w:p>
    <w:p w14:paraId="0CBD057A" w14:textId="02EFDB16" w:rsidR="009A1B5B" w:rsidRPr="00BF08C3" w:rsidRDefault="00BF08C3" w:rsidP="00BF08C3">
      <w:pPr>
        <w:spacing w:line="360" w:lineRule="auto"/>
        <w:jc w:val="both"/>
        <w:rPr>
          <w:rFonts w:eastAsia="Calibri"/>
          <w:lang w:val="es-DO"/>
        </w:rPr>
      </w:pPr>
      <w:r w:rsidRPr="00BF08C3">
        <w:rPr>
          <w:rFonts w:eastAsia="Calibri"/>
          <w:lang w:val="es-DO"/>
        </w:rPr>
        <w:t>La implementación progresiva del Registro Nacional de Museos permitirá fortalecer la planificación estratégica, la toma de decisiones basada en evidencia, la transparencia institucional y la articulación interinstitucional, constituyéndose en una herramienta clave para el ordenamiento del sector, la formulación de políticas públicas culturales y el seguimiento del desempeño del sistema museístico a escala nacional.</w:t>
      </w:r>
    </w:p>
    <w:p w14:paraId="5AE496B3" w14:textId="77777777" w:rsidR="00B85649" w:rsidRPr="009A1B5B" w:rsidRDefault="00B85649" w:rsidP="00B85649">
      <w:pPr>
        <w:spacing w:line="360" w:lineRule="auto"/>
        <w:rPr>
          <w:rFonts w:eastAsia="Calibri"/>
          <w:b/>
          <w:bCs/>
          <w:lang w:val="es-DO"/>
        </w:rPr>
      </w:pPr>
      <w:r>
        <w:rPr>
          <w:rFonts w:eastAsia="Calibri"/>
          <w:b/>
          <w:bCs/>
          <w:lang w:val="es-DO"/>
        </w:rPr>
        <w:lastRenderedPageBreak/>
        <w:t>S</w:t>
      </w:r>
      <w:r w:rsidRPr="009A1B5B">
        <w:rPr>
          <w:rFonts w:eastAsia="Calibri"/>
          <w:b/>
          <w:bCs/>
          <w:lang w:val="es-DO"/>
        </w:rPr>
        <w:t xml:space="preserve">istema de </w:t>
      </w:r>
      <w:r>
        <w:rPr>
          <w:rFonts w:eastAsia="Calibri"/>
          <w:b/>
          <w:bCs/>
          <w:lang w:val="es-DO"/>
        </w:rPr>
        <w:t>M</w:t>
      </w:r>
      <w:r w:rsidRPr="009A1B5B">
        <w:rPr>
          <w:rFonts w:eastAsia="Calibri"/>
          <w:b/>
          <w:bCs/>
          <w:lang w:val="es-DO"/>
        </w:rPr>
        <w:t xml:space="preserve">onitoreo de </w:t>
      </w:r>
      <w:r>
        <w:rPr>
          <w:rFonts w:eastAsia="Calibri"/>
          <w:b/>
          <w:bCs/>
          <w:lang w:val="es-DO"/>
        </w:rPr>
        <w:t>V</w:t>
      </w:r>
      <w:r w:rsidRPr="009A1B5B">
        <w:rPr>
          <w:rFonts w:eastAsia="Calibri"/>
          <w:b/>
          <w:bCs/>
          <w:lang w:val="es-DO"/>
        </w:rPr>
        <w:t>isitas</w:t>
      </w:r>
    </w:p>
    <w:p w14:paraId="0EEE5D15" w14:textId="2A3656D5" w:rsidR="00B85649" w:rsidRPr="00B85649" w:rsidRDefault="00B85649" w:rsidP="00B85649">
      <w:pPr>
        <w:spacing w:line="360" w:lineRule="auto"/>
        <w:jc w:val="both"/>
        <w:rPr>
          <w:rFonts w:eastAsia="Calibri"/>
          <w:lang w:val="es-DO"/>
        </w:rPr>
      </w:pPr>
      <w:r w:rsidRPr="00B85649">
        <w:rPr>
          <w:rFonts w:eastAsia="Calibri"/>
          <w:lang w:val="es-DO"/>
        </w:rPr>
        <w:t>Durante el año 2025, la Dirección General de Museos avanzó de manera significativa en la implementación progresiva del Sistema de Monitoreo de Visitas, concebido como una herramienta tecnológica estratégica orientada a estandarizar la recolección de información, fortalecer la calidad de los datos y ampliar la cobertura del seguimiento estadístico del sector museístico nacional.</w:t>
      </w:r>
    </w:p>
    <w:p w14:paraId="27B9F590" w14:textId="77777777" w:rsidR="00BF08C3" w:rsidRDefault="00B85649" w:rsidP="00B85649">
      <w:pPr>
        <w:spacing w:line="360" w:lineRule="auto"/>
        <w:jc w:val="both"/>
        <w:rPr>
          <w:rFonts w:eastAsia="Calibri"/>
          <w:lang w:val="es-DO"/>
        </w:rPr>
      </w:pPr>
      <w:r w:rsidRPr="00B85649">
        <w:rPr>
          <w:rFonts w:eastAsia="Calibri"/>
          <w:lang w:val="es-DO"/>
        </w:rPr>
        <w:t xml:space="preserve">Al cierre del período, 45 museos, tanto estatales como privados, reportaron de manera sistemática sus datos de visitas y actividades misionales a la DGM, incluyendo museos administrados directamente por la institución, otros museos públicos y una amplia representación de museos privados distribuidos en el territorio nacional. </w:t>
      </w:r>
    </w:p>
    <w:p w14:paraId="5F9C85B4" w14:textId="4F73C784" w:rsidR="00B85649" w:rsidRPr="00B85649" w:rsidRDefault="00B85649" w:rsidP="00B85649">
      <w:pPr>
        <w:spacing w:line="360" w:lineRule="auto"/>
        <w:jc w:val="both"/>
        <w:rPr>
          <w:rFonts w:eastAsia="Calibri"/>
          <w:lang w:val="es-DO"/>
        </w:rPr>
      </w:pPr>
      <w:r w:rsidRPr="00B85649">
        <w:rPr>
          <w:rFonts w:eastAsia="Calibri"/>
          <w:lang w:val="es-DO"/>
        </w:rPr>
        <w:t>Este esfuerzo permitió consolidar información comparable, verificable y actualizada sobre la afluencia de públicos, la participación en actividades educativas, comunitarias e itinerantes, y el impacto territorial de la oferta museística.</w:t>
      </w:r>
    </w:p>
    <w:p w14:paraId="419507D3" w14:textId="77777777" w:rsidR="00B85649" w:rsidRPr="00B85649" w:rsidRDefault="00B85649" w:rsidP="00B85649">
      <w:pPr>
        <w:spacing w:line="360" w:lineRule="auto"/>
        <w:jc w:val="both"/>
        <w:rPr>
          <w:rFonts w:eastAsia="Calibri"/>
          <w:lang w:val="es-DO"/>
        </w:rPr>
      </w:pPr>
      <w:r w:rsidRPr="00B85649">
        <w:rPr>
          <w:rFonts w:eastAsia="Calibri"/>
          <w:lang w:val="es-DO"/>
        </w:rPr>
        <w:t>Cabe destacar que los resultados correspondientes tanto a museos estatales como privados forman parte de un proceso de implementación gradual, que reconoce las diferencias en capacidades técnicas, operativas y de conectividad entre las instituciones participantes. No obstante, el sistema ha permitido avanzar hacia un modelo común de registro, reduciendo la dispersión de datos y fortaleciendo la coherencia metodológica del seguimiento estadístico del sector.</w:t>
      </w:r>
    </w:p>
    <w:p w14:paraId="5344BC78" w14:textId="77777777" w:rsidR="00BF08C3" w:rsidRDefault="00B85649" w:rsidP="00B85649">
      <w:pPr>
        <w:spacing w:line="360" w:lineRule="auto"/>
        <w:jc w:val="both"/>
        <w:rPr>
          <w:rFonts w:eastAsia="Calibri"/>
          <w:lang w:val="es-DO"/>
        </w:rPr>
      </w:pPr>
      <w:r w:rsidRPr="00B85649">
        <w:rPr>
          <w:rFonts w:eastAsia="Calibri"/>
          <w:lang w:val="es-DO"/>
        </w:rPr>
        <w:t xml:space="preserve">Desde una perspectiva de gestión por resultados, el </w:t>
      </w:r>
      <w:r w:rsidRPr="00BF08C3">
        <w:rPr>
          <w:rFonts w:eastAsia="Calibri"/>
          <w:b/>
          <w:bCs/>
          <w:lang w:val="es-DO"/>
        </w:rPr>
        <w:t>Sistema de Monitoreo de Visitas</w:t>
      </w:r>
      <w:r w:rsidRPr="00B85649">
        <w:rPr>
          <w:rFonts w:eastAsia="Calibri"/>
          <w:lang w:val="es-DO"/>
        </w:rPr>
        <w:t xml:space="preserve"> constituye un insumo fundamental para la planificación estratégica, la evaluación del desempeño institucional y la toma de decisiones basada en evidencia. </w:t>
      </w:r>
    </w:p>
    <w:p w14:paraId="4FB81C4B" w14:textId="353DD10C" w:rsidR="00B85649" w:rsidRPr="00B85649" w:rsidRDefault="00B85649" w:rsidP="00B85649">
      <w:pPr>
        <w:spacing w:line="360" w:lineRule="auto"/>
        <w:jc w:val="both"/>
        <w:rPr>
          <w:rFonts w:eastAsia="Calibri"/>
          <w:lang w:val="es-DO"/>
        </w:rPr>
      </w:pPr>
      <w:r w:rsidRPr="00B85649">
        <w:rPr>
          <w:rFonts w:eastAsia="Calibri"/>
          <w:lang w:val="es-DO"/>
        </w:rPr>
        <w:lastRenderedPageBreak/>
        <w:t xml:space="preserve">La información generada permite identificar tendencias de </w:t>
      </w:r>
      <w:r w:rsidR="00BF08C3">
        <w:rPr>
          <w:rFonts w:eastAsia="Calibri"/>
          <w:lang w:val="es-DO"/>
        </w:rPr>
        <w:t>afluencia</w:t>
      </w:r>
      <w:r w:rsidRPr="00B85649">
        <w:rPr>
          <w:rFonts w:eastAsia="Calibri"/>
          <w:lang w:val="es-DO"/>
        </w:rPr>
        <w:t>, estacionalidad, impacto de eventos especiales, comportamiento de públicos y brechas territoriales, contribuyendo a orientar políticas de desconcentración, programación cultural y asignación de recursos.</w:t>
      </w:r>
    </w:p>
    <w:p w14:paraId="6D608114" w14:textId="77777777" w:rsidR="00B85649" w:rsidRPr="00B85649" w:rsidRDefault="00B85649" w:rsidP="00B85649">
      <w:pPr>
        <w:spacing w:line="360" w:lineRule="auto"/>
        <w:jc w:val="both"/>
        <w:rPr>
          <w:rFonts w:eastAsia="Calibri"/>
          <w:lang w:val="es-DO"/>
        </w:rPr>
      </w:pPr>
      <w:r w:rsidRPr="00B85649">
        <w:rPr>
          <w:rFonts w:eastAsia="Calibri"/>
          <w:lang w:val="es-DO"/>
        </w:rPr>
        <w:t>En el marco de las gestiones lideradas por el Departamento de Planificación y Desarrollo de la DGM, durante 2025 se logró la donación de 100 tabletas electrónicas por parte de la Oficina Nacional de Estadística (ONE), destinadas a apoyar la operativización del sistema en los museos participantes. Estos dispositivos facilitan el registro digital en tiempo real, mejoran la precisión de la información recolectada y reducen los procesos manuales, fortaleciendo la eficiencia y la confiabilidad del sistema.</w:t>
      </w:r>
    </w:p>
    <w:p w14:paraId="2AC5A7A4" w14:textId="77777777" w:rsidR="00B85649" w:rsidRPr="00B85649" w:rsidRDefault="00B85649" w:rsidP="00B85649">
      <w:pPr>
        <w:spacing w:line="360" w:lineRule="auto"/>
        <w:jc w:val="both"/>
        <w:rPr>
          <w:rFonts w:eastAsia="Calibri"/>
          <w:lang w:val="es-DO"/>
        </w:rPr>
      </w:pPr>
      <w:r w:rsidRPr="00B85649">
        <w:rPr>
          <w:rFonts w:eastAsia="Calibri"/>
          <w:lang w:val="es-DO"/>
        </w:rPr>
        <w:t xml:space="preserve">El Sistema de Monitoreo de Visitas se </w:t>
      </w:r>
      <w:proofErr w:type="gramStart"/>
      <w:r w:rsidRPr="00B85649">
        <w:rPr>
          <w:rFonts w:eastAsia="Calibri"/>
          <w:lang w:val="es-DO"/>
        </w:rPr>
        <w:t>consolida</w:t>
      </w:r>
      <w:proofErr w:type="gramEnd"/>
      <w:r w:rsidRPr="00B85649">
        <w:rPr>
          <w:rFonts w:eastAsia="Calibri"/>
          <w:lang w:val="es-DO"/>
        </w:rPr>
        <w:t xml:space="preserve"> así como una herramienta tecnológica clave para la transparencia y la rendición de cuentas, al permitir a la DGM reportar resultados de manera objetiva ante los órganos rectores, los organismos de control y la ciudadanía, y al mismo tiempo ofrecer una visión integral del comportamiento del sector museístico dominicano.</w:t>
      </w:r>
    </w:p>
    <w:p w14:paraId="05A8D352" w14:textId="1E398B3F" w:rsidR="00810413" w:rsidRPr="00B85649" w:rsidRDefault="00B85649" w:rsidP="00B85649">
      <w:pPr>
        <w:spacing w:line="360" w:lineRule="auto"/>
        <w:jc w:val="both"/>
        <w:rPr>
          <w:rFonts w:eastAsia="Calibri"/>
          <w:lang w:val="es-DO"/>
        </w:rPr>
      </w:pPr>
      <w:r w:rsidRPr="00B85649">
        <w:rPr>
          <w:rFonts w:eastAsia="Calibri"/>
          <w:lang w:val="es-DO"/>
        </w:rPr>
        <w:t>En conjunto, este avance refleja el compromiso institucional de la Dirección General de Museos con la modernización de la gestión cultural, el fortalecimiento de los sistemas de información y la construcción de una política museística sustentada en datos, orientada a ampliar el acceso al patrimonio cultural, mejorar la experiencia de los públicos y fortalecer el impacto social de los museos en todo el territorio nacional.</w:t>
      </w:r>
    </w:p>
    <w:p w14:paraId="58410ED7" w14:textId="30D1E10A" w:rsidR="009A1B5B" w:rsidRDefault="00FB4F46" w:rsidP="009A1B5B">
      <w:pPr>
        <w:spacing w:line="360" w:lineRule="auto"/>
        <w:rPr>
          <w:rFonts w:eastAsia="Calibri"/>
          <w:b/>
          <w:bCs/>
          <w:lang w:val="es-DO"/>
        </w:rPr>
      </w:pPr>
      <w:r>
        <w:rPr>
          <w:rFonts w:eastAsia="Calibri"/>
          <w:b/>
          <w:bCs/>
          <w:lang w:val="es-DO"/>
        </w:rPr>
        <w:t xml:space="preserve">Reglamento de la </w:t>
      </w:r>
      <w:r w:rsidR="009A1B5B">
        <w:rPr>
          <w:rFonts w:eastAsia="Calibri"/>
          <w:b/>
          <w:bCs/>
          <w:lang w:val="es-DO"/>
        </w:rPr>
        <w:t>Red Nacional de Museos</w:t>
      </w:r>
    </w:p>
    <w:p w14:paraId="0B3FC456" w14:textId="77777777" w:rsidR="00A24706" w:rsidRDefault="00FB4F46" w:rsidP="00FB4F46">
      <w:pPr>
        <w:spacing w:line="360" w:lineRule="auto"/>
        <w:jc w:val="both"/>
        <w:rPr>
          <w:rFonts w:eastAsia="Calibri"/>
          <w:lang w:val="es-DO"/>
        </w:rPr>
      </w:pPr>
      <w:r w:rsidRPr="00FB4F46">
        <w:rPr>
          <w:rFonts w:eastAsia="Calibri"/>
          <w:lang w:val="es-DO"/>
        </w:rPr>
        <w:t>Durante el año 2025, el Departamento de Planificación y Desarrollo desempeñó un rol técnico–estratégico en el proceso de actualización</w:t>
      </w:r>
      <w:r w:rsidR="00A24706">
        <w:rPr>
          <w:rFonts w:eastAsia="Calibri"/>
          <w:lang w:val="es-DO"/>
        </w:rPr>
        <w:t xml:space="preserve"> </w:t>
      </w:r>
    </w:p>
    <w:p w14:paraId="2CA84FAD" w14:textId="0B27A709" w:rsidR="00FB4F46" w:rsidRDefault="00FB4F46" w:rsidP="00FB4F46">
      <w:pPr>
        <w:spacing w:line="360" w:lineRule="auto"/>
        <w:jc w:val="both"/>
        <w:rPr>
          <w:rFonts w:eastAsia="Calibri"/>
          <w:lang w:val="es-DO"/>
        </w:rPr>
      </w:pPr>
      <w:r w:rsidRPr="00FB4F46">
        <w:rPr>
          <w:rFonts w:eastAsia="Calibri"/>
          <w:lang w:val="es-DO"/>
        </w:rPr>
        <w:lastRenderedPageBreak/>
        <w:t xml:space="preserve">del Reglamento de la Red Nacional de Museos, dando seguimiento y continuidad a los trabajos iniciados en ejercicios anteriores y fortaleciendo su articulación con las áreas misionales y de apoyo de la institución. </w:t>
      </w:r>
    </w:p>
    <w:p w14:paraId="71211C23" w14:textId="04C7C519" w:rsidR="00FB4F46" w:rsidRPr="00FB4F46" w:rsidRDefault="00FB4F46" w:rsidP="00FB4F46">
      <w:pPr>
        <w:spacing w:line="360" w:lineRule="auto"/>
        <w:jc w:val="both"/>
        <w:rPr>
          <w:rFonts w:eastAsia="Calibri"/>
          <w:lang w:val="es-DO"/>
        </w:rPr>
      </w:pPr>
      <w:r w:rsidRPr="00FB4F46">
        <w:rPr>
          <w:rFonts w:eastAsia="Calibri"/>
          <w:lang w:val="es-DO"/>
        </w:rPr>
        <w:t xml:space="preserve">En este marco, el departamento lideró las labores de revisión, reorganización y sistematización de la propuesta normativa, en estrecha coordinación con la División Jurídica, a la cual brindó apoyo técnico </w:t>
      </w:r>
      <w:r>
        <w:rPr>
          <w:rFonts w:eastAsia="Calibri"/>
          <w:lang w:val="es-DO"/>
        </w:rPr>
        <w:t xml:space="preserve">y logístico </w:t>
      </w:r>
      <w:r w:rsidRPr="00FB4F46">
        <w:rPr>
          <w:rFonts w:eastAsia="Calibri"/>
          <w:lang w:val="es-DO"/>
        </w:rPr>
        <w:t>permanente</w:t>
      </w:r>
      <w:r>
        <w:rPr>
          <w:rFonts w:eastAsia="Calibri"/>
          <w:lang w:val="es-DO"/>
        </w:rPr>
        <w:t xml:space="preserve"> continuo</w:t>
      </w:r>
      <w:r w:rsidRPr="00FB4F46">
        <w:rPr>
          <w:rFonts w:eastAsia="Calibri"/>
          <w:lang w:val="es-DO"/>
        </w:rPr>
        <w:t>.</w:t>
      </w:r>
    </w:p>
    <w:p w14:paraId="0ECA7A5F" w14:textId="77777777" w:rsidR="00FB4F46" w:rsidRDefault="00FB4F46" w:rsidP="00FB4F46">
      <w:pPr>
        <w:spacing w:line="360" w:lineRule="auto"/>
        <w:jc w:val="both"/>
        <w:rPr>
          <w:rFonts w:eastAsia="Calibri"/>
          <w:lang w:val="es-DO"/>
        </w:rPr>
      </w:pPr>
      <w:r w:rsidRPr="00FB4F46">
        <w:rPr>
          <w:rFonts w:eastAsia="Calibri"/>
          <w:lang w:val="es-DO"/>
        </w:rPr>
        <w:t>Como resultado del análisis técnico realizado, y en atención a la complejidad y amplitud del documento elaborado por la Comisión Revisora creada en 2023, el Departamento de Planificación propuso</w:t>
      </w:r>
      <w:r>
        <w:rPr>
          <w:rFonts w:eastAsia="Calibri"/>
          <w:lang w:val="es-DO"/>
        </w:rPr>
        <w:t xml:space="preserve">, </w:t>
      </w:r>
      <w:r w:rsidRPr="00FB4F46">
        <w:rPr>
          <w:rFonts w:eastAsia="Calibri"/>
          <w:lang w:val="es-DO"/>
        </w:rPr>
        <w:t>como mejora estructural</w:t>
      </w:r>
      <w:r>
        <w:rPr>
          <w:rFonts w:eastAsia="Calibri"/>
          <w:lang w:val="es-DO"/>
        </w:rPr>
        <w:t>,</w:t>
      </w:r>
      <w:r w:rsidRPr="00FB4F46">
        <w:rPr>
          <w:rFonts w:eastAsia="Calibri"/>
          <w:lang w:val="es-DO"/>
        </w:rPr>
        <w:t xml:space="preserve"> la separación del reglamento en dos instrumentos complementarios: por un lado, un Reglamento General de la Red Nacional de Museos, de carácter normativo–administrativo; y por otro, un cuerpo específico de Normas Técnicas Museológicas, orientado a estandarizar criterios operativos, técnicos y de calidad en la gestión museística. </w:t>
      </w:r>
    </w:p>
    <w:p w14:paraId="4DFD5323" w14:textId="7F021AC9" w:rsidR="00FB4F46" w:rsidRPr="00FB4F46" w:rsidRDefault="00FB4F46" w:rsidP="00FB4F46">
      <w:pPr>
        <w:spacing w:line="360" w:lineRule="auto"/>
        <w:jc w:val="both"/>
        <w:rPr>
          <w:rFonts w:eastAsia="Calibri"/>
          <w:lang w:val="es-DO"/>
        </w:rPr>
      </w:pPr>
      <w:r w:rsidRPr="00FB4F46">
        <w:rPr>
          <w:rFonts w:eastAsia="Calibri"/>
          <w:lang w:val="es-DO"/>
        </w:rPr>
        <w:t>Esta propuesta permitió ordenar el marco regulatorio, facilitar su aplicación progresiva y asegurar una mayor claridad para los distintos actores del sistema museístico nacional.</w:t>
      </w:r>
    </w:p>
    <w:p w14:paraId="14C03EB8" w14:textId="77777777" w:rsidR="00FB4F46" w:rsidRDefault="00FB4F46" w:rsidP="00FB4F46">
      <w:pPr>
        <w:spacing w:line="360" w:lineRule="auto"/>
        <w:jc w:val="both"/>
        <w:rPr>
          <w:rFonts w:eastAsia="Calibri"/>
          <w:lang w:val="es-DO"/>
        </w:rPr>
      </w:pPr>
      <w:r w:rsidRPr="00FB4F46">
        <w:rPr>
          <w:rFonts w:eastAsia="Calibri"/>
          <w:lang w:val="es-DO"/>
        </w:rPr>
        <w:t xml:space="preserve">Durante 2025, este enfoque fue asumido como base de trabajo para la reformulación del reglamento, avanzándose en la depuración de contenidos, la armonización con el marco jurídico vigente y la adecuación a los principios de planificación por resultados, gobernanza cultural y descentralización territorial. </w:t>
      </w:r>
    </w:p>
    <w:p w14:paraId="4E77E782" w14:textId="08C550FA" w:rsidR="00FB4F46" w:rsidRPr="00FB4F46" w:rsidRDefault="00FB4F46" w:rsidP="00FB4F46">
      <w:pPr>
        <w:spacing w:line="360" w:lineRule="auto"/>
        <w:jc w:val="both"/>
        <w:rPr>
          <w:rFonts w:eastAsia="Calibri"/>
          <w:lang w:val="es-DO"/>
        </w:rPr>
      </w:pPr>
      <w:r w:rsidRPr="00FB4F46">
        <w:rPr>
          <w:rFonts w:eastAsia="Calibri"/>
          <w:lang w:val="es-DO"/>
        </w:rPr>
        <w:t xml:space="preserve">De igual modo, el Departamento de Planificación coordinó los procesos de socialización institucional y consulta pública, promoviendo la participación de museos estatales, privados, especialistas del sector y </w:t>
      </w:r>
      <w:r w:rsidRPr="00FB4F46">
        <w:rPr>
          <w:rFonts w:eastAsia="Calibri"/>
          <w:lang w:val="es-DO"/>
        </w:rPr>
        <w:lastRenderedPageBreak/>
        <w:t>otros actores relevantes, como mecanismo para fortalecer la legitimidad, pertinencia y aplicabilidad del instrumento normativo.</w:t>
      </w:r>
    </w:p>
    <w:p w14:paraId="0580175B" w14:textId="77777777" w:rsidR="00FB4F46" w:rsidRDefault="00FB4F46" w:rsidP="00FB4F46">
      <w:pPr>
        <w:spacing w:line="360" w:lineRule="auto"/>
        <w:jc w:val="both"/>
        <w:rPr>
          <w:rFonts w:eastAsia="Calibri"/>
          <w:lang w:val="es-DO"/>
        </w:rPr>
      </w:pPr>
      <w:r w:rsidRPr="00FB4F46">
        <w:rPr>
          <w:rFonts w:eastAsia="Calibri"/>
          <w:lang w:val="es-DO"/>
        </w:rPr>
        <w:t xml:space="preserve">Este proceso se desarrolló de manera paralela al diseño conceptual del Registro Nacional de Museos y de la plataforma informática que alojará la base de datos de la Red Nacional de Museos, asegurando la coherencia entre el marco regulatorio y las herramientas tecnológicas en desarrollo. </w:t>
      </w:r>
    </w:p>
    <w:p w14:paraId="662F382C" w14:textId="6B0A4EDB" w:rsidR="009A1B5B" w:rsidRPr="00FB4F46" w:rsidRDefault="00FB4F46" w:rsidP="00FB4F46">
      <w:pPr>
        <w:spacing w:line="360" w:lineRule="auto"/>
        <w:jc w:val="both"/>
        <w:rPr>
          <w:rFonts w:eastAsia="Calibri"/>
          <w:lang w:val="es-DO"/>
        </w:rPr>
      </w:pPr>
      <w:r w:rsidRPr="00FB4F46">
        <w:rPr>
          <w:rFonts w:eastAsia="Calibri"/>
          <w:lang w:val="es-DO"/>
        </w:rPr>
        <w:t>En conjunto, las acciones ejecutadas durante 2025 sentaron bases sólidas para la consolidación de un sistema normativo moderno, funcional y alineado con los estándares internacionales, reafirmando el papel del Departamento de Planificación como instancia articuladora entre la visión estratégica institucional, la normativa museística y los procesos de modernización de la gestión cultural.</w:t>
      </w:r>
    </w:p>
    <w:p w14:paraId="335F1AF5" w14:textId="71659DC8" w:rsidR="009A1B5B" w:rsidRDefault="00FB4F46" w:rsidP="00DB2C88">
      <w:pPr>
        <w:spacing w:line="360" w:lineRule="auto"/>
        <w:jc w:val="both"/>
        <w:rPr>
          <w:rFonts w:eastAsia="Calibri"/>
          <w:b/>
          <w:bCs/>
          <w:lang w:val="es-DO"/>
        </w:rPr>
      </w:pPr>
      <w:r w:rsidRPr="00FB4F46">
        <w:rPr>
          <w:rFonts w:eastAsia="Calibri"/>
          <w:b/>
          <w:bCs/>
          <w:lang w:val="es-DO"/>
        </w:rPr>
        <w:t>Fortalecimiento de la Estructura Organizativa y del Marco de Gestión Institucional</w:t>
      </w:r>
    </w:p>
    <w:p w14:paraId="3B1A2C91" w14:textId="77777777" w:rsidR="00FB4F46" w:rsidRDefault="00FB4F46" w:rsidP="00FB4F46">
      <w:pPr>
        <w:spacing w:line="360" w:lineRule="auto"/>
        <w:jc w:val="both"/>
        <w:rPr>
          <w:rFonts w:eastAsia="Calibri"/>
          <w:lang w:val="es-DO"/>
        </w:rPr>
      </w:pPr>
      <w:r w:rsidRPr="00FB4F46">
        <w:rPr>
          <w:rFonts w:eastAsia="Calibri"/>
          <w:lang w:val="es-DO"/>
        </w:rPr>
        <w:t xml:space="preserve">Durante el año 2025, la Dirección General de Museos avanzó de manera significativa en el fortalecimiento de su estructura organizativa, como parte del proceso de consolidación de la gestión desconcentrada iniciado a partir del Decreto núm. 251-22. </w:t>
      </w:r>
    </w:p>
    <w:p w14:paraId="2F79F125" w14:textId="2B0A0979" w:rsidR="00FB4F46" w:rsidRPr="00FB4F46" w:rsidRDefault="00FB4F46" w:rsidP="00FB4F46">
      <w:pPr>
        <w:spacing w:line="360" w:lineRule="auto"/>
        <w:jc w:val="both"/>
        <w:rPr>
          <w:rFonts w:eastAsia="Calibri"/>
          <w:lang w:val="es-DO"/>
        </w:rPr>
      </w:pPr>
      <w:r w:rsidRPr="00FB4F46">
        <w:rPr>
          <w:rFonts w:eastAsia="Calibri"/>
          <w:lang w:val="es-DO"/>
        </w:rPr>
        <w:t>En este contexto, el Departamento de Planificación y Desarrollo lideró la elaboración de una propuesta de actualización de la estructura organizativa institucional, orientada a adecuar la organización interna de la DGM a las realidades operativas, técnicas y territoriales evidenciadas durante los años de gestión desconcentrada.</w:t>
      </w:r>
    </w:p>
    <w:p w14:paraId="25385A92" w14:textId="77777777" w:rsidR="00FB4F46" w:rsidRDefault="00FB4F46" w:rsidP="00FB4F46">
      <w:pPr>
        <w:spacing w:line="360" w:lineRule="auto"/>
        <w:jc w:val="both"/>
        <w:rPr>
          <w:rFonts w:eastAsia="Calibri"/>
          <w:lang w:val="es-DO"/>
        </w:rPr>
      </w:pPr>
      <w:r w:rsidRPr="00FB4F46">
        <w:rPr>
          <w:rFonts w:eastAsia="Calibri"/>
          <w:lang w:val="es-DO"/>
        </w:rPr>
        <w:t xml:space="preserve">Esta propuesta tuvo como objetivo principal optimizar la distribución de funciones, clarificar las líneas de dependencia y coordinación, y fortalecer las capacidades institucionales para la gestión museística, la </w:t>
      </w:r>
      <w:r w:rsidRPr="00FB4F46">
        <w:rPr>
          <w:rFonts w:eastAsia="Calibri"/>
          <w:lang w:val="es-DO"/>
        </w:rPr>
        <w:lastRenderedPageBreak/>
        <w:t xml:space="preserve">conservación del patrimonio cultural mueble, la administración de infraestructuras, la programación cultural y la articulación territorial. </w:t>
      </w:r>
    </w:p>
    <w:p w14:paraId="462DBFD3" w14:textId="762C86B2" w:rsidR="00FB4F46" w:rsidRPr="00FB4F46" w:rsidRDefault="00FB4F46" w:rsidP="00FB4F46">
      <w:pPr>
        <w:spacing w:line="360" w:lineRule="auto"/>
        <w:jc w:val="both"/>
        <w:rPr>
          <w:rFonts w:eastAsia="Calibri"/>
          <w:lang w:val="es-DO"/>
        </w:rPr>
      </w:pPr>
      <w:r w:rsidRPr="00FB4F46">
        <w:rPr>
          <w:rFonts w:eastAsia="Calibri"/>
          <w:lang w:val="es-DO"/>
        </w:rPr>
        <w:t>El proceso se desarrolló en estrecha coordinación con la División Jurídica y las áreas misionales y transversales de la institución, garantizando coherencia normativa y alineación con las disposiciones vigentes del Ministerio de Administración Pública (MAP).</w:t>
      </w:r>
    </w:p>
    <w:p w14:paraId="34CB63DC" w14:textId="77777777" w:rsidR="00FB4F46" w:rsidRDefault="00FB4F46" w:rsidP="00FB4F46">
      <w:pPr>
        <w:spacing w:line="360" w:lineRule="auto"/>
        <w:jc w:val="both"/>
        <w:rPr>
          <w:rFonts w:eastAsia="Calibri"/>
          <w:lang w:val="es-DO"/>
        </w:rPr>
      </w:pPr>
      <w:r w:rsidRPr="00FB4F46">
        <w:rPr>
          <w:rFonts w:eastAsia="Calibri"/>
          <w:lang w:val="es-DO"/>
        </w:rPr>
        <w:t xml:space="preserve">De manera complementaria, durante 2025 se trabajó en la elaboración del Manual de Funciones y del Manual de Cargos de la </w:t>
      </w:r>
      <w:r>
        <w:rPr>
          <w:rFonts w:eastAsia="Calibri"/>
          <w:lang w:val="es-DO"/>
        </w:rPr>
        <w:t>Institución</w:t>
      </w:r>
      <w:r w:rsidRPr="00FB4F46">
        <w:rPr>
          <w:rFonts w:eastAsia="Calibri"/>
          <w:lang w:val="es-DO"/>
        </w:rPr>
        <w:t xml:space="preserve">, conforme a las normativas y lineamientos establecidos por el MAP en materia de organización del Estado, clasificación de puestos y gestión de recursos humanos. </w:t>
      </w:r>
    </w:p>
    <w:p w14:paraId="729E1E1E" w14:textId="16361B8B" w:rsidR="00FB4F46" w:rsidRPr="00FB4F46" w:rsidRDefault="00FB4F46" w:rsidP="00FB4F46">
      <w:pPr>
        <w:spacing w:line="360" w:lineRule="auto"/>
        <w:jc w:val="both"/>
        <w:rPr>
          <w:rFonts w:eastAsia="Calibri"/>
          <w:lang w:val="es-DO"/>
        </w:rPr>
      </w:pPr>
      <w:r w:rsidRPr="00FB4F46">
        <w:rPr>
          <w:rFonts w:eastAsia="Calibri"/>
          <w:lang w:val="es-DO"/>
        </w:rPr>
        <w:t>Estos instrumentos permiten definir con mayor precisión las responsabilidades, competencias, perfiles y requisitos de cada puesto, contribuyendo a la profesionalización del personal, la mejora del desempeño institucional y la transparencia en la gestión administrativa.</w:t>
      </w:r>
    </w:p>
    <w:p w14:paraId="4B4F418C" w14:textId="77777777" w:rsidR="00576675" w:rsidRDefault="00FB4F46" w:rsidP="00FB4F46">
      <w:pPr>
        <w:spacing w:line="360" w:lineRule="auto"/>
        <w:jc w:val="both"/>
        <w:rPr>
          <w:rFonts w:eastAsia="Calibri"/>
          <w:lang w:val="es-DO"/>
        </w:rPr>
      </w:pPr>
      <w:r w:rsidRPr="00FB4F46">
        <w:rPr>
          <w:rFonts w:eastAsia="Calibri"/>
          <w:lang w:val="es-DO"/>
        </w:rPr>
        <w:t>La actualización de estos instrumentos organizativos constituye un paso fundamental para fortalecer la institucionalidad de la DGM, asegurar la sostenibilidad de la desconcentración administrativa y dotar a la entidad de herramientas modernas de gestión pública.</w:t>
      </w:r>
    </w:p>
    <w:p w14:paraId="073A957D" w14:textId="3A927F7C" w:rsidR="00FB4F46" w:rsidRDefault="00FB4F46" w:rsidP="00FB4F46">
      <w:pPr>
        <w:spacing w:line="360" w:lineRule="auto"/>
        <w:jc w:val="both"/>
        <w:rPr>
          <w:rFonts w:eastAsia="Calibri"/>
          <w:lang w:val="es-DO"/>
        </w:rPr>
      </w:pPr>
      <w:r w:rsidRPr="00FB4F46">
        <w:rPr>
          <w:rFonts w:eastAsia="Calibri"/>
          <w:lang w:val="es-DO"/>
        </w:rPr>
        <w:t>Asimismo, sienta las bases para una mejor planificación del talento humano, una asignación más eficiente de los recursos y una mayor capacidad de respuesta frente a los retos del sistema museístico nacional, en coherencia con los principios de gestión por resultados, mejora continua y calidad del servicio público.</w:t>
      </w:r>
    </w:p>
    <w:p w14:paraId="663A5278" w14:textId="77777777" w:rsidR="00A24706" w:rsidRDefault="00A24706" w:rsidP="00FB4F46">
      <w:pPr>
        <w:spacing w:line="360" w:lineRule="auto"/>
        <w:jc w:val="both"/>
        <w:rPr>
          <w:rFonts w:eastAsia="Calibri"/>
          <w:lang w:val="es-DO"/>
        </w:rPr>
      </w:pPr>
    </w:p>
    <w:p w14:paraId="0B3480A0" w14:textId="77777777" w:rsidR="00A24706" w:rsidRPr="00FB4F46" w:rsidRDefault="00A24706" w:rsidP="00FB4F46">
      <w:pPr>
        <w:spacing w:line="360" w:lineRule="auto"/>
        <w:jc w:val="both"/>
        <w:rPr>
          <w:rFonts w:eastAsia="Calibri"/>
          <w:lang w:val="es-DO"/>
        </w:rPr>
      </w:pPr>
    </w:p>
    <w:p w14:paraId="3EA09A20" w14:textId="1E2532F7" w:rsidR="006C2A50" w:rsidRPr="006C2A50" w:rsidRDefault="006C2A50" w:rsidP="006C2A50">
      <w:pPr>
        <w:spacing w:line="360" w:lineRule="auto"/>
        <w:jc w:val="center"/>
        <w:rPr>
          <w:rFonts w:eastAsia="Calibri"/>
          <w:b/>
          <w:bCs/>
          <w:lang w:val="es-DO"/>
        </w:rPr>
      </w:pPr>
      <w:r w:rsidRPr="006C2A50">
        <w:rPr>
          <w:rFonts w:eastAsia="Calibri"/>
          <w:b/>
          <w:bCs/>
          <w:lang w:val="es-DO"/>
        </w:rPr>
        <w:lastRenderedPageBreak/>
        <w:t>Ejecución de las Políticas Transversales</w:t>
      </w:r>
    </w:p>
    <w:p w14:paraId="3245A314" w14:textId="77777777" w:rsidR="006C2A50" w:rsidRPr="006C2A50" w:rsidRDefault="006C2A50" w:rsidP="006C2A50">
      <w:pPr>
        <w:spacing w:line="360" w:lineRule="auto"/>
        <w:jc w:val="both"/>
        <w:rPr>
          <w:rFonts w:eastAsia="Calibri"/>
          <w:lang w:val="es-DO"/>
        </w:rPr>
      </w:pPr>
      <w:r w:rsidRPr="006C2A50">
        <w:rPr>
          <w:rFonts w:eastAsia="Calibri"/>
          <w:lang w:val="es-DO"/>
        </w:rPr>
        <w:t>En el marco de la ejecución de la política transversal de género, y como parte de las actividades por el Día Internacional de la Mujer, se celebró el Congreso Nacional “Mujer y Derecho a la Cultura”, organizado por la Dirección General de Museos y el Tribunal Constitucional. Este evento tuvo como objetivo destacar el papel de las mujeres en la cultura y visibilizar las brechas de género existentes en el sector cultural dominicano, constituyendo un espacio de análisis y reflexión sobre los derechos culturales de las mujeres, los desafíos que enfrentan para participar plenamente en la vida cultural y la necesidad de superar estereotipos y desigualdades.</w:t>
      </w:r>
    </w:p>
    <w:p w14:paraId="348E0DDC" w14:textId="77777777" w:rsidR="006C2A50" w:rsidRPr="006C2A50" w:rsidRDefault="006C2A50" w:rsidP="006C2A50">
      <w:pPr>
        <w:spacing w:line="360" w:lineRule="auto"/>
        <w:jc w:val="both"/>
        <w:rPr>
          <w:rFonts w:eastAsia="Calibri"/>
          <w:lang w:val="es-DO"/>
        </w:rPr>
      </w:pPr>
      <w:r w:rsidRPr="006C2A50">
        <w:rPr>
          <w:rFonts w:eastAsia="Calibri"/>
          <w:lang w:val="es-DO"/>
        </w:rPr>
        <w:t>Se llevaron a cabo diversas conferencias magistrales que abordaron temas claves relacionados con la igualdad de género en el ámbito cultural, la participación de la mujer en las artes y la gestión cultural con perspectiva de género, las cuales citamos a continuación:</w:t>
      </w:r>
    </w:p>
    <w:p w14:paraId="48B6715C" w14:textId="77777777" w:rsidR="006C2A50" w:rsidRPr="006C2A50" w:rsidRDefault="006C2A50" w:rsidP="006C2A50">
      <w:pPr>
        <w:numPr>
          <w:ilvl w:val="0"/>
          <w:numId w:val="30"/>
        </w:numPr>
        <w:tabs>
          <w:tab w:val="left" w:pos="420"/>
        </w:tabs>
        <w:spacing w:line="360" w:lineRule="auto"/>
        <w:jc w:val="both"/>
        <w:rPr>
          <w:rFonts w:eastAsia="Calibri"/>
          <w:lang w:val="es-DO"/>
        </w:rPr>
      </w:pPr>
      <w:r w:rsidRPr="006C2A50">
        <w:rPr>
          <w:rFonts w:eastAsia="Calibri"/>
          <w:lang w:val="es-DO"/>
        </w:rPr>
        <w:t xml:space="preserve">Conferencia </w:t>
      </w:r>
      <w:r w:rsidRPr="006C2A50">
        <w:rPr>
          <w:rFonts w:eastAsia="Calibri"/>
          <w:b/>
          <w:bCs/>
          <w:lang w:val="es-DO"/>
        </w:rPr>
        <w:t>“Criterios fijados por el Tribunal Constitucional en materia de igualdad de género”,</w:t>
      </w:r>
      <w:r w:rsidRPr="006C2A50">
        <w:rPr>
          <w:rFonts w:eastAsia="Calibri"/>
          <w:lang w:val="es-DO"/>
        </w:rPr>
        <w:t xml:space="preserve"> presentada por la Magistrada </w:t>
      </w:r>
      <w:proofErr w:type="spellStart"/>
      <w:r w:rsidRPr="006C2A50">
        <w:rPr>
          <w:rFonts w:eastAsia="Calibri"/>
          <w:lang w:val="es-DO"/>
        </w:rPr>
        <w:t>Eunisis</w:t>
      </w:r>
      <w:proofErr w:type="spellEnd"/>
      <w:r w:rsidRPr="006C2A50">
        <w:rPr>
          <w:rFonts w:eastAsia="Calibri"/>
          <w:lang w:val="es-DO"/>
        </w:rPr>
        <w:t xml:space="preserve"> Vásquez Acosta, jueza miembro de la Comisión de Género del Tribunal Constitucional de la República Dominicana, compartió información sobre las sentencias dictadas por dicho tribunal a favor de los derechos de la mujer.</w:t>
      </w:r>
    </w:p>
    <w:p w14:paraId="1A27B85B" w14:textId="77777777" w:rsidR="006C2A50" w:rsidRPr="006C2A50" w:rsidRDefault="006C2A50" w:rsidP="006C2A50">
      <w:pPr>
        <w:numPr>
          <w:ilvl w:val="0"/>
          <w:numId w:val="30"/>
        </w:numPr>
        <w:tabs>
          <w:tab w:val="left" w:pos="420"/>
        </w:tabs>
        <w:spacing w:line="360" w:lineRule="auto"/>
        <w:jc w:val="both"/>
        <w:rPr>
          <w:rFonts w:eastAsia="Calibri"/>
          <w:lang w:val="es-DO"/>
        </w:rPr>
      </w:pPr>
      <w:r w:rsidRPr="006C2A50">
        <w:rPr>
          <w:rFonts w:eastAsia="Calibri"/>
          <w:b/>
          <w:bCs/>
          <w:lang w:val="es-DO"/>
        </w:rPr>
        <w:t>Conferencia “Mujer, feminismo y derecho de autor”,</w:t>
      </w:r>
      <w:r w:rsidRPr="006C2A50">
        <w:rPr>
          <w:rFonts w:eastAsia="Calibri"/>
          <w:lang w:val="es-DO"/>
        </w:rPr>
        <w:t xml:space="preserve"> presentada por la Doctora Wendy Martínez Mejía, presidenta de la Primera Sala y primera sustituta del presidente de la Corte de Trabajo del Distrito Nacional, abordó las desventajas que enfrentan las mujeres cuyos aportes a la cultura suelen ser invisibilizados.</w:t>
      </w:r>
    </w:p>
    <w:p w14:paraId="00D83E0C" w14:textId="77777777" w:rsidR="006C2A50" w:rsidRPr="006C2A50" w:rsidRDefault="006C2A50" w:rsidP="006C2A50">
      <w:pPr>
        <w:numPr>
          <w:ilvl w:val="0"/>
          <w:numId w:val="30"/>
        </w:numPr>
        <w:tabs>
          <w:tab w:val="left" w:pos="420"/>
        </w:tabs>
        <w:spacing w:line="360" w:lineRule="auto"/>
        <w:jc w:val="both"/>
        <w:rPr>
          <w:rFonts w:eastAsia="Calibri"/>
          <w:lang w:val="es-DO"/>
        </w:rPr>
      </w:pPr>
      <w:r w:rsidRPr="006C2A50">
        <w:rPr>
          <w:rFonts w:eastAsia="Calibri"/>
          <w:b/>
          <w:bCs/>
          <w:lang w:val="es-DO"/>
        </w:rPr>
        <w:lastRenderedPageBreak/>
        <w:t>Conferencia “Mujer y cultura de violencia de género”</w:t>
      </w:r>
      <w:r w:rsidRPr="006C2A50">
        <w:rPr>
          <w:rFonts w:eastAsia="Calibri"/>
          <w:lang w:val="es-DO"/>
        </w:rPr>
        <w:t>, presentada por la Licenciada Ingrid Soraya Fernández, jueza presidenta del Juzgado de Primera Instancia del Distrito Nacional, trató sobre la cultura de violencia de género que experimentan las mujeres en la sociedad dominicana.</w:t>
      </w:r>
    </w:p>
    <w:p w14:paraId="02D114AD" w14:textId="77777777" w:rsidR="006C2A50" w:rsidRPr="006C2A50" w:rsidRDefault="006C2A50" w:rsidP="006C2A50">
      <w:pPr>
        <w:numPr>
          <w:ilvl w:val="0"/>
          <w:numId w:val="30"/>
        </w:numPr>
        <w:tabs>
          <w:tab w:val="left" w:pos="420"/>
        </w:tabs>
        <w:spacing w:line="360" w:lineRule="auto"/>
        <w:jc w:val="both"/>
        <w:rPr>
          <w:rFonts w:eastAsia="Calibri"/>
          <w:b/>
          <w:bCs/>
          <w:lang w:val="es-DO"/>
        </w:rPr>
      </w:pPr>
      <w:r w:rsidRPr="006C2A50">
        <w:rPr>
          <w:rFonts w:eastAsia="Calibri"/>
          <w:lang w:val="es-DO"/>
        </w:rPr>
        <w:t xml:space="preserve">Conferencia </w:t>
      </w:r>
      <w:r w:rsidRPr="006C2A50">
        <w:rPr>
          <w:rFonts w:eastAsia="Calibri"/>
          <w:b/>
          <w:bCs/>
          <w:lang w:val="es-DO"/>
        </w:rPr>
        <w:t>“Los feminismos como teorías críticas”</w:t>
      </w:r>
      <w:r w:rsidRPr="006C2A50">
        <w:rPr>
          <w:rFonts w:eastAsia="Calibri"/>
          <w:lang w:val="es-DO"/>
        </w:rPr>
        <w:t xml:space="preserve">, presentada por el Licenciado Rafael Vásquez </w:t>
      </w:r>
      <w:proofErr w:type="spellStart"/>
      <w:r w:rsidRPr="006C2A50">
        <w:rPr>
          <w:rFonts w:eastAsia="Calibri"/>
          <w:lang w:val="es-DO"/>
        </w:rPr>
        <w:t>Goico</w:t>
      </w:r>
      <w:proofErr w:type="spellEnd"/>
      <w:r w:rsidRPr="006C2A50">
        <w:rPr>
          <w:rFonts w:eastAsia="Calibri"/>
          <w:lang w:val="es-DO"/>
        </w:rPr>
        <w:t>, Magistrado miembro de la Tercera Sala de la Suprema Corte de Justicia de l</w:t>
      </w:r>
      <w:r w:rsidRPr="006C2A50">
        <w:rPr>
          <w:rFonts w:eastAsia="Calibri"/>
          <w:b/>
          <w:bCs/>
          <w:lang w:val="es-DO"/>
        </w:rPr>
        <w:t>a República Dominicana.</w:t>
      </w:r>
    </w:p>
    <w:p w14:paraId="2A12DACF" w14:textId="77777777" w:rsidR="006C2A50" w:rsidRPr="006C2A50" w:rsidRDefault="006C2A50" w:rsidP="006C2A50">
      <w:pPr>
        <w:numPr>
          <w:ilvl w:val="0"/>
          <w:numId w:val="30"/>
        </w:numPr>
        <w:tabs>
          <w:tab w:val="left" w:pos="420"/>
        </w:tabs>
        <w:spacing w:line="360" w:lineRule="auto"/>
        <w:jc w:val="both"/>
        <w:rPr>
          <w:rFonts w:eastAsia="Calibri"/>
          <w:lang w:val="es-DO"/>
        </w:rPr>
      </w:pPr>
      <w:r w:rsidRPr="006C2A50">
        <w:rPr>
          <w:rFonts w:eastAsia="Calibri"/>
          <w:lang w:val="es-DO"/>
        </w:rPr>
        <w:t xml:space="preserve">Conferencia </w:t>
      </w:r>
      <w:r w:rsidRPr="006C2A50">
        <w:rPr>
          <w:rFonts w:eastAsia="Calibri"/>
          <w:b/>
          <w:bCs/>
          <w:lang w:val="es-DO"/>
        </w:rPr>
        <w:t>“Igualdad de género y derechos humanos en República Dominicana: retos y avances al 8 de marzo”,</w:t>
      </w:r>
      <w:r w:rsidRPr="006C2A50">
        <w:rPr>
          <w:rFonts w:eastAsia="Calibri"/>
          <w:lang w:val="es-DO"/>
        </w:rPr>
        <w:t xml:space="preserve"> presentada por el Licenciado Carlos Campillo, especialista en género del Centro de Capacitación en Planificación e Inversión Pública (CCPIP) del Ministerio de Economía, Planificación y Desarrollo (MEPyD), mostró los principales indicadores nacionales que evidencian las desigualdades entre hombres y mujeres.</w:t>
      </w:r>
    </w:p>
    <w:p w14:paraId="306111C0" w14:textId="77777777" w:rsidR="006C2A50" w:rsidRPr="006C2A50" w:rsidRDefault="006C2A50" w:rsidP="006C2A50">
      <w:pPr>
        <w:numPr>
          <w:ilvl w:val="0"/>
          <w:numId w:val="30"/>
        </w:numPr>
        <w:tabs>
          <w:tab w:val="left" w:pos="420"/>
        </w:tabs>
        <w:spacing w:line="360" w:lineRule="auto"/>
        <w:jc w:val="both"/>
        <w:rPr>
          <w:rFonts w:eastAsia="Calibri"/>
          <w:lang w:val="es-DO"/>
        </w:rPr>
      </w:pPr>
      <w:r w:rsidRPr="006C2A50">
        <w:rPr>
          <w:rFonts w:eastAsia="Calibri"/>
          <w:b/>
          <w:bCs/>
          <w:lang w:val="es-DO"/>
        </w:rPr>
        <w:t>Conferencia “La mujer en el arte y la cultura dominicana”</w:t>
      </w:r>
      <w:r w:rsidRPr="006C2A50">
        <w:rPr>
          <w:rFonts w:eastAsia="Calibri"/>
          <w:lang w:val="es-DO"/>
        </w:rPr>
        <w:t>, presentada por la Licenciada Sorangel Fermín, directora del Museo Fortaleza San Felipe, destacó la participación de mujeres dominicanas en el arte y la cultura a través del tiempo.</w:t>
      </w:r>
    </w:p>
    <w:p w14:paraId="16F2B613" w14:textId="77777777" w:rsidR="006C2A50" w:rsidRPr="006C2A50" w:rsidRDefault="006C2A50" w:rsidP="006C2A50">
      <w:pPr>
        <w:numPr>
          <w:ilvl w:val="0"/>
          <w:numId w:val="30"/>
        </w:numPr>
        <w:tabs>
          <w:tab w:val="left" w:pos="420"/>
        </w:tabs>
        <w:spacing w:line="360" w:lineRule="auto"/>
        <w:jc w:val="both"/>
        <w:rPr>
          <w:rFonts w:eastAsia="Calibri"/>
          <w:lang w:val="es-DO"/>
        </w:rPr>
      </w:pPr>
      <w:r w:rsidRPr="006C2A50">
        <w:rPr>
          <w:rFonts w:eastAsia="Calibri"/>
          <w:lang w:val="es-DO"/>
        </w:rPr>
        <w:t xml:space="preserve">Conferencia </w:t>
      </w:r>
      <w:r w:rsidRPr="006C2A50">
        <w:rPr>
          <w:rFonts w:eastAsia="Calibri"/>
          <w:b/>
          <w:bCs/>
          <w:lang w:val="es-DO"/>
        </w:rPr>
        <w:t xml:space="preserve">“Transversalidad de la cultura: una mirada desde la planificación estratégica de los museos”, </w:t>
      </w:r>
      <w:r w:rsidRPr="006C2A50">
        <w:rPr>
          <w:rFonts w:eastAsia="Calibri"/>
          <w:lang w:val="es-DO"/>
        </w:rPr>
        <w:t>presentada por la Ingeniera Ydalia Martínez, encargada del Departamento de Planificación y Desarrollo de la Dirección General de Museos y catedrática de la Facultad de Ingeniería de la Universidad Autónoma de Santo Domingo (UASD).</w:t>
      </w:r>
    </w:p>
    <w:p w14:paraId="783FC563" w14:textId="77777777" w:rsidR="006C2A50" w:rsidRPr="006C2A50" w:rsidRDefault="006C2A50" w:rsidP="006C2A50">
      <w:pPr>
        <w:numPr>
          <w:ilvl w:val="0"/>
          <w:numId w:val="30"/>
        </w:numPr>
        <w:tabs>
          <w:tab w:val="left" w:pos="420"/>
        </w:tabs>
        <w:spacing w:line="360" w:lineRule="auto"/>
        <w:jc w:val="both"/>
        <w:rPr>
          <w:rFonts w:eastAsia="Calibri"/>
          <w:lang w:val="es-DO"/>
        </w:rPr>
      </w:pPr>
      <w:r w:rsidRPr="006C2A50">
        <w:rPr>
          <w:rFonts w:eastAsia="Calibri"/>
          <w:lang w:val="es-DO"/>
        </w:rPr>
        <w:lastRenderedPageBreak/>
        <w:t>Teleconferencia “La participación de las mujeres en el Derecho del Trabajo”, presentada por la Doctora Emma Rodríguez, catedrática de la Universidad de Vigo, España, trató sobre la participación de las mujeres en el ámbito cultural, mostrando estadísticas del sector laboral cultural.</w:t>
      </w:r>
    </w:p>
    <w:p w14:paraId="41845E4A" w14:textId="645D9C1D" w:rsidR="006C2A50" w:rsidRDefault="006C2A50" w:rsidP="006C2A50">
      <w:pPr>
        <w:numPr>
          <w:ilvl w:val="0"/>
          <w:numId w:val="30"/>
        </w:numPr>
        <w:spacing w:line="360" w:lineRule="auto"/>
        <w:jc w:val="both"/>
        <w:rPr>
          <w:rFonts w:eastAsia="Calibri"/>
          <w:lang w:val="es-DO"/>
        </w:rPr>
      </w:pPr>
      <w:r w:rsidRPr="006C2A50">
        <w:rPr>
          <w:rFonts w:eastAsia="Calibri"/>
          <w:lang w:val="es-DO"/>
        </w:rPr>
        <w:t xml:space="preserve">Asimismo, se llevó a cabo el panel de debate abierto </w:t>
      </w:r>
      <w:r w:rsidRPr="006C2A50">
        <w:rPr>
          <w:rFonts w:eastAsia="Calibri"/>
          <w:b/>
          <w:bCs/>
          <w:lang w:val="es-DO"/>
        </w:rPr>
        <w:t xml:space="preserve">“Nuevas problemáticas y perspectivas de género en el sector cultural dominicano”, </w:t>
      </w:r>
      <w:r w:rsidRPr="006C2A50">
        <w:rPr>
          <w:rFonts w:eastAsia="Calibri"/>
          <w:lang w:val="es-DO"/>
        </w:rPr>
        <w:t>con la participación de las expositoras, la Arquitecta Mónica Gutiérrez, directora del Museo de las Atarazanas Reales, y la Arquitecta Iris de Mondesert, directora del Museo de las Casas Reales.</w:t>
      </w:r>
    </w:p>
    <w:p w14:paraId="0E220DBC" w14:textId="0068A7D0" w:rsidR="006C2A50" w:rsidRPr="006C2A50" w:rsidRDefault="006C2A50" w:rsidP="003F639F">
      <w:pPr>
        <w:tabs>
          <w:tab w:val="left" w:pos="840"/>
        </w:tabs>
        <w:spacing w:line="360" w:lineRule="auto"/>
        <w:jc w:val="both"/>
        <w:rPr>
          <w:rFonts w:eastAsia="Calibri"/>
          <w:lang w:val="es-DO"/>
        </w:rPr>
      </w:pPr>
      <w:r w:rsidRPr="006C2A50">
        <w:rPr>
          <w:rFonts w:eastAsia="Calibri"/>
          <w:lang w:val="es-DO"/>
        </w:rPr>
        <w:t xml:space="preserve">El congreso fortaleció los conocimientos de los 117 participantes sobre igualdad de género, derechos de las mujeres y su papel en el ámbito cultural. Se generó una mayor sensibilización sobre la violencia y las desigualdades de género, así como la importancia de integrar la perspectiva de género en la gestión cultural y </w:t>
      </w:r>
      <w:r w:rsidR="003F639F" w:rsidRPr="006C2A50">
        <w:rPr>
          <w:rFonts w:eastAsia="Calibri"/>
          <w:lang w:val="es-DO"/>
        </w:rPr>
        <w:t>museística</w:t>
      </w:r>
      <w:r w:rsidRPr="006C2A50">
        <w:rPr>
          <w:rFonts w:eastAsia="Calibri"/>
          <w:lang w:val="es-DO"/>
        </w:rPr>
        <w:t>.</w:t>
      </w:r>
    </w:p>
    <w:p w14:paraId="4B759866" w14:textId="77777777" w:rsidR="006C2A50" w:rsidRPr="006C2A50" w:rsidRDefault="006C2A50" w:rsidP="006C2A50">
      <w:pPr>
        <w:spacing w:line="360" w:lineRule="auto"/>
        <w:jc w:val="both"/>
        <w:rPr>
          <w:rFonts w:eastAsia="Calibri"/>
          <w:lang w:val="es-DO"/>
        </w:rPr>
      </w:pPr>
      <w:r w:rsidRPr="006C2A50">
        <w:rPr>
          <w:rFonts w:eastAsia="Calibri"/>
          <w:lang w:val="es-DO"/>
        </w:rPr>
        <w:t>Los asistentes manifestaron su compromiso de aplicar lo aprendido en sus instituciones, especialmente en la planificación, los proyectos museísticos y las acciones de sensibilización al público.</w:t>
      </w:r>
    </w:p>
    <w:p w14:paraId="194D9CE2" w14:textId="4B95D30A" w:rsidR="006C2A50" w:rsidRPr="006C2A50" w:rsidRDefault="006C2A50" w:rsidP="006C2A50">
      <w:pPr>
        <w:spacing w:line="360" w:lineRule="auto"/>
        <w:jc w:val="both"/>
        <w:rPr>
          <w:rFonts w:eastAsia="Calibri"/>
          <w:lang w:val="es-DO"/>
        </w:rPr>
      </w:pPr>
      <w:r w:rsidRPr="006C2A50">
        <w:rPr>
          <w:rFonts w:eastAsia="Calibri"/>
          <w:lang w:val="es-DO"/>
        </w:rPr>
        <w:t>El evento promovió el intercambio interdisciplinario entre profesionales del sector jurídico, académico y cultural, creando espacios de diálogo y colaboración. Además, evidenció una alta participación femenina (81%),</w:t>
      </w:r>
      <w:r w:rsidR="00381A52">
        <w:rPr>
          <w:rFonts w:eastAsia="Calibri"/>
          <w:lang w:val="es-DO"/>
        </w:rPr>
        <w:t xml:space="preserve"> </w:t>
      </w:r>
      <w:r w:rsidRPr="006C2A50">
        <w:rPr>
          <w:rFonts w:eastAsia="Calibri"/>
          <w:lang w:val="es-DO"/>
        </w:rPr>
        <w:t>reflejando el liderazgo de las mujeres en estos temas.</w:t>
      </w:r>
    </w:p>
    <w:p w14:paraId="7215E041" w14:textId="6D94D668" w:rsidR="006C2A50" w:rsidRPr="006C2A50" w:rsidRDefault="006C2A50" w:rsidP="003F639F">
      <w:pPr>
        <w:spacing w:line="360" w:lineRule="auto"/>
        <w:jc w:val="both"/>
        <w:rPr>
          <w:rFonts w:eastAsia="Calibri"/>
          <w:b/>
          <w:bCs/>
          <w:lang w:val="es-DO"/>
        </w:rPr>
      </w:pPr>
      <w:r w:rsidRPr="006C2A50">
        <w:rPr>
          <w:rFonts w:eastAsia="Calibri"/>
          <w:b/>
          <w:bCs/>
          <w:lang w:val="es-DO"/>
        </w:rPr>
        <w:t>Participación del Departamento de Planificación y Desarrollo en la Mesa de Inclusión Social del Plan Municipal de Desarrollo (PMD) Santo Domingo Este 2026–2036</w:t>
      </w:r>
    </w:p>
    <w:p w14:paraId="4C49102E" w14:textId="77777777" w:rsidR="006C2A50" w:rsidRPr="006C2A50" w:rsidRDefault="006C2A50" w:rsidP="006C2A50">
      <w:pPr>
        <w:spacing w:line="360" w:lineRule="auto"/>
        <w:jc w:val="both"/>
        <w:rPr>
          <w:rFonts w:eastAsia="Calibri"/>
          <w:lang w:val="es-DO"/>
        </w:rPr>
      </w:pPr>
      <w:r w:rsidRPr="006C2A50">
        <w:rPr>
          <w:rFonts w:eastAsia="Calibri"/>
          <w:lang w:val="es-DO"/>
        </w:rPr>
        <w:t xml:space="preserve">El Departamento de Planificación y Desarrollo participó activamente en la Mesa de </w:t>
      </w:r>
      <w:r w:rsidRPr="006C2A50">
        <w:rPr>
          <w:rFonts w:eastAsia="Calibri"/>
          <w:lang w:val="es-DO"/>
        </w:rPr>
        <w:lastRenderedPageBreak/>
        <w:t>Inclusión Social del proceso de formulación del Plan Municipal de Desarrollo (PMD) del municipio Santo Domingo Este para el período 2026–2036. Esta mesa de trabajo, coordinada por el Ayuntamiento de Santo Domingo Este y articulada con diversos actores institucionales, comunitarios y sociales, tuvo como propósito incorporar un enfoque integral de derechos, igualdad y sostenibilidad en la definición de las políticas municipales para los próximos diez años.</w:t>
      </w:r>
    </w:p>
    <w:p w14:paraId="29FE8436" w14:textId="77777777" w:rsidR="006C2A50" w:rsidRPr="006C2A50" w:rsidRDefault="006C2A50" w:rsidP="006C2A50">
      <w:pPr>
        <w:spacing w:line="360" w:lineRule="auto"/>
        <w:jc w:val="both"/>
        <w:rPr>
          <w:rFonts w:eastAsia="Calibri"/>
          <w:lang w:val="es-DO"/>
        </w:rPr>
      </w:pPr>
      <w:r w:rsidRPr="006C2A50">
        <w:rPr>
          <w:rFonts w:eastAsia="Calibri"/>
          <w:lang w:val="es-DO"/>
        </w:rPr>
        <w:t>Durante su participación, el Departamento aportó insumos técnicos orientados a fortalecer la incorporación de criterios de equidad, accesibilidad, igualdad de género y reducción de brechas sociales en las líneas estratégicas y proyectos priorizados del PMD. Asimismo, promovió la inclusión de acciones orientadas al fortalecimiento de la oferta cultural, educativa y comunitaria del municipio como herramientas para el desarrollo humano y la cohesión social.</w:t>
      </w:r>
    </w:p>
    <w:p w14:paraId="2422DABE" w14:textId="01F24B85" w:rsidR="006C2A50" w:rsidRPr="006C2A50" w:rsidRDefault="006C2A50" w:rsidP="006C2A50">
      <w:pPr>
        <w:spacing w:line="360" w:lineRule="auto"/>
        <w:jc w:val="both"/>
        <w:rPr>
          <w:rFonts w:eastAsia="Calibri"/>
          <w:lang w:val="es-MX"/>
        </w:rPr>
      </w:pPr>
      <w:r w:rsidRPr="006C2A50">
        <w:rPr>
          <w:rFonts w:eastAsia="Calibri"/>
          <w:lang w:val="es-MX"/>
        </w:rPr>
        <w:t>El Departamento de Planificación y Desarrollo</w:t>
      </w:r>
      <w:r w:rsidR="003F639F">
        <w:rPr>
          <w:rFonts w:eastAsia="Calibri"/>
          <w:lang w:val="es-MX"/>
        </w:rPr>
        <w:t>,</w:t>
      </w:r>
      <w:r w:rsidRPr="006C2A50">
        <w:rPr>
          <w:rFonts w:eastAsia="Calibri"/>
          <w:lang w:val="es-MX"/>
        </w:rPr>
        <w:t xml:space="preserve"> en representación de la Dirección General de Museos, contribuyó en los espacios de diagnóstico, análisis y validación de propuestas, y resultados esperados.  </w:t>
      </w:r>
    </w:p>
    <w:p w14:paraId="669E2EB3" w14:textId="77777777" w:rsidR="00F629E4" w:rsidRDefault="006C2A50" w:rsidP="00F629E4">
      <w:pPr>
        <w:spacing w:line="360" w:lineRule="auto"/>
        <w:jc w:val="both"/>
        <w:rPr>
          <w:rFonts w:eastAsia="Calibri"/>
          <w:lang w:val="es-DO"/>
        </w:rPr>
      </w:pPr>
      <w:r w:rsidRPr="006C2A50">
        <w:rPr>
          <w:rFonts w:eastAsia="Calibri"/>
          <w:lang w:val="es-DO"/>
        </w:rPr>
        <w:t>La intervención del Departamento de Planificación y Desarrollo en esta mesa de trabajo reafirma el compromiso institucional con la construcción de territorios más inclusivos, resilientes y competitivos, aportando desde la planificación estratégica a la consolidación de un PMD alineado con los Objetivos de Desarrollo Sostenible y con las prioridades nacionales de desarrollo.</w:t>
      </w:r>
    </w:p>
    <w:p w14:paraId="05F62660" w14:textId="77777777" w:rsidR="00F629E4" w:rsidRPr="006C2A50" w:rsidRDefault="00F629E4" w:rsidP="00F629E4">
      <w:pPr>
        <w:spacing w:line="360" w:lineRule="auto"/>
        <w:jc w:val="both"/>
        <w:rPr>
          <w:rFonts w:eastAsia="Calibri"/>
          <w:b/>
          <w:bCs/>
          <w:noProof/>
          <w:sz w:val="28"/>
          <w:szCs w:val="28"/>
          <w:lang w:val="es-DO"/>
        </w:rPr>
      </w:pPr>
      <w:r w:rsidRPr="006C2A50">
        <w:rPr>
          <w:rFonts w:eastAsia="Calibri"/>
          <w:b/>
          <w:bCs/>
          <w:noProof/>
          <w:sz w:val="28"/>
          <w:szCs w:val="28"/>
          <w:lang w:val="es-DO"/>
        </w:rPr>
        <w:t>4.6 Desempeño del Departamento de Comunicaciones</w:t>
      </w:r>
    </w:p>
    <w:p w14:paraId="4F2AF1C3"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Durante el año 2025, la Dirección General de Museos fortaleció su estrategia de comunicación institucional como un eje transversal de apoyo a la gestión museística, orientado a visibilizar las acciones </w:t>
      </w:r>
      <w:r w:rsidRPr="006C2A50">
        <w:rPr>
          <w:rFonts w:eastAsia="Calibri"/>
          <w:lang w:val="es-DO"/>
        </w:rPr>
        <w:lastRenderedPageBreak/>
        <w:t>desarrolladas, promover el acceso a la cultura y fomentar la participación ciudadana en los espacios museísticos. En este sentido, se implementó el Plan de Comunicación 2025, alineado a los objetivos estratégicos institucionales y a las políticas culturales nacionales.</w:t>
      </w:r>
    </w:p>
    <w:p w14:paraId="3D89AB38" w14:textId="77777777" w:rsidR="00F629E4" w:rsidRPr="006C2A50" w:rsidRDefault="00F629E4" w:rsidP="00F629E4">
      <w:pPr>
        <w:spacing w:line="360" w:lineRule="auto"/>
        <w:jc w:val="both"/>
        <w:rPr>
          <w:rFonts w:eastAsia="Calibri"/>
          <w:lang w:val="es-DO"/>
        </w:rPr>
      </w:pPr>
      <w:r w:rsidRPr="006C2A50">
        <w:rPr>
          <w:rFonts w:eastAsia="Calibri"/>
          <w:lang w:val="es-DO"/>
        </w:rPr>
        <w:t>Las acciones comunicacionales se enfocaron en la difusión sistemática de exposiciones, actividades educativas, programas formativos y proyectos especiales, mediante el uso articulado de los canales digitales, y recursos gráficos y audiovisuales. La presencia institucional en redes sociales fue fortalecida, logrando ampliar el alcance de los contenidos y mejorar la interacción con los distintos públicos, lo que contribuyó a una mayor visibilidad de la oferta museística a nivel nacional.</w:t>
      </w:r>
    </w:p>
    <w:p w14:paraId="657A53F7"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De igual manera, se promovió una comunicación interna más efectiva, orientada a fortalecer la cohesión institucional y el flujo de información entre las distintas áreas y museos bajo la rectoría de la Dirección General de Museos. </w:t>
      </w:r>
    </w:p>
    <w:p w14:paraId="20F415A8"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En conjunto, las acciones ejecutadas durante el año 2025 permitieron consolidar la imagen institucional de la Dirección General de Museos, fortalecer el vínculo con la ciudadanía y contribuir al cumplimiento de los objetivos misionales de la institución. </w:t>
      </w:r>
    </w:p>
    <w:p w14:paraId="4EEF8939"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En este contexto, indicamos que las visitas al portal </w:t>
      </w:r>
      <w:proofErr w:type="spellStart"/>
      <w:r w:rsidRPr="006C2A50">
        <w:rPr>
          <w:rFonts w:eastAsia="Calibri"/>
          <w:b/>
          <w:bCs/>
          <w:lang w:val="es-DO"/>
        </w:rPr>
        <w:t>MuseosRD</w:t>
      </w:r>
      <w:proofErr w:type="spellEnd"/>
      <w:r w:rsidRPr="006C2A50">
        <w:rPr>
          <w:rFonts w:eastAsia="Calibri"/>
          <w:lang w:val="es-DO"/>
        </w:rPr>
        <w:t xml:space="preserve"> evidenció un desempeño favorable en términos de alcance y visibilidad institucional, al registrar </w:t>
      </w:r>
      <w:r w:rsidRPr="006C2A50">
        <w:rPr>
          <w:rFonts w:eastAsia="Calibri"/>
          <w:b/>
          <w:bCs/>
          <w:lang w:val="es-DO"/>
        </w:rPr>
        <w:t>81,000 usuarios activos</w:t>
      </w:r>
      <w:r w:rsidRPr="006C2A50">
        <w:rPr>
          <w:rFonts w:eastAsia="Calibri"/>
          <w:lang w:val="es-DO"/>
        </w:rPr>
        <w:t xml:space="preserve">, de los cuales </w:t>
      </w:r>
      <w:r w:rsidRPr="006C2A50">
        <w:rPr>
          <w:rFonts w:eastAsia="Calibri"/>
          <w:b/>
          <w:bCs/>
          <w:lang w:val="es-DO"/>
        </w:rPr>
        <w:t>80,000 correspondieron a nuevos visitantes</w:t>
      </w:r>
      <w:r w:rsidRPr="006C2A50">
        <w:rPr>
          <w:rFonts w:eastAsia="Calibri"/>
          <w:lang w:val="es-DO"/>
        </w:rPr>
        <w:t>. Estos resultados reflejan la efectividad de las estrategias de difusión digital, el posicionamiento en motores de búsqueda y el fortalecimiento de la presencia institucional de la Red Nacional de Museos.</w:t>
      </w:r>
    </w:p>
    <w:p w14:paraId="56703C94" w14:textId="77777777" w:rsidR="00F629E4" w:rsidRPr="006C2A50" w:rsidRDefault="00F629E4" w:rsidP="00F629E4">
      <w:pPr>
        <w:spacing w:line="360" w:lineRule="auto"/>
        <w:jc w:val="both"/>
        <w:rPr>
          <w:rFonts w:eastAsia="Calibri"/>
          <w:lang w:val="es-DO"/>
        </w:rPr>
      </w:pPr>
      <w:r w:rsidRPr="006C2A50">
        <w:rPr>
          <w:rFonts w:eastAsia="Calibri"/>
          <w:lang w:val="es-DO"/>
        </w:rPr>
        <w:lastRenderedPageBreak/>
        <w:t xml:space="preserve">Asimismo, el mayor volumen de visitas se concentró en los </w:t>
      </w:r>
      <w:r w:rsidRPr="006C2A50">
        <w:rPr>
          <w:rFonts w:eastAsia="Calibri"/>
          <w:b/>
          <w:bCs/>
          <w:lang w:val="es-DO"/>
        </w:rPr>
        <w:t>recorridos virtuales</w:t>
      </w:r>
      <w:r w:rsidRPr="006C2A50">
        <w:rPr>
          <w:rFonts w:eastAsia="Calibri"/>
          <w:lang w:val="es-DO"/>
        </w:rPr>
        <w:t xml:space="preserve"> y en los </w:t>
      </w:r>
      <w:r w:rsidRPr="006C2A50">
        <w:rPr>
          <w:rFonts w:eastAsia="Calibri"/>
          <w:b/>
          <w:bCs/>
          <w:lang w:val="es-DO"/>
        </w:rPr>
        <w:t>museos emblemáticos</w:t>
      </w:r>
      <w:r w:rsidRPr="006C2A50">
        <w:rPr>
          <w:rFonts w:eastAsia="Calibri"/>
          <w:lang w:val="es-DO"/>
        </w:rPr>
        <w:t xml:space="preserve"> de la Red, lo que confirma el interés del público por </w:t>
      </w:r>
      <w:r w:rsidRPr="006C2A50">
        <w:rPr>
          <w:rFonts w:eastAsia="Calibri"/>
          <w:b/>
          <w:bCs/>
          <w:lang w:val="es-DO"/>
        </w:rPr>
        <w:t>experiencias digitales inmersivas</w:t>
      </w:r>
      <w:r w:rsidRPr="006C2A50">
        <w:rPr>
          <w:rFonts w:eastAsia="Calibri"/>
          <w:lang w:val="es-DO"/>
        </w:rPr>
        <w:t xml:space="preserve"> y contenidos de carácter educativo. De igual forma, la alta interacción vinculada a la reproducción y visualización de videos evidencia una </w:t>
      </w:r>
      <w:r w:rsidRPr="006C2A50">
        <w:rPr>
          <w:rFonts w:eastAsia="Calibri"/>
          <w:b/>
          <w:bCs/>
          <w:lang w:val="es-DO"/>
        </w:rPr>
        <w:t>creciente preferencia por el consumo de contenidos audiovisuales</w:t>
      </w:r>
      <w:r w:rsidRPr="006C2A50">
        <w:rPr>
          <w:rFonts w:eastAsia="Calibri"/>
          <w:lang w:val="es-DO"/>
        </w:rPr>
        <w:t>, consolidando esta línea como un eje estratégico para la comunicación digital institucional.</w:t>
      </w:r>
    </w:p>
    <w:p w14:paraId="2AD0D0AF"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La gestión de las redes sociales constituyó un eje clave de la estrategia comunicacional, registrándose un total de 11,733 publicaciones, que generaron 156,735 interacciones y 3,426,001 visualizaciones, con un alcance de 605,141 personas. </w:t>
      </w:r>
    </w:p>
    <w:p w14:paraId="27E29807" w14:textId="77777777" w:rsidR="00F629E4" w:rsidRPr="006C2A50" w:rsidRDefault="00F629E4" w:rsidP="00F629E4">
      <w:pPr>
        <w:spacing w:line="360" w:lineRule="auto"/>
        <w:jc w:val="both"/>
        <w:rPr>
          <w:rFonts w:eastAsia="Calibri"/>
          <w:lang w:val="es-DO"/>
        </w:rPr>
      </w:pPr>
      <w:r w:rsidRPr="006C2A50">
        <w:rPr>
          <w:rFonts w:eastAsia="Calibri"/>
          <w:lang w:val="es-DO"/>
        </w:rPr>
        <w:t>Las redes sociales institucionales registraron un total de 3,582,736 actividades, lo que evidencia un alto nivel de dinamismo y alcance en la gestión de los canales de comunicación digital.</w:t>
      </w:r>
    </w:p>
    <w:p w14:paraId="3AEEFED6"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La red social </w:t>
      </w:r>
      <w:r w:rsidRPr="006C2A50">
        <w:rPr>
          <w:rFonts w:eastAsia="Calibri"/>
          <w:b/>
          <w:bCs/>
          <w:lang w:val="es-DO"/>
        </w:rPr>
        <w:t xml:space="preserve">Instagram </w:t>
      </w:r>
      <w:r w:rsidRPr="006C2A50">
        <w:rPr>
          <w:rFonts w:eastAsia="Calibri"/>
          <w:lang w:val="es-DO"/>
        </w:rPr>
        <w:t>concentró la mayor participación, con</w:t>
      </w:r>
      <w:r w:rsidRPr="006C2A50">
        <w:rPr>
          <w:rFonts w:eastAsia="Calibri"/>
          <w:b/>
          <w:bCs/>
          <w:lang w:val="es-DO"/>
        </w:rPr>
        <w:t xml:space="preserve"> 3,416,011</w:t>
      </w:r>
      <w:r w:rsidRPr="006C2A50">
        <w:rPr>
          <w:rFonts w:eastAsia="Calibri"/>
          <w:lang w:val="es-DO"/>
        </w:rPr>
        <w:t xml:space="preserve"> actividades, posicionándose como el principal canal de interacción y difusión de contenidos. Este resultado refleja la efectividad de los formatos visuales y audiovisuales utilizados, así como la preferencia del público por esta plataforma para informarse e interactuar con la institución.</w:t>
      </w:r>
    </w:p>
    <w:p w14:paraId="7DB33DB7"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Por su parte, </w:t>
      </w:r>
      <w:r w:rsidRPr="006C2A50">
        <w:rPr>
          <w:rFonts w:eastAsia="Calibri"/>
          <w:b/>
          <w:bCs/>
          <w:lang w:val="es-DO"/>
        </w:rPr>
        <w:t>Facebook</w:t>
      </w:r>
      <w:r w:rsidRPr="006C2A50">
        <w:rPr>
          <w:rFonts w:eastAsia="Calibri"/>
          <w:lang w:val="es-DO"/>
        </w:rPr>
        <w:t xml:space="preserve"> alcanzó </w:t>
      </w:r>
      <w:r w:rsidRPr="006C2A50">
        <w:rPr>
          <w:rFonts w:eastAsia="Calibri"/>
          <w:b/>
          <w:bCs/>
          <w:lang w:val="es-DO"/>
        </w:rPr>
        <w:t>148,466</w:t>
      </w:r>
      <w:r w:rsidRPr="006C2A50">
        <w:rPr>
          <w:rFonts w:eastAsia="Calibri"/>
          <w:lang w:val="es-DO"/>
        </w:rPr>
        <w:t xml:space="preserve"> actividades, manteniéndose como un medio relevante para la divulgación de informaciones institucionales, eventos y campañas, especialmente orientadas a públicos diversos y de amplio alcance.</w:t>
      </w:r>
    </w:p>
    <w:p w14:paraId="60539DD9" w14:textId="77777777" w:rsidR="00F629E4" w:rsidRPr="006C2A50" w:rsidRDefault="00F629E4" w:rsidP="00F629E4">
      <w:pPr>
        <w:spacing w:line="360" w:lineRule="auto"/>
        <w:jc w:val="both"/>
        <w:rPr>
          <w:rFonts w:eastAsia="Calibri"/>
          <w:lang w:val="es-DO"/>
        </w:rPr>
      </w:pPr>
      <w:r w:rsidRPr="006C2A50">
        <w:rPr>
          <w:rFonts w:eastAsia="Calibri"/>
          <w:lang w:val="es-DO"/>
        </w:rPr>
        <w:t xml:space="preserve">En cuanto a </w:t>
      </w:r>
      <w:r w:rsidRPr="006C2A50">
        <w:rPr>
          <w:rFonts w:eastAsia="Calibri"/>
          <w:b/>
          <w:bCs/>
          <w:lang w:val="es-DO"/>
        </w:rPr>
        <w:t>LinkedIn</w:t>
      </w:r>
      <w:r w:rsidRPr="006C2A50">
        <w:rPr>
          <w:rFonts w:eastAsia="Calibri"/>
          <w:lang w:val="es-DO"/>
        </w:rPr>
        <w:t xml:space="preserve">, se registraron </w:t>
      </w:r>
      <w:r w:rsidRPr="006C2A50">
        <w:rPr>
          <w:rFonts w:eastAsia="Calibri"/>
          <w:b/>
          <w:bCs/>
          <w:lang w:val="es-DO"/>
        </w:rPr>
        <w:t>15,694</w:t>
      </w:r>
      <w:r w:rsidRPr="006C2A50">
        <w:rPr>
          <w:rFonts w:eastAsia="Calibri"/>
          <w:lang w:val="es-DO"/>
        </w:rPr>
        <w:t xml:space="preserve"> actividades, lo que evidencia su utilidad como un canal especializado para la comunicación institucional, el fortalecimiento de la imagen </w:t>
      </w:r>
      <w:r w:rsidRPr="006C2A50">
        <w:rPr>
          <w:rFonts w:eastAsia="Calibri"/>
          <w:lang w:val="es-DO"/>
        </w:rPr>
        <w:lastRenderedPageBreak/>
        <w:t>corporativa y la vinculación con actores del sector cultural y profesional.</w:t>
      </w:r>
    </w:p>
    <w:p w14:paraId="02DB7E27" w14:textId="77777777" w:rsidR="00F629E4" w:rsidRDefault="00F629E4" w:rsidP="00F629E4">
      <w:pPr>
        <w:spacing w:line="360" w:lineRule="auto"/>
        <w:jc w:val="both"/>
        <w:rPr>
          <w:rFonts w:eastAsia="Calibri"/>
          <w:lang w:val="es-DO"/>
        </w:rPr>
      </w:pPr>
      <w:r w:rsidRPr="006C2A50">
        <w:rPr>
          <w:rFonts w:eastAsia="Calibri"/>
          <w:lang w:val="es-DO"/>
        </w:rPr>
        <w:t xml:space="preserve">Finalmente, la </w:t>
      </w:r>
      <w:r w:rsidRPr="006C2A50">
        <w:rPr>
          <w:rFonts w:eastAsia="Calibri"/>
          <w:b/>
          <w:bCs/>
          <w:lang w:val="es-DO"/>
        </w:rPr>
        <w:t>Plataforma X</w:t>
      </w:r>
      <w:r w:rsidRPr="006C2A50">
        <w:rPr>
          <w:rFonts w:eastAsia="Calibri"/>
          <w:lang w:val="es-DO"/>
        </w:rPr>
        <w:t xml:space="preserve"> presentó </w:t>
      </w:r>
      <w:r w:rsidRPr="006C2A50">
        <w:rPr>
          <w:rFonts w:eastAsia="Calibri"/>
          <w:b/>
          <w:bCs/>
          <w:lang w:val="es-DO"/>
        </w:rPr>
        <w:t>2,565</w:t>
      </w:r>
      <w:r w:rsidRPr="006C2A50">
        <w:rPr>
          <w:rFonts w:eastAsia="Calibri"/>
          <w:lang w:val="es-DO"/>
        </w:rPr>
        <w:t xml:space="preserve"> actividades, mostrando una participación menor en comparación con otras redes, aunque continúa siendo un espacio complementario para la difusión de informaciones puntuales y de carácter inmediato.</w:t>
      </w:r>
    </w:p>
    <w:p w14:paraId="39835C5C" w14:textId="77777777" w:rsidR="00F629E4" w:rsidRPr="006C2A50" w:rsidRDefault="00F629E4" w:rsidP="00F629E4">
      <w:pPr>
        <w:spacing w:after="0" w:line="240" w:lineRule="auto"/>
        <w:jc w:val="both"/>
        <w:rPr>
          <w:rFonts w:eastAsia="Calibri"/>
          <w:lang w:val="es-DO"/>
        </w:rPr>
      </w:pPr>
    </w:p>
    <w:p w14:paraId="7F7B061E" w14:textId="77777777" w:rsidR="00F629E4" w:rsidRPr="006C2A50" w:rsidRDefault="00F629E4" w:rsidP="00F629E4">
      <w:pPr>
        <w:spacing w:after="0" w:line="240" w:lineRule="auto"/>
        <w:jc w:val="center"/>
        <w:rPr>
          <w:rFonts w:eastAsia="Calibri"/>
          <w:b/>
          <w:bCs/>
          <w:lang w:val="es-DO"/>
        </w:rPr>
      </w:pPr>
      <w:r w:rsidRPr="006C2A50">
        <w:rPr>
          <w:rFonts w:eastAsia="Calibri"/>
          <w:b/>
          <w:bCs/>
          <w:lang w:val="es-DO"/>
        </w:rPr>
        <w:t>Actividades en las Redes Sociales</w:t>
      </w:r>
    </w:p>
    <w:tbl>
      <w:tblPr>
        <w:tblW w:w="4855" w:type="dxa"/>
        <w:jc w:val="center"/>
        <w:tblLook w:val="04A0" w:firstRow="1" w:lastRow="0" w:firstColumn="1" w:lastColumn="0" w:noHBand="0" w:noVBand="1"/>
      </w:tblPr>
      <w:tblGrid>
        <w:gridCol w:w="2335"/>
        <w:gridCol w:w="2520"/>
      </w:tblGrid>
      <w:tr w:rsidR="00F629E4" w:rsidRPr="006C2A50" w14:paraId="5BCF8379" w14:textId="77777777" w:rsidTr="00DC3589">
        <w:trPr>
          <w:trHeight w:val="274"/>
          <w:jc w:val="center"/>
        </w:trPr>
        <w:tc>
          <w:tcPr>
            <w:tcW w:w="233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DA6B5CB" w14:textId="77777777" w:rsidR="00F629E4" w:rsidRPr="006C2A50" w:rsidRDefault="00F629E4" w:rsidP="00DC3589">
            <w:pPr>
              <w:spacing w:after="0" w:line="240" w:lineRule="auto"/>
              <w:jc w:val="center"/>
              <w:rPr>
                <w:rFonts w:eastAsia="Times New Roman"/>
                <w:b/>
                <w:bCs/>
                <w:color w:val="FFFFFF"/>
                <w:spacing w:val="0"/>
                <w:sz w:val="22"/>
                <w:szCs w:val="22"/>
              </w:rPr>
            </w:pPr>
            <w:r w:rsidRPr="006C2A50">
              <w:rPr>
                <w:rFonts w:eastAsia="Times New Roman"/>
                <w:b/>
                <w:bCs/>
                <w:color w:val="FFFFFF"/>
                <w:spacing w:val="0"/>
                <w:sz w:val="22"/>
                <w:szCs w:val="22"/>
              </w:rPr>
              <w:t xml:space="preserve">Redes </w:t>
            </w:r>
            <w:proofErr w:type="spellStart"/>
            <w:r w:rsidRPr="006C2A50">
              <w:rPr>
                <w:rFonts w:eastAsia="Times New Roman"/>
                <w:b/>
                <w:bCs/>
                <w:color w:val="FFFFFF"/>
                <w:spacing w:val="0"/>
                <w:sz w:val="22"/>
                <w:szCs w:val="22"/>
              </w:rPr>
              <w:t>Sociales</w:t>
            </w:r>
            <w:proofErr w:type="spellEnd"/>
          </w:p>
        </w:tc>
        <w:tc>
          <w:tcPr>
            <w:tcW w:w="2520" w:type="dxa"/>
            <w:tcBorders>
              <w:top w:val="single" w:sz="4" w:space="0" w:color="auto"/>
              <w:left w:val="nil"/>
              <w:bottom w:val="single" w:sz="4" w:space="0" w:color="auto"/>
              <w:right w:val="single" w:sz="4" w:space="0" w:color="auto"/>
            </w:tcBorders>
            <w:shd w:val="clear" w:color="000000" w:fill="002060"/>
            <w:noWrap/>
            <w:vAlign w:val="center"/>
            <w:hideMark/>
          </w:tcPr>
          <w:p w14:paraId="6F990130" w14:textId="77777777" w:rsidR="00F629E4" w:rsidRPr="006C2A50" w:rsidRDefault="00F629E4" w:rsidP="00DC3589">
            <w:pPr>
              <w:spacing w:after="0" w:line="240" w:lineRule="auto"/>
              <w:jc w:val="center"/>
              <w:rPr>
                <w:rFonts w:eastAsia="Times New Roman"/>
                <w:b/>
                <w:bCs/>
                <w:color w:val="FFFFFF"/>
                <w:spacing w:val="0"/>
                <w:sz w:val="22"/>
                <w:szCs w:val="22"/>
              </w:rPr>
            </w:pPr>
            <w:proofErr w:type="spellStart"/>
            <w:r w:rsidRPr="006C2A50">
              <w:rPr>
                <w:rFonts w:eastAsia="Times New Roman"/>
                <w:b/>
                <w:bCs/>
                <w:color w:val="FFFFFF"/>
                <w:spacing w:val="0"/>
                <w:sz w:val="22"/>
                <w:szCs w:val="22"/>
              </w:rPr>
              <w:t>Número</w:t>
            </w:r>
            <w:proofErr w:type="spellEnd"/>
            <w:r w:rsidRPr="006C2A50">
              <w:rPr>
                <w:rFonts w:eastAsia="Times New Roman"/>
                <w:b/>
                <w:bCs/>
                <w:color w:val="FFFFFF"/>
                <w:spacing w:val="0"/>
                <w:sz w:val="22"/>
                <w:szCs w:val="22"/>
              </w:rPr>
              <w:t xml:space="preserve"> de </w:t>
            </w:r>
            <w:proofErr w:type="spellStart"/>
            <w:r w:rsidRPr="006C2A50">
              <w:rPr>
                <w:rFonts w:eastAsia="Times New Roman"/>
                <w:b/>
                <w:bCs/>
                <w:color w:val="FFFFFF"/>
                <w:spacing w:val="0"/>
                <w:sz w:val="22"/>
                <w:szCs w:val="22"/>
              </w:rPr>
              <w:t>Actividades</w:t>
            </w:r>
            <w:proofErr w:type="spellEnd"/>
          </w:p>
        </w:tc>
      </w:tr>
      <w:tr w:rsidR="00F629E4" w:rsidRPr="006C2A50" w14:paraId="7AF94A5E" w14:textId="77777777" w:rsidTr="00DC3589">
        <w:trPr>
          <w:trHeight w:val="220"/>
          <w:jc w:val="center"/>
        </w:trPr>
        <w:tc>
          <w:tcPr>
            <w:tcW w:w="2335" w:type="dxa"/>
            <w:tcBorders>
              <w:top w:val="nil"/>
              <w:left w:val="single" w:sz="4" w:space="0" w:color="auto"/>
              <w:bottom w:val="single" w:sz="4" w:space="0" w:color="auto"/>
              <w:right w:val="single" w:sz="4" w:space="0" w:color="auto"/>
            </w:tcBorders>
            <w:noWrap/>
            <w:vAlign w:val="bottom"/>
            <w:hideMark/>
          </w:tcPr>
          <w:p w14:paraId="42F3AEAB" w14:textId="77777777" w:rsidR="00F629E4" w:rsidRPr="006C2A50" w:rsidRDefault="00F629E4" w:rsidP="00DC3589">
            <w:pPr>
              <w:spacing w:after="0" w:line="240" w:lineRule="auto"/>
              <w:rPr>
                <w:rFonts w:eastAsia="Times New Roman"/>
                <w:spacing w:val="0"/>
                <w:sz w:val="22"/>
                <w:szCs w:val="22"/>
              </w:rPr>
            </w:pPr>
            <w:r w:rsidRPr="006C2A50">
              <w:rPr>
                <w:rFonts w:eastAsia="Times New Roman"/>
                <w:spacing w:val="0"/>
                <w:sz w:val="22"/>
                <w:szCs w:val="22"/>
              </w:rPr>
              <w:t>Instagram</w:t>
            </w:r>
          </w:p>
        </w:tc>
        <w:tc>
          <w:tcPr>
            <w:tcW w:w="2520" w:type="dxa"/>
            <w:tcBorders>
              <w:top w:val="nil"/>
              <w:left w:val="nil"/>
              <w:bottom w:val="single" w:sz="4" w:space="0" w:color="auto"/>
              <w:right w:val="single" w:sz="4" w:space="0" w:color="auto"/>
            </w:tcBorders>
            <w:noWrap/>
            <w:vAlign w:val="bottom"/>
            <w:hideMark/>
          </w:tcPr>
          <w:p w14:paraId="1980BDAD" w14:textId="77777777" w:rsidR="00F629E4" w:rsidRPr="006C2A50" w:rsidRDefault="00F629E4" w:rsidP="00DC3589">
            <w:pPr>
              <w:spacing w:after="0" w:line="240" w:lineRule="auto"/>
              <w:jc w:val="right"/>
              <w:rPr>
                <w:rFonts w:eastAsia="Times New Roman"/>
                <w:spacing w:val="0"/>
                <w:sz w:val="22"/>
                <w:szCs w:val="22"/>
              </w:rPr>
            </w:pPr>
            <w:r w:rsidRPr="006C2A50">
              <w:rPr>
                <w:rFonts w:eastAsia="Times New Roman"/>
                <w:spacing w:val="0"/>
                <w:sz w:val="22"/>
                <w:szCs w:val="22"/>
              </w:rPr>
              <w:t>3,416,011</w:t>
            </w:r>
          </w:p>
        </w:tc>
      </w:tr>
      <w:tr w:rsidR="00F629E4" w:rsidRPr="006C2A50" w14:paraId="7FE9E50E" w14:textId="77777777" w:rsidTr="00DC3589">
        <w:trPr>
          <w:trHeight w:val="229"/>
          <w:jc w:val="center"/>
        </w:trPr>
        <w:tc>
          <w:tcPr>
            <w:tcW w:w="2335" w:type="dxa"/>
            <w:tcBorders>
              <w:top w:val="nil"/>
              <w:left w:val="single" w:sz="4" w:space="0" w:color="auto"/>
              <w:bottom w:val="single" w:sz="4" w:space="0" w:color="auto"/>
              <w:right w:val="single" w:sz="4" w:space="0" w:color="auto"/>
            </w:tcBorders>
            <w:noWrap/>
            <w:vAlign w:val="bottom"/>
            <w:hideMark/>
          </w:tcPr>
          <w:p w14:paraId="48A70503" w14:textId="77777777" w:rsidR="00F629E4" w:rsidRPr="006C2A50" w:rsidRDefault="00F629E4" w:rsidP="00DC3589">
            <w:pPr>
              <w:spacing w:after="0" w:line="240" w:lineRule="auto"/>
              <w:rPr>
                <w:rFonts w:eastAsia="Times New Roman"/>
                <w:spacing w:val="0"/>
                <w:sz w:val="22"/>
                <w:szCs w:val="22"/>
              </w:rPr>
            </w:pPr>
            <w:r w:rsidRPr="006C2A50">
              <w:rPr>
                <w:rFonts w:eastAsia="Times New Roman"/>
                <w:spacing w:val="0"/>
                <w:sz w:val="22"/>
                <w:szCs w:val="22"/>
              </w:rPr>
              <w:t>Facebook</w:t>
            </w:r>
          </w:p>
        </w:tc>
        <w:tc>
          <w:tcPr>
            <w:tcW w:w="2520" w:type="dxa"/>
            <w:tcBorders>
              <w:top w:val="nil"/>
              <w:left w:val="nil"/>
              <w:bottom w:val="single" w:sz="4" w:space="0" w:color="auto"/>
              <w:right w:val="single" w:sz="4" w:space="0" w:color="auto"/>
            </w:tcBorders>
            <w:noWrap/>
            <w:vAlign w:val="bottom"/>
            <w:hideMark/>
          </w:tcPr>
          <w:p w14:paraId="4A783083" w14:textId="77777777" w:rsidR="00F629E4" w:rsidRPr="006C2A50" w:rsidRDefault="00F629E4" w:rsidP="00DC3589">
            <w:pPr>
              <w:spacing w:after="0" w:line="240" w:lineRule="auto"/>
              <w:jc w:val="right"/>
              <w:rPr>
                <w:rFonts w:eastAsia="Times New Roman"/>
                <w:spacing w:val="0"/>
                <w:sz w:val="22"/>
                <w:szCs w:val="22"/>
              </w:rPr>
            </w:pPr>
            <w:r w:rsidRPr="006C2A50">
              <w:rPr>
                <w:rFonts w:eastAsia="Times New Roman"/>
                <w:spacing w:val="0"/>
                <w:sz w:val="22"/>
                <w:szCs w:val="22"/>
              </w:rPr>
              <w:t>148,466</w:t>
            </w:r>
          </w:p>
        </w:tc>
      </w:tr>
      <w:tr w:rsidR="00F629E4" w:rsidRPr="006C2A50" w14:paraId="31030363" w14:textId="77777777" w:rsidTr="00DC3589">
        <w:trPr>
          <w:trHeight w:val="139"/>
          <w:jc w:val="center"/>
        </w:trPr>
        <w:tc>
          <w:tcPr>
            <w:tcW w:w="2335" w:type="dxa"/>
            <w:tcBorders>
              <w:top w:val="nil"/>
              <w:left w:val="single" w:sz="4" w:space="0" w:color="auto"/>
              <w:bottom w:val="single" w:sz="4" w:space="0" w:color="auto"/>
              <w:right w:val="single" w:sz="4" w:space="0" w:color="auto"/>
            </w:tcBorders>
            <w:noWrap/>
            <w:vAlign w:val="bottom"/>
            <w:hideMark/>
          </w:tcPr>
          <w:p w14:paraId="4B0557A0" w14:textId="77777777" w:rsidR="00F629E4" w:rsidRPr="006C2A50" w:rsidRDefault="00F629E4" w:rsidP="00DC3589">
            <w:pPr>
              <w:spacing w:after="0" w:line="240" w:lineRule="auto"/>
              <w:rPr>
                <w:rFonts w:eastAsia="Times New Roman"/>
                <w:spacing w:val="0"/>
                <w:sz w:val="22"/>
                <w:szCs w:val="22"/>
              </w:rPr>
            </w:pPr>
            <w:r w:rsidRPr="006C2A50">
              <w:rPr>
                <w:rFonts w:eastAsia="Times New Roman"/>
                <w:spacing w:val="0"/>
                <w:sz w:val="22"/>
                <w:szCs w:val="22"/>
              </w:rPr>
              <w:t>LinkedIn</w:t>
            </w:r>
          </w:p>
        </w:tc>
        <w:tc>
          <w:tcPr>
            <w:tcW w:w="2520" w:type="dxa"/>
            <w:tcBorders>
              <w:top w:val="nil"/>
              <w:left w:val="nil"/>
              <w:bottom w:val="single" w:sz="4" w:space="0" w:color="auto"/>
              <w:right w:val="single" w:sz="4" w:space="0" w:color="auto"/>
            </w:tcBorders>
            <w:noWrap/>
            <w:vAlign w:val="bottom"/>
            <w:hideMark/>
          </w:tcPr>
          <w:p w14:paraId="26FF739D" w14:textId="77777777" w:rsidR="00F629E4" w:rsidRPr="006C2A50" w:rsidRDefault="00F629E4" w:rsidP="00DC3589">
            <w:pPr>
              <w:spacing w:after="0" w:line="240" w:lineRule="auto"/>
              <w:jc w:val="right"/>
              <w:rPr>
                <w:rFonts w:eastAsia="Times New Roman"/>
                <w:spacing w:val="0"/>
                <w:sz w:val="22"/>
                <w:szCs w:val="22"/>
              </w:rPr>
            </w:pPr>
            <w:r w:rsidRPr="006C2A50">
              <w:rPr>
                <w:rFonts w:eastAsia="Times New Roman"/>
                <w:spacing w:val="0"/>
                <w:sz w:val="22"/>
                <w:szCs w:val="22"/>
              </w:rPr>
              <w:t>15,694</w:t>
            </w:r>
          </w:p>
        </w:tc>
      </w:tr>
      <w:tr w:rsidR="00F629E4" w:rsidRPr="006C2A50" w14:paraId="59D7703A" w14:textId="77777777" w:rsidTr="00DC3589">
        <w:trPr>
          <w:trHeight w:val="58"/>
          <w:jc w:val="center"/>
        </w:trPr>
        <w:tc>
          <w:tcPr>
            <w:tcW w:w="2335" w:type="dxa"/>
            <w:tcBorders>
              <w:top w:val="nil"/>
              <w:left w:val="single" w:sz="4" w:space="0" w:color="auto"/>
              <w:bottom w:val="single" w:sz="4" w:space="0" w:color="auto"/>
              <w:right w:val="single" w:sz="4" w:space="0" w:color="auto"/>
            </w:tcBorders>
            <w:noWrap/>
            <w:vAlign w:val="bottom"/>
            <w:hideMark/>
          </w:tcPr>
          <w:p w14:paraId="5BA5AD07" w14:textId="77777777" w:rsidR="00F629E4" w:rsidRPr="006C2A50" w:rsidRDefault="00F629E4" w:rsidP="00DC3589">
            <w:pPr>
              <w:spacing w:after="0" w:line="240" w:lineRule="auto"/>
              <w:rPr>
                <w:rFonts w:eastAsia="Times New Roman"/>
                <w:spacing w:val="0"/>
                <w:sz w:val="22"/>
                <w:szCs w:val="22"/>
              </w:rPr>
            </w:pPr>
            <w:r w:rsidRPr="006C2A50">
              <w:rPr>
                <w:rFonts w:eastAsia="Times New Roman"/>
                <w:spacing w:val="0"/>
                <w:sz w:val="22"/>
                <w:szCs w:val="22"/>
              </w:rPr>
              <w:t>X</w:t>
            </w:r>
          </w:p>
        </w:tc>
        <w:tc>
          <w:tcPr>
            <w:tcW w:w="2520" w:type="dxa"/>
            <w:tcBorders>
              <w:top w:val="nil"/>
              <w:left w:val="nil"/>
              <w:bottom w:val="single" w:sz="4" w:space="0" w:color="auto"/>
              <w:right w:val="single" w:sz="4" w:space="0" w:color="auto"/>
            </w:tcBorders>
            <w:noWrap/>
            <w:vAlign w:val="bottom"/>
            <w:hideMark/>
          </w:tcPr>
          <w:p w14:paraId="7DEBCAFE" w14:textId="77777777" w:rsidR="00F629E4" w:rsidRPr="006C2A50" w:rsidRDefault="00F629E4" w:rsidP="00DC3589">
            <w:pPr>
              <w:spacing w:after="0" w:line="240" w:lineRule="auto"/>
              <w:jc w:val="right"/>
              <w:rPr>
                <w:rFonts w:eastAsia="Times New Roman"/>
                <w:spacing w:val="0"/>
                <w:sz w:val="22"/>
                <w:szCs w:val="22"/>
              </w:rPr>
            </w:pPr>
            <w:r w:rsidRPr="006C2A50">
              <w:rPr>
                <w:rFonts w:eastAsia="Times New Roman"/>
                <w:spacing w:val="0"/>
                <w:sz w:val="22"/>
                <w:szCs w:val="22"/>
              </w:rPr>
              <w:t>2,565</w:t>
            </w:r>
          </w:p>
        </w:tc>
      </w:tr>
      <w:tr w:rsidR="00F629E4" w:rsidRPr="006C2A50" w14:paraId="06B4CBCB" w14:textId="77777777" w:rsidTr="00DC3589">
        <w:trPr>
          <w:trHeight w:val="67"/>
          <w:jc w:val="center"/>
        </w:trPr>
        <w:tc>
          <w:tcPr>
            <w:tcW w:w="2335" w:type="dxa"/>
            <w:tcBorders>
              <w:top w:val="nil"/>
              <w:left w:val="single" w:sz="4" w:space="0" w:color="auto"/>
              <w:bottom w:val="single" w:sz="4" w:space="0" w:color="auto"/>
              <w:right w:val="single" w:sz="4" w:space="0" w:color="auto"/>
            </w:tcBorders>
            <w:shd w:val="clear" w:color="000000" w:fill="002060"/>
            <w:noWrap/>
            <w:vAlign w:val="bottom"/>
            <w:hideMark/>
          </w:tcPr>
          <w:p w14:paraId="38F947F3" w14:textId="77777777" w:rsidR="00F629E4" w:rsidRPr="006C2A50" w:rsidRDefault="00F629E4" w:rsidP="00DC3589">
            <w:pPr>
              <w:spacing w:after="0" w:line="240" w:lineRule="auto"/>
              <w:rPr>
                <w:rFonts w:eastAsia="Times New Roman"/>
                <w:b/>
                <w:bCs/>
                <w:color w:val="FFFFFF"/>
                <w:spacing w:val="0"/>
                <w:sz w:val="22"/>
                <w:szCs w:val="22"/>
              </w:rPr>
            </w:pPr>
            <w:r w:rsidRPr="006C2A50">
              <w:rPr>
                <w:rFonts w:eastAsia="Times New Roman"/>
                <w:b/>
                <w:bCs/>
                <w:color w:val="FFFFFF"/>
                <w:spacing w:val="0"/>
                <w:sz w:val="22"/>
                <w:szCs w:val="22"/>
              </w:rPr>
              <w:t>Total</w:t>
            </w:r>
          </w:p>
        </w:tc>
        <w:tc>
          <w:tcPr>
            <w:tcW w:w="2520" w:type="dxa"/>
            <w:tcBorders>
              <w:top w:val="nil"/>
              <w:left w:val="nil"/>
              <w:bottom w:val="single" w:sz="4" w:space="0" w:color="auto"/>
              <w:right w:val="single" w:sz="4" w:space="0" w:color="auto"/>
            </w:tcBorders>
            <w:shd w:val="clear" w:color="000000" w:fill="002060"/>
            <w:noWrap/>
            <w:vAlign w:val="bottom"/>
            <w:hideMark/>
          </w:tcPr>
          <w:p w14:paraId="4E49F7D0" w14:textId="77777777" w:rsidR="00F629E4" w:rsidRPr="006C2A50" w:rsidRDefault="00F629E4" w:rsidP="00DC3589">
            <w:pPr>
              <w:spacing w:after="0" w:line="240" w:lineRule="auto"/>
              <w:jc w:val="right"/>
              <w:rPr>
                <w:rFonts w:eastAsia="Times New Roman"/>
                <w:b/>
                <w:bCs/>
                <w:color w:val="FFFFFF"/>
                <w:spacing w:val="0"/>
                <w:sz w:val="22"/>
                <w:szCs w:val="22"/>
              </w:rPr>
            </w:pPr>
            <w:r w:rsidRPr="006C2A50">
              <w:rPr>
                <w:rFonts w:eastAsia="Times New Roman"/>
                <w:b/>
                <w:bCs/>
                <w:color w:val="FFFFFF"/>
                <w:spacing w:val="0"/>
                <w:sz w:val="22"/>
                <w:szCs w:val="22"/>
              </w:rPr>
              <w:t>3,582,736</w:t>
            </w:r>
          </w:p>
        </w:tc>
      </w:tr>
    </w:tbl>
    <w:p w14:paraId="60FAED6E" w14:textId="77777777" w:rsidR="00F629E4" w:rsidRDefault="00F629E4" w:rsidP="00F629E4">
      <w:pPr>
        <w:spacing w:after="0" w:line="240" w:lineRule="auto"/>
        <w:jc w:val="both"/>
        <w:rPr>
          <w:color w:val="4C4747"/>
          <w:lang w:val="es-DO"/>
        </w:rPr>
      </w:pPr>
      <w:r>
        <w:rPr>
          <w:rFonts w:eastAsia="Calibri"/>
          <w:i/>
          <w:iCs/>
          <w:spacing w:val="0"/>
          <w:sz w:val="20"/>
          <w:szCs w:val="20"/>
          <w:lang w:val="es-DO" w:eastAsia="es-MX"/>
        </w:rPr>
        <w:t xml:space="preserve">                               </w:t>
      </w:r>
      <w:r w:rsidRPr="003F639F">
        <w:rPr>
          <w:rFonts w:eastAsia="Calibri"/>
          <w:i/>
          <w:iCs/>
          <w:spacing w:val="0"/>
          <w:sz w:val="20"/>
          <w:szCs w:val="20"/>
          <w:lang w:val="es-DO" w:eastAsia="es-MX"/>
        </w:rPr>
        <w:t xml:space="preserve">Cuadro No. </w:t>
      </w:r>
      <w:r>
        <w:rPr>
          <w:rFonts w:eastAsia="Calibri"/>
          <w:i/>
          <w:iCs/>
          <w:spacing w:val="0"/>
          <w:sz w:val="20"/>
          <w:szCs w:val="20"/>
          <w:lang w:val="es-DO" w:eastAsia="es-MX"/>
        </w:rPr>
        <w:t>30 actividades redes sociales en</w:t>
      </w:r>
      <w:r w:rsidRPr="003F639F">
        <w:rPr>
          <w:rFonts w:eastAsia="Calibri"/>
          <w:i/>
          <w:iCs/>
          <w:spacing w:val="0"/>
          <w:sz w:val="20"/>
          <w:szCs w:val="20"/>
          <w:lang w:val="es-DO" w:eastAsia="es-MX"/>
        </w:rPr>
        <w:t xml:space="preserve"> el año 2025.</w:t>
      </w:r>
    </w:p>
    <w:p w14:paraId="41D7BDA8" w14:textId="77777777" w:rsidR="00F629E4" w:rsidRDefault="00F629E4" w:rsidP="00F629E4">
      <w:pPr>
        <w:spacing w:line="360" w:lineRule="auto"/>
        <w:jc w:val="both"/>
        <w:rPr>
          <w:rFonts w:eastAsia="Calibri"/>
          <w:lang w:val="es-MX"/>
        </w:rPr>
      </w:pPr>
    </w:p>
    <w:p w14:paraId="1847B5C4" w14:textId="77777777" w:rsidR="00F629E4" w:rsidRDefault="00F629E4" w:rsidP="00F629E4">
      <w:pPr>
        <w:spacing w:line="360" w:lineRule="auto"/>
        <w:jc w:val="both"/>
        <w:rPr>
          <w:rFonts w:eastAsia="Calibri"/>
          <w:lang w:val="es-MX"/>
        </w:rPr>
      </w:pPr>
      <w:r w:rsidRPr="00F629E4">
        <w:rPr>
          <w:rFonts w:eastAsia="Calibri"/>
          <w:lang w:val="es-MX"/>
        </w:rPr>
        <w:t xml:space="preserve">En síntesis, el desempeño del Departamento de Comunicaciones durante el año 2025 evidenció una gestión estratégica, coherente y orientada a resultados, que permitió fortalecer de manera significativa la visibilidad institucional de la Dirección General de Museos y su vínculo con la ciudadanía. </w:t>
      </w:r>
    </w:p>
    <w:p w14:paraId="4440296D" w14:textId="77777777" w:rsidR="00F629E4" w:rsidRDefault="00F629E4" w:rsidP="00F629E4">
      <w:pPr>
        <w:spacing w:line="360" w:lineRule="auto"/>
        <w:jc w:val="both"/>
        <w:rPr>
          <w:rFonts w:eastAsia="Calibri"/>
          <w:lang w:val="es-MX"/>
        </w:rPr>
      </w:pPr>
      <w:r w:rsidRPr="00F629E4">
        <w:rPr>
          <w:rFonts w:eastAsia="Calibri"/>
          <w:lang w:val="es-MX"/>
        </w:rPr>
        <w:t xml:space="preserve">La consolidación de los canales digitales, el uso intensivo de formatos audiovisuales y el posicionamiento del portal </w:t>
      </w:r>
      <w:proofErr w:type="spellStart"/>
      <w:r w:rsidRPr="00F629E4">
        <w:rPr>
          <w:rFonts w:eastAsia="Calibri"/>
          <w:lang w:val="es-MX"/>
        </w:rPr>
        <w:t>MuseosRD</w:t>
      </w:r>
      <w:proofErr w:type="spellEnd"/>
      <w:r w:rsidRPr="00F629E4">
        <w:rPr>
          <w:rFonts w:eastAsia="Calibri"/>
          <w:lang w:val="es-MX"/>
        </w:rPr>
        <w:t xml:space="preserve"> y de las redes sociales como espacios clave de interacción reflejan una comunicación alineada a las demandas de los públicos contemporáneos. </w:t>
      </w:r>
    </w:p>
    <w:p w14:paraId="67972611" w14:textId="1214D51B" w:rsidR="00F629E4" w:rsidRPr="00F629E4" w:rsidRDefault="00F629E4" w:rsidP="00F629E4">
      <w:pPr>
        <w:spacing w:line="360" w:lineRule="auto"/>
        <w:jc w:val="both"/>
        <w:rPr>
          <w:rFonts w:eastAsia="Calibri"/>
          <w:lang w:val="es-MX"/>
        </w:rPr>
        <w:sectPr w:rsidR="00F629E4" w:rsidRPr="00F629E4" w:rsidSect="00D52943">
          <w:headerReference w:type="default" r:id="rId43"/>
          <w:footerReference w:type="default" r:id="rId44"/>
          <w:pgSz w:w="12240" w:h="15840"/>
          <w:pgMar w:top="1440" w:right="2160" w:bottom="1440" w:left="2160" w:header="720" w:footer="720" w:gutter="0"/>
          <w:cols w:space="720"/>
          <w:docGrid w:linePitch="360"/>
        </w:sectPr>
      </w:pPr>
      <w:r w:rsidRPr="00F629E4">
        <w:rPr>
          <w:rFonts w:eastAsia="Calibri"/>
          <w:lang w:val="es-MX"/>
        </w:rPr>
        <w:t>Estos avances confirman el rol de la comunicación como un componente esencial para el cumplimiento de la misión institucional, el acceso democrático a la cultura y el fortalecimiento de la Red Nacional de Museos.</w:t>
      </w:r>
    </w:p>
    <w:p w14:paraId="11ED51E5" w14:textId="77777777" w:rsidR="006C2A50" w:rsidRPr="006C2A50" w:rsidRDefault="006C2A50" w:rsidP="00DB2C88">
      <w:pPr>
        <w:jc w:val="center"/>
        <w:rPr>
          <w:rFonts w:eastAsia="Calibri"/>
          <w:b/>
          <w:bCs/>
          <w:lang w:val="es-DO"/>
        </w:rPr>
      </w:pPr>
      <w:r w:rsidRPr="006C2A50">
        <w:rPr>
          <w:rFonts w:eastAsia="Calibri"/>
          <w:b/>
          <w:bCs/>
          <w:lang w:val="es-DO"/>
        </w:rPr>
        <w:lastRenderedPageBreak/>
        <w:t>SERVICIO AL CIUDADANO Y TRANSPARENCIA INSTITUCIONAL</w:t>
      </w:r>
    </w:p>
    <w:p w14:paraId="586B6873" w14:textId="77777777" w:rsidR="006C2A50" w:rsidRPr="006C2A50" w:rsidRDefault="006C2A50" w:rsidP="003F639F">
      <w:pPr>
        <w:spacing w:line="360" w:lineRule="auto"/>
        <w:jc w:val="both"/>
        <w:rPr>
          <w:rFonts w:eastAsia="Calibri"/>
          <w:color w:val="4C4747"/>
          <w:sz w:val="18"/>
          <w:lang w:val="es-DO"/>
        </w:rPr>
      </w:pPr>
      <w:r w:rsidRPr="006C2A50">
        <w:rPr>
          <w:rFonts w:eastAsia="Calibri"/>
          <w:noProof/>
          <w:color w:val="4C4747"/>
          <w:sz w:val="18"/>
        </w:rPr>
        <mc:AlternateContent>
          <mc:Choice Requires="wps">
            <w:drawing>
              <wp:anchor distT="0" distB="0" distL="114300" distR="114300" simplePos="0" relativeHeight="251677696" behindDoc="0" locked="0" layoutInCell="1" allowOverlap="1" wp14:anchorId="028F71F4" wp14:editId="7EAF44EF">
                <wp:simplePos x="0" y="0"/>
                <wp:positionH relativeFrom="margin">
                  <wp:align>center</wp:align>
                </wp:positionH>
                <wp:positionV relativeFrom="paragraph">
                  <wp:posOffset>15875</wp:posOffset>
                </wp:positionV>
                <wp:extent cx="463550" cy="0"/>
                <wp:effectExtent l="0" t="1905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ln>
                      </wps:spPr>
                      <wps:bodyPr/>
                    </wps:wsp>
                  </a:graphicData>
                </a:graphic>
              </wp:anchor>
            </w:drawing>
          </mc:Choice>
          <mc:Fallback>
            <w:pict>
              <v:line w14:anchorId="6E75C8B1" id="Straight Connector 3" o:spid="_x0000_s1026" style="position:absolute;z-index:251677696;visibility:visible;mso-wrap-style:square;mso-wrap-distance-left:9pt;mso-wrap-distance-top:0;mso-wrap-distance-right:9pt;mso-wrap-distance-bottom:0;mso-position-horizontal:center;mso-position-horizontal-relative:margin;mso-position-vertical:absolute;mso-position-vertical-relative:text" from="0,1.25pt" to="3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" strokecolor="#ee2a24" strokeweight="2.25pt">
                <v:stroke joinstyle="miter"/>
                <w10:wrap anchorx="margin"/>
              </v:line>
            </w:pict>
          </mc:Fallback>
        </mc:AlternateContent>
      </w:r>
    </w:p>
    <w:p w14:paraId="2B92EEB4" w14:textId="77777777" w:rsidR="006C2A50" w:rsidRPr="006C2A50" w:rsidRDefault="006C2A50" w:rsidP="003F639F">
      <w:pPr>
        <w:spacing w:line="360" w:lineRule="auto"/>
        <w:jc w:val="both"/>
        <w:rPr>
          <w:rFonts w:eastAsia="Calibri"/>
          <w:b/>
          <w:bCs/>
          <w:sz w:val="28"/>
          <w:szCs w:val="28"/>
          <w:lang w:val="es-DO"/>
        </w:rPr>
      </w:pPr>
      <w:r w:rsidRPr="006C2A50">
        <w:rPr>
          <w:rFonts w:eastAsia="Calibri"/>
          <w:b/>
          <w:bCs/>
          <w:sz w:val="28"/>
          <w:szCs w:val="28"/>
          <w:lang w:val="es-DO"/>
        </w:rPr>
        <w:t>5.1 Nivel de la satisfacción con el servicio.</w:t>
      </w:r>
    </w:p>
    <w:p w14:paraId="3EDC2A96" w14:textId="77777777" w:rsidR="006C2A50" w:rsidRPr="006C2A50" w:rsidRDefault="006C2A50" w:rsidP="003F639F">
      <w:pPr>
        <w:spacing w:line="360" w:lineRule="auto"/>
        <w:jc w:val="both"/>
        <w:rPr>
          <w:rFonts w:eastAsia="Calibri"/>
          <w:lang w:val="es-DO"/>
        </w:rPr>
      </w:pPr>
      <w:r w:rsidRPr="006C2A50">
        <w:rPr>
          <w:rFonts w:eastAsia="Calibri"/>
          <w:lang w:val="es-DO"/>
        </w:rPr>
        <w:t xml:space="preserve">Para medir el nivel de satisfacción de los usuarios se aplicó la Encuesta de Satisfacción del Servicio a los visitantes de los museos administrados por la Dirección General de Museos, basado en el levantamiento realizado durante el período agosto de 2024 a agosto de 2025. </w:t>
      </w:r>
    </w:p>
    <w:p w14:paraId="1F5A8301" w14:textId="77777777" w:rsidR="006C2A50" w:rsidRPr="006C2A50" w:rsidRDefault="006C2A50" w:rsidP="003F639F">
      <w:pPr>
        <w:spacing w:line="360" w:lineRule="auto"/>
        <w:jc w:val="both"/>
        <w:rPr>
          <w:rFonts w:eastAsia="Calibri"/>
          <w:b/>
          <w:bCs/>
          <w:lang w:val="es-DO"/>
        </w:rPr>
      </w:pPr>
      <w:r w:rsidRPr="006C2A50">
        <w:rPr>
          <w:rFonts w:eastAsia="Calibri"/>
          <w:lang w:val="es-DO"/>
        </w:rPr>
        <w:t xml:space="preserve">Mediante este estudio pudimos evaluar el nivel de la satisfacción de los visitantes en el Servicio </w:t>
      </w:r>
      <w:r w:rsidRPr="006C2A50">
        <w:rPr>
          <w:rFonts w:eastAsia="Calibri"/>
          <w:b/>
          <w:bCs/>
          <w:lang w:val="es-DO"/>
        </w:rPr>
        <w:t>Presencial Visita a Museos</w:t>
      </w:r>
      <w:r w:rsidRPr="006C2A50">
        <w:rPr>
          <w:rFonts w:eastAsia="Calibri"/>
          <w:lang w:val="es-DO"/>
        </w:rPr>
        <w:t xml:space="preserve">, en cuanto a la calidad y comodidad de las instalaciones, la atención del personal, la diversidad y relevancia de las exposiciones, así como la experiencia general de los visitantes en cada uno de los museos, logrando un </w:t>
      </w:r>
      <w:r w:rsidRPr="006C2A50">
        <w:rPr>
          <w:rFonts w:eastAsia="Calibri"/>
          <w:b/>
          <w:bCs/>
          <w:lang w:val="es-DO"/>
        </w:rPr>
        <w:t>Índice de Satisfacción General de 92.74%.</w:t>
      </w:r>
    </w:p>
    <w:p w14:paraId="6E606DEA" w14:textId="77777777" w:rsidR="006C2A50" w:rsidRDefault="006C2A50" w:rsidP="003F639F">
      <w:pPr>
        <w:spacing w:line="360" w:lineRule="auto"/>
        <w:jc w:val="both"/>
        <w:rPr>
          <w:rFonts w:eastAsia="Calibri"/>
          <w:lang w:val="es-DO"/>
        </w:rPr>
      </w:pPr>
      <w:r w:rsidRPr="006C2A50">
        <w:rPr>
          <w:rFonts w:eastAsia="Calibri"/>
          <w:lang w:val="es-DO"/>
        </w:rPr>
        <w:t>Los resultados obtenidos permitieron a la Institución identificar oportunidades, fortalezas y debilidades, a fin de implementar mejoras estratégicas en el servicio, orientadas a optimizar la gestión y operación de los museos, para continuar ofreciendo una experiencia cultural y educativa memorable.</w:t>
      </w:r>
    </w:p>
    <w:p w14:paraId="04659ED3" w14:textId="77777777" w:rsidR="006C2A50" w:rsidRPr="000D3142" w:rsidRDefault="006C2A50" w:rsidP="003F639F">
      <w:pPr>
        <w:spacing w:line="360" w:lineRule="auto"/>
        <w:jc w:val="both"/>
        <w:rPr>
          <w:rFonts w:eastAsia="Calibri"/>
          <w:lang w:val="es-DO"/>
        </w:rPr>
      </w:pPr>
      <w:r w:rsidRPr="000D3142">
        <w:rPr>
          <w:rFonts w:eastAsia="Calibri"/>
          <w:lang w:val="es-DO"/>
        </w:rPr>
        <w:t>La grafica siguiente muestra el índice de satisfacción del servicio por dimensiones.</w:t>
      </w:r>
    </w:p>
    <w:tbl>
      <w:tblPr>
        <w:tblW w:w="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8"/>
        <w:gridCol w:w="2967"/>
      </w:tblGrid>
      <w:tr w:rsidR="006C2A50" w:rsidRPr="006C2A50" w14:paraId="245C6EFA" w14:textId="77777777" w:rsidTr="003F639F">
        <w:trPr>
          <w:trHeight w:val="201"/>
          <w:jc w:val="center"/>
        </w:trPr>
        <w:tc>
          <w:tcPr>
            <w:tcW w:w="3238" w:type="dxa"/>
            <w:shd w:val="clear" w:color="000000" w:fill="002060"/>
            <w:noWrap/>
            <w:vAlign w:val="center"/>
          </w:tcPr>
          <w:p w14:paraId="6ACF0FC3" w14:textId="77777777" w:rsidR="006C2A50" w:rsidRPr="006C2A50" w:rsidRDefault="006C2A50" w:rsidP="003F639F">
            <w:pPr>
              <w:spacing w:after="0" w:line="240" w:lineRule="auto"/>
              <w:rPr>
                <w:rFonts w:eastAsia="Times New Roman"/>
                <w:b/>
                <w:bCs/>
                <w:color w:val="FFFFFF"/>
                <w:spacing w:val="0"/>
                <w:sz w:val="22"/>
                <w:szCs w:val="22"/>
              </w:rPr>
            </w:pPr>
            <w:proofErr w:type="spellStart"/>
            <w:r w:rsidRPr="006C2A50">
              <w:rPr>
                <w:rFonts w:eastAsia="Times New Roman"/>
                <w:b/>
                <w:bCs/>
                <w:color w:val="FFFFFF"/>
                <w:spacing w:val="0"/>
                <w:sz w:val="22"/>
                <w:szCs w:val="22"/>
              </w:rPr>
              <w:t>Dimensiones</w:t>
            </w:r>
            <w:proofErr w:type="spellEnd"/>
            <w:r w:rsidRPr="006C2A50">
              <w:rPr>
                <w:rFonts w:eastAsia="Times New Roman"/>
                <w:b/>
                <w:bCs/>
                <w:color w:val="FFFFFF"/>
                <w:spacing w:val="0"/>
                <w:sz w:val="22"/>
                <w:szCs w:val="22"/>
              </w:rPr>
              <w:t xml:space="preserve"> </w:t>
            </w:r>
            <w:proofErr w:type="spellStart"/>
            <w:r w:rsidRPr="006C2A50">
              <w:rPr>
                <w:rFonts w:eastAsia="Times New Roman"/>
                <w:b/>
                <w:bCs/>
                <w:color w:val="FFFFFF"/>
                <w:spacing w:val="0"/>
                <w:sz w:val="22"/>
                <w:szCs w:val="22"/>
              </w:rPr>
              <w:t>Evaluadas</w:t>
            </w:r>
            <w:proofErr w:type="spellEnd"/>
          </w:p>
        </w:tc>
        <w:tc>
          <w:tcPr>
            <w:tcW w:w="2967" w:type="dxa"/>
            <w:shd w:val="clear" w:color="000000" w:fill="002060"/>
            <w:noWrap/>
            <w:vAlign w:val="center"/>
          </w:tcPr>
          <w:p w14:paraId="249C89BA" w14:textId="77777777" w:rsidR="006C2A50" w:rsidRPr="006C2A50" w:rsidRDefault="006C2A50" w:rsidP="003F639F">
            <w:pPr>
              <w:spacing w:after="0" w:line="240" w:lineRule="auto"/>
              <w:jc w:val="center"/>
              <w:rPr>
                <w:rFonts w:eastAsia="Times New Roman"/>
                <w:b/>
                <w:bCs/>
                <w:color w:val="FFFFFF"/>
                <w:spacing w:val="0"/>
                <w:sz w:val="22"/>
                <w:szCs w:val="22"/>
              </w:rPr>
            </w:pPr>
            <w:proofErr w:type="spellStart"/>
            <w:r w:rsidRPr="006C2A50">
              <w:rPr>
                <w:rFonts w:eastAsia="Times New Roman"/>
                <w:b/>
                <w:bCs/>
                <w:color w:val="FFFFFF"/>
                <w:spacing w:val="0"/>
                <w:sz w:val="22"/>
                <w:szCs w:val="22"/>
              </w:rPr>
              <w:t>Indice</w:t>
            </w:r>
            <w:proofErr w:type="spellEnd"/>
            <w:r w:rsidRPr="006C2A50">
              <w:rPr>
                <w:rFonts w:eastAsia="Times New Roman"/>
                <w:b/>
                <w:bCs/>
                <w:color w:val="FFFFFF"/>
                <w:spacing w:val="0"/>
                <w:sz w:val="22"/>
                <w:szCs w:val="22"/>
              </w:rPr>
              <w:t xml:space="preserve"> de </w:t>
            </w:r>
            <w:proofErr w:type="spellStart"/>
            <w:r w:rsidRPr="006C2A50">
              <w:rPr>
                <w:rFonts w:eastAsia="Times New Roman"/>
                <w:b/>
                <w:bCs/>
                <w:color w:val="FFFFFF"/>
                <w:spacing w:val="0"/>
                <w:sz w:val="22"/>
                <w:szCs w:val="22"/>
              </w:rPr>
              <w:t>Satisfacción</w:t>
            </w:r>
            <w:proofErr w:type="spellEnd"/>
            <w:r w:rsidRPr="006C2A50">
              <w:rPr>
                <w:rFonts w:eastAsia="Times New Roman"/>
                <w:b/>
                <w:bCs/>
                <w:color w:val="FFFFFF"/>
                <w:spacing w:val="0"/>
                <w:sz w:val="22"/>
                <w:szCs w:val="22"/>
              </w:rPr>
              <w:t xml:space="preserve"> </w:t>
            </w:r>
          </w:p>
        </w:tc>
      </w:tr>
      <w:tr w:rsidR="006C2A50" w:rsidRPr="006C2A50" w14:paraId="43E031E2" w14:textId="77777777" w:rsidTr="003F639F">
        <w:trPr>
          <w:trHeight w:val="167"/>
          <w:jc w:val="center"/>
        </w:trPr>
        <w:tc>
          <w:tcPr>
            <w:tcW w:w="3238" w:type="dxa"/>
            <w:noWrap/>
            <w:vAlign w:val="center"/>
          </w:tcPr>
          <w:p w14:paraId="091A2E76" w14:textId="77777777" w:rsidR="006C2A50" w:rsidRPr="006C2A50" w:rsidRDefault="006C2A50" w:rsidP="003F639F">
            <w:pPr>
              <w:spacing w:after="0" w:line="240" w:lineRule="auto"/>
              <w:rPr>
                <w:rFonts w:eastAsia="Calibri"/>
                <w:spacing w:val="18"/>
                <w:sz w:val="22"/>
                <w:szCs w:val="22"/>
                <w:lang w:val="es-DO"/>
              </w:rPr>
            </w:pPr>
            <w:r w:rsidRPr="006C2A50">
              <w:rPr>
                <w:rFonts w:eastAsia="Calibri"/>
                <w:spacing w:val="18"/>
                <w:sz w:val="22"/>
                <w:szCs w:val="22"/>
                <w:lang w:val="es-DO"/>
              </w:rPr>
              <w:t>Elementos Tangibles</w:t>
            </w:r>
          </w:p>
        </w:tc>
        <w:tc>
          <w:tcPr>
            <w:tcW w:w="2967" w:type="dxa"/>
            <w:noWrap/>
            <w:vAlign w:val="center"/>
          </w:tcPr>
          <w:p w14:paraId="4C751CD7" w14:textId="77777777" w:rsidR="006C2A50" w:rsidRPr="006C2A50" w:rsidRDefault="006C2A50" w:rsidP="003F639F">
            <w:pPr>
              <w:spacing w:after="0" w:line="240" w:lineRule="auto"/>
              <w:jc w:val="center"/>
              <w:rPr>
                <w:rFonts w:eastAsia="Calibri"/>
                <w:spacing w:val="18"/>
                <w:sz w:val="22"/>
                <w:szCs w:val="22"/>
                <w:lang w:val="es-DO"/>
              </w:rPr>
            </w:pPr>
            <w:r w:rsidRPr="006C2A50">
              <w:rPr>
                <w:rFonts w:eastAsia="Calibri"/>
                <w:spacing w:val="18"/>
                <w:sz w:val="22"/>
                <w:szCs w:val="22"/>
                <w:lang w:val="es-DO"/>
              </w:rPr>
              <w:t>90.08%</w:t>
            </w:r>
          </w:p>
        </w:tc>
      </w:tr>
      <w:tr w:rsidR="006C2A50" w:rsidRPr="006C2A50" w14:paraId="2D6B10AF" w14:textId="77777777" w:rsidTr="003F639F">
        <w:trPr>
          <w:trHeight w:val="20"/>
          <w:jc w:val="center"/>
        </w:trPr>
        <w:tc>
          <w:tcPr>
            <w:tcW w:w="3238" w:type="dxa"/>
            <w:noWrap/>
            <w:vAlign w:val="center"/>
          </w:tcPr>
          <w:p w14:paraId="0AE67369" w14:textId="77777777" w:rsidR="006C2A50" w:rsidRPr="006C2A50" w:rsidRDefault="006C2A50" w:rsidP="003F639F">
            <w:pPr>
              <w:spacing w:after="0" w:line="240" w:lineRule="auto"/>
              <w:rPr>
                <w:rFonts w:eastAsia="Calibri"/>
                <w:spacing w:val="18"/>
                <w:sz w:val="22"/>
                <w:szCs w:val="22"/>
                <w:lang w:val="es-DO"/>
              </w:rPr>
            </w:pPr>
            <w:r w:rsidRPr="006C2A50">
              <w:rPr>
                <w:rFonts w:eastAsia="Calibri"/>
                <w:spacing w:val="18"/>
                <w:sz w:val="22"/>
                <w:szCs w:val="22"/>
                <w:lang w:val="es-DO"/>
              </w:rPr>
              <w:t>Fiabilidad y Seguridad</w:t>
            </w:r>
          </w:p>
        </w:tc>
        <w:tc>
          <w:tcPr>
            <w:tcW w:w="2967" w:type="dxa"/>
            <w:noWrap/>
            <w:vAlign w:val="center"/>
          </w:tcPr>
          <w:p w14:paraId="45E6417C" w14:textId="77777777" w:rsidR="006C2A50" w:rsidRPr="006C2A50" w:rsidRDefault="006C2A50" w:rsidP="003F639F">
            <w:pPr>
              <w:spacing w:after="0" w:line="240" w:lineRule="auto"/>
              <w:jc w:val="center"/>
              <w:rPr>
                <w:rFonts w:eastAsia="Calibri"/>
                <w:spacing w:val="18"/>
                <w:sz w:val="22"/>
                <w:szCs w:val="22"/>
                <w:lang w:val="es-DO"/>
              </w:rPr>
            </w:pPr>
            <w:r w:rsidRPr="006C2A50">
              <w:rPr>
                <w:rFonts w:eastAsia="Calibri"/>
                <w:spacing w:val="18"/>
                <w:sz w:val="22"/>
                <w:szCs w:val="22"/>
                <w:lang w:val="es-DO"/>
              </w:rPr>
              <w:t>93.61%</w:t>
            </w:r>
          </w:p>
        </w:tc>
      </w:tr>
      <w:tr w:rsidR="006C2A50" w:rsidRPr="006C2A50" w14:paraId="1DBADC17" w14:textId="77777777" w:rsidTr="003F639F">
        <w:trPr>
          <w:trHeight w:val="58"/>
          <w:jc w:val="center"/>
        </w:trPr>
        <w:tc>
          <w:tcPr>
            <w:tcW w:w="3238" w:type="dxa"/>
            <w:noWrap/>
            <w:vAlign w:val="center"/>
          </w:tcPr>
          <w:p w14:paraId="7F6BCCDB" w14:textId="77777777" w:rsidR="006C2A50" w:rsidRPr="006C2A50" w:rsidRDefault="006C2A50" w:rsidP="003F639F">
            <w:pPr>
              <w:spacing w:after="0" w:line="240" w:lineRule="auto"/>
              <w:rPr>
                <w:rFonts w:eastAsia="Calibri"/>
                <w:spacing w:val="18"/>
                <w:sz w:val="22"/>
                <w:szCs w:val="22"/>
                <w:lang w:val="es-DO"/>
              </w:rPr>
            </w:pPr>
            <w:r w:rsidRPr="006C2A50">
              <w:rPr>
                <w:rFonts w:eastAsia="Calibri"/>
                <w:spacing w:val="18"/>
                <w:sz w:val="22"/>
                <w:szCs w:val="22"/>
                <w:lang w:val="es-DO"/>
              </w:rPr>
              <w:t>Capacidad de Respuesta</w:t>
            </w:r>
          </w:p>
        </w:tc>
        <w:tc>
          <w:tcPr>
            <w:tcW w:w="2967" w:type="dxa"/>
            <w:noWrap/>
            <w:vAlign w:val="center"/>
          </w:tcPr>
          <w:p w14:paraId="659EF21B" w14:textId="77777777" w:rsidR="006C2A50" w:rsidRPr="006C2A50" w:rsidRDefault="006C2A50" w:rsidP="003F639F">
            <w:pPr>
              <w:spacing w:after="0" w:line="240" w:lineRule="auto"/>
              <w:jc w:val="center"/>
              <w:rPr>
                <w:rFonts w:eastAsia="Calibri"/>
                <w:spacing w:val="18"/>
                <w:sz w:val="22"/>
                <w:szCs w:val="22"/>
                <w:lang w:val="es-DO"/>
              </w:rPr>
            </w:pPr>
            <w:r w:rsidRPr="006C2A50">
              <w:rPr>
                <w:rFonts w:eastAsia="Calibri"/>
                <w:spacing w:val="18"/>
                <w:sz w:val="22"/>
                <w:szCs w:val="22"/>
                <w:lang w:val="es-DO"/>
              </w:rPr>
              <w:t>93.92%</w:t>
            </w:r>
          </w:p>
        </w:tc>
      </w:tr>
      <w:tr w:rsidR="006C2A50" w:rsidRPr="006C2A50" w14:paraId="6E5AFB80" w14:textId="77777777" w:rsidTr="003F639F">
        <w:trPr>
          <w:trHeight w:val="20"/>
          <w:jc w:val="center"/>
        </w:trPr>
        <w:tc>
          <w:tcPr>
            <w:tcW w:w="3238" w:type="dxa"/>
            <w:noWrap/>
            <w:vAlign w:val="center"/>
          </w:tcPr>
          <w:p w14:paraId="249A0F83" w14:textId="77777777" w:rsidR="006C2A50" w:rsidRPr="006C2A50" w:rsidRDefault="006C2A50" w:rsidP="003F639F">
            <w:pPr>
              <w:spacing w:after="0" w:line="240" w:lineRule="auto"/>
              <w:rPr>
                <w:rFonts w:eastAsia="Calibri"/>
                <w:spacing w:val="18"/>
                <w:sz w:val="22"/>
                <w:szCs w:val="22"/>
                <w:lang w:val="es-DO"/>
              </w:rPr>
            </w:pPr>
            <w:r w:rsidRPr="006C2A50">
              <w:rPr>
                <w:rFonts w:eastAsia="Calibri"/>
                <w:spacing w:val="18"/>
                <w:sz w:val="22"/>
                <w:szCs w:val="22"/>
                <w:lang w:val="es-DO"/>
              </w:rPr>
              <w:t xml:space="preserve">Empatía </w:t>
            </w:r>
          </w:p>
        </w:tc>
        <w:tc>
          <w:tcPr>
            <w:tcW w:w="2967" w:type="dxa"/>
            <w:noWrap/>
            <w:vAlign w:val="center"/>
          </w:tcPr>
          <w:p w14:paraId="4551CE0F" w14:textId="77777777" w:rsidR="006C2A50" w:rsidRPr="006C2A50" w:rsidRDefault="006C2A50" w:rsidP="003F639F">
            <w:pPr>
              <w:spacing w:after="0" w:line="240" w:lineRule="auto"/>
              <w:jc w:val="center"/>
              <w:rPr>
                <w:rFonts w:eastAsia="Calibri"/>
                <w:spacing w:val="18"/>
                <w:sz w:val="22"/>
                <w:szCs w:val="22"/>
                <w:lang w:val="es-DO"/>
              </w:rPr>
            </w:pPr>
            <w:r w:rsidRPr="006C2A50">
              <w:rPr>
                <w:rFonts w:eastAsia="Calibri"/>
                <w:spacing w:val="18"/>
                <w:sz w:val="22"/>
                <w:szCs w:val="22"/>
                <w:lang w:val="es-DO"/>
              </w:rPr>
              <w:t>93.36%</w:t>
            </w:r>
          </w:p>
        </w:tc>
      </w:tr>
      <w:tr w:rsidR="006C2A50" w:rsidRPr="006C2A50" w14:paraId="547DA8F7" w14:textId="77777777" w:rsidTr="003F639F">
        <w:trPr>
          <w:trHeight w:val="201"/>
          <w:jc w:val="center"/>
        </w:trPr>
        <w:tc>
          <w:tcPr>
            <w:tcW w:w="3238" w:type="dxa"/>
            <w:shd w:val="clear" w:color="000000" w:fill="002060"/>
            <w:noWrap/>
            <w:vAlign w:val="center"/>
          </w:tcPr>
          <w:p w14:paraId="336F467A" w14:textId="77777777" w:rsidR="006C2A50" w:rsidRPr="006C2A50" w:rsidRDefault="006C2A50" w:rsidP="003F639F">
            <w:pPr>
              <w:spacing w:after="0" w:line="240" w:lineRule="auto"/>
              <w:rPr>
                <w:rFonts w:eastAsia="Times New Roman"/>
                <w:b/>
                <w:bCs/>
                <w:color w:val="FFFFFF"/>
                <w:spacing w:val="0"/>
                <w:sz w:val="22"/>
                <w:szCs w:val="22"/>
              </w:rPr>
            </w:pPr>
            <w:proofErr w:type="spellStart"/>
            <w:r w:rsidRPr="006C2A50">
              <w:rPr>
                <w:rFonts w:eastAsia="Times New Roman"/>
                <w:b/>
                <w:bCs/>
                <w:color w:val="FFFFFF"/>
                <w:spacing w:val="0"/>
                <w:sz w:val="22"/>
                <w:szCs w:val="22"/>
              </w:rPr>
              <w:t>Indice</w:t>
            </w:r>
            <w:proofErr w:type="spellEnd"/>
            <w:r w:rsidRPr="006C2A50">
              <w:rPr>
                <w:rFonts w:eastAsia="Times New Roman"/>
                <w:b/>
                <w:bCs/>
                <w:color w:val="FFFFFF"/>
                <w:spacing w:val="0"/>
                <w:sz w:val="22"/>
                <w:szCs w:val="22"/>
              </w:rPr>
              <w:t xml:space="preserve"> de </w:t>
            </w:r>
            <w:r w:rsidRPr="006C2A50">
              <w:rPr>
                <w:rFonts w:eastAsia="Times New Roman"/>
                <w:b/>
                <w:bCs/>
                <w:color w:val="FFFFFF"/>
                <w:spacing w:val="0"/>
                <w:sz w:val="22"/>
                <w:szCs w:val="22"/>
                <w:lang w:val="es-ES_tradnl"/>
              </w:rPr>
              <w:t>Satisfacción</w:t>
            </w:r>
            <w:r w:rsidRPr="006C2A50">
              <w:rPr>
                <w:rFonts w:eastAsia="Times New Roman"/>
                <w:b/>
                <w:bCs/>
                <w:color w:val="FFFFFF"/>
                <w:spacing w:val="0"/>
                <w:sz w:val="22"/>
                <w:szCs w:val="22"/>
              </w:rPr>
              <w:t xml:space="preserve"> General</w:t>
            </w:r>
          </w:p>
        </w:tc>
        <w:tc>
          <w:tcPr>
            <w:tcW w:w="2967" w:type="dxa"/>
            <w:shd w:val="clear" w:color="000000" w:fill="002060"/>
            <w:noWrap/>
            <w:vAlign w:val="center"/>
          </w:tcPr>
          <w:p w14:paraId="4EEF7C3A" w14:textId="77777777" w:rsidR="006C2A50" w:rsidRPr="006C2A50" w:rsidRDefault="006C2A50" w:rsidP="003F639F">
            <w:pPr>
              <w:spacing w:after="0" w:line="240" w:lineRule="auto"/>
              <w:jc w:val="center"/>
              <w:rPr>
                <w:rFonts w:eastAsia="Times New Roman"/>
                <w:b/>
                <w:bCs/>
                <w:color w:val="FFFFFF"/>
                <w:spacing w:val="0"/>
                <w:sz w:val="22"/>
                <w:szCs w:val="22"/>
              </w:rPr>
            </w:pPr>
            <w:r w:rsidRPr="006C2A50">
              <w:rPr>
                <w:rFonts w:eastAsia="Times New Roman"/>
                <w:b/>
                <w:bCs/>
                <w:color w:val="FFFFFF"/>
                <w:spacing w:val="0"/>
                <w:sz w:val="22"/>
                <w:szCs w:val="22"/>
              </w:rPr>
              <w:t>92.74%</w:t>
            </w:r>
          </w:p>
        </w:tc>
      </w:tr>
    </w:tbl>
    <w:p w14:paraId="73C7FB25" w14:textId="65431167" w:rsidR="006C2A50" w:rsidRPr="006C2A50" w:rsidRDefault="006C2A50" w:rsidP="006C2A50">
      <w:pPr>
        <w:jc w:val="both"/>
        <w:rPr>
          <w:rFonts w:eastAsia="Calibri"/>
          <w:b/>
          <w:bCs/>
          <w:i/>
          <w:iCs/>
          <w:sz w:val="18"/>
          <w:szCs w:val="18"/>
          <w:lang w:val="es-DO"/>
        </w:rPr>
      </w:pPr>
      <w:r w:rsidRPr="006C2A50">
        <w:rPr>
          <w:rFonts w:eastAsia="Calibri"/>
          <w:b/>
          <w:bCs/>
          <w:i/>
          <w:iCs/>
          <w:sz w:val="18"/>
          <w:szCs w:val="18"/>
          <w:lang w:val="es-DO"/>
        </w:rPr>
        <w:t xml:space="preserve">                   Cuadro No. </w:t>
      </w:r>
      <w:r w:rsidR="003F639F">
        <w:rPr>
          <w:rFonts w:eastAsia="Calibri"/>
          <w:b/>
          <w:bCs/>
          <w:i/>
          <w:iCs/>
          <w:sz w:val="18"/>
          <w:szCs w:val="18"/>
          <w:lang w:val="es-DO"/>
        </w:rPr>
        <w:t>28</w:t>
      </w:r>
      <w:r w:rsidRPr="006C2A50">
        <w:rPr>
          <w:rFonts w:eastAsia="Calibri"/>
          <w:b/>
          <w:bCs/>
          <w:i/>
          <w:iCs/>
          <w:sz w:val="18"/>
          <w:szCs w:val="18"/>
          <w:lang w:val="es-DO"/>
        </w:rPr>
        <w:t xml:space="preserve"> </w:t>
      </w:r>
      <w:r w:rsidR="003F639F" w:rsidRPr="006C2A50">
        <w:rPr>
          <w:rFonts w:eastAsia="Calibri"/>
          <w:b/>
          <w:bCs/>
          <w:i/>
          <w:iCs/>
          <w:sz w:val="18"/>
          <w:szCs w:val="18"/>
          <w:lang w:val="es-DO"/>
        </w:rPr>
        <w:t>Índice</w:t>
      </w:r>
      <w:r w:rsidRPr="006C2A50">
        <w:rPr>
          <w:rFonts w:eastAsia="Calibri"/>
          <w:b/>
          <w:bCs/>
          <w:i/>
          <w:iCs/>
          <w:sz w:val="18"/>
          <w:szCs w:val="18"/>
          <w:lang w:val="es-DO"/>
        </w:rPr>
        <w:t xml:space="preserve"> de satisfacción por dimensiones </w:t>
      </w:r>
    </w:p>
    <w:p w14:paraId="59FABE77" w14:textId="77777777" w:rsidR="006C2A50" w:rsidRPr="006C2A50" w:rsidRDefault="006C2A50" w:rsidP="006C2A50">
      <w:pPr>
        <w:jc w:val="both"/>
        <w:rPr>
          <w:rFonts w:eastAsia="Calibri"/>
          <w:b/>
          <w:bCs/>
          <w:lang w:val="es-DO"/>
        </w:rPr>
      </w:pPr>
    </w:p>
    <w:p w14:paraId="09A4C198" w14:textId="77777777" w:rsidR="006C2A50" w:rsidRPr="006C2A50" w:rsidRDefault="006C2A50" w:rsidP="006C2A50">
      <w:pPr>
        <w:spacing w:after="0"/>
        <w:jc w:val="center"/>
        <w:rPr>
          <w:rFonts w:eastAsia="Calibri"/>
          <w:b/>
          <w:bCs/>
          <w:lang w:val="es-DO"/>
        </w:rPr>
      </w:pPr>
      <w:r w:rsidRPr="006C2A50">
        <w:rPr>
          <w:rFonts w:eastAsia="Calibri"/>
          <w:b/>
          <w:bCs/>
          <w:lang w:val="es-DO"/>
        </w:rPr>
        <w:lastRenderedPageBreak/>
        <w:t>Servicio Presencial Visita a Museos</w:t>
      </w:r>
    </w:p>
    <w:p w14:paraId="10A396F3" w14:textId="77777777" w:rsidR="006C2A50" w:rsidRPr="006C2A50" w:rsidRDefault="006C2A50" w:rsidP="006C2A50">
      <w:pPr>
        <w:spacing w:after="0"/>
        <w:jc w:val="center"/>
        <w:rPr>
          <w:rFonts w:eastAsia="Calibri"/>
          <w:b/>
          <w:bCs/>
          <w:lang w:val="es-DO"/>
        </w:rPr>
      </w:pPr>
      <w:r w:rsidRPr="006C2A50">
        <w:rPr>
          <w:rFonts w:eastAsia="Calibri"/>
          <w:b/>
          <w:bCs/>
          <w:lang w:val="es-DO"/>
        </w:rPr>
        <w:t>Índice de Satisfacción por Dimensiones</w:t>
      </w:r>
    </w:p>
    <w:p w14:paraId="6EE29AA0" w14:textId="77777777" w:rsidR="006C2A50" w:rsidRPr="006C2A50" w:rsidRDefault="006C2A50" w:rsidP="006C2A50">
      <w:pPr>
        <w:jc w:val="both"/>
        <w:rPr>
          <w:rFonts w:eastAsia="Calibri"/>
          <w:b/>
          <w:bCs/>
          <w:lang w:val="es-DO"/>
        </w:rPr>
      </w:pPr>
    </w:p>
    <w:p w14:paraId="0652EEBB" w14:textId="77777777" w:rsidR="006C2A50" w:rsidRPr="006C2A50" w:rsidRDefault="006C2A50" w:rsidP="006C2A50">
      <w:pPr>
        <w:jc w:val="center"/>
        <w:rPr>
          <w:rFonts w:eastAsia="Calibri"/>
          <w:b/>
          <w:bCs/>
          <w:lang w:val="es-DO"/>
        </w:rPr>
      </w:pPr>
      <w:r w:rsidRPr="006C2A50">
        <w:rPr>
          <w:rFonts w:eastAsia="Calibri"/>
          <w:noProof/>
        </w:rPr>
        <w:drawing>
          <wp:inline distT="0" distB="0" distL="0" distR="0" wp14:anchorId="05DC2967" wp14:editId="6A2D015F">
            <wp:extent cx="5095875" cy="3200400"/>
            <wp:effectExtent l="0" t="0" r="9525" b="0"/>
            <wp:docPr id="2" name="Gráfico 2">
              <a:extLst xmlns:a="http://schemas.openxmlformats.org/drawingml/2006/main">
                <a:ext uri="{FF2B5EF4-FFF2-40B4-BE49-F238E27FC236}">
                  <a16:creationId xmlns:a16="http://schemas.microsoft.com/office/drawing/2014/main" id="{F3714E1A-0222-4434-BD7B-B97380EE1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69D2020" w14:textId="1950AFF5" w:rsidR="006C2A50" w:rsidRPr="006C2A50" w:rsidRDefault="006C2A50" w:rsidP="006C2A50">
      <w:pPr>
        <w:jc w:val="both"/>
        <w:rPr>
          <w:rFonts w:eastAsia="Calibri"/>
          <w:b/>
          <w:bCs/>
          <w:i/>
          <w:iCs/>
          <w:sz w:val="18"/>
          <w:szCs w:val="18"/>
          <w:lang w:val="es-DO"/>
        </w:rPr>
      </w:pPr>
      <w:r w:rsidRPr="006C2A50">
        <w:rPr>
          <w:rFonts w:eastAsia="Calibri"/>
          <w:b/>
          <w:bCs/>
          <w:i/>
          <w:iCs/>
          <w:sz w:val="18"/>
          <w:szCs w:val="18"/>
          <w:lang w:val="es-DO"/>
        </w:rPr>
        <w:t xml:space="preserve">        Gráfico No. XX </w:t>
      </w:r>
      <w:r w:rsidR="000D3142" w:rsidRPr="006C2A50">
        <w:rPr>
          <w:rFonts w:eastAsia="Calibri"/>
          <w:b/>
          <w:bCs/>
          <w:i/>
          <w:iCs/>
          <w:sz w:val="18"/>
          <w:szCs w:val="18"/>
          <w:lang w:val="es-DO"/>
        </w:rPr>
        <w:t>Índice</w:t>
      </w:r>
      <w:r w:rsidRPr="006C2A50">
        <w:rPr>
          <w:rFonts w:eastAsia="Calibri"/>
          <w:b/>
          <w:bCs/>
          <w:i/>
          <w:iCs/>
          <w:sz w:val="18"/>
          <w:szCs w:val="18"/>
          <w:lang w:val="es-DO"/>
        </w:rPr>
        <w:t xml:space="preserve"> de satisfacción por dimensiones </w:t>
      </w:r>
    </w:p>
    <w:p w14:paraId="44E63B33" w14:textId="77777777" w:rsidR="006C2A50" w:rsidRPr="006C2A50" w:rsidRDefault="006C2A50" w:rsidP="003F639F">
      <w:pPr>
        <w:spacing w:line="360" w:lineRule="auto"/>
        <w:jc w:val="both"/>
        <w:rPr>
          <w:rFonts w:eastAsia="Calibri"/>
          <w:b/>
          <w:bCs/>
          <w:sz w:val="28"/>
          <w:szCs w:val="28"/>
          <w:lang w:val="es-DO"/>
        </w:rPr>
      </w:pPr>
    </w:p>
    <w:p w14:paraId="4F79E99F" w14:textId="77777777" w:rsidR="006C2A50" w:rsidRPr="006C2A50" w:rsidRDefault="006C2A50" w:rsidP="003F639F">
      <w:pPr>
        <w:spacing w:line="360" w:lineRule="auto"/>
        <w:jc w:val="both"/>
        <w:rPr>
          <w:rFonts w:eastAsia="Calibri"/>
          <w:b/>
          <w:bCs/>
          <w:sz w:val="28"/>
          <w:szCs w:val="28"/>
          <w:lang w:val="es-DO"/>
        </w:rPr>
      </w:pPr>
      <w:r w:rsidRPr="006C2A50">
        <w:rPr>
          <w:rFonts w:eastAsia="Calibri"/>
          <w:b/>
          <w:bCs/>
          <w:sz w:val="28"/>
          <w:szCs w:val="28"/>
          <w:lang w:val="es-DO"/>
        </w:rPr>
        <w:t>5.2 Nivel de cumplimiento acceso a la información</w:t>
      </w:r>
    </w:p>
    <w:p w14:paraId="1304474A" w14:textId="77777777" w:rsidR="006C2A50" w:rsidRPr="006C2A50" w:rsidRDefault="006C2A50" w:rsidP="003F639F">
      <w:pPr>
        <w:spacing w:line="360" w:lineRule="auto"/>
        <w:jc w:val="both"/>
        <w:rPr>
          <w:rFonts w:eastAsia="Calibri"/>
          <w:lang w:val="es-DO"/>
        </w:rPr>
      </w:pPr>
      <w:r w:rsidRPr="006C2A50">
        <w:rPr>
          <w:rFonts w:eastAsia="Calibri"/>
          <w:lang w:val="es-DO"/>
        </w:rPr>
        <w:t xml:space="preserve">Durante el año 2025, continuamos con el fortalecimiento de la transparencia y el servicio al ciudadano a través del portal institucional y las vías de contacto por el correo </w:t>
      </w:r>
      <w:hyperlink r:id="rId46" w:history="1">
        <w:r w:rsidRPr="006C2A50">
          <w:rPr>
            <w:rFonts w:eastAsia="Calibri"/>
            <w:color w:val="0563C1"/>
            <w:u w:val="single"/>
            <w:lang w:val="es-DO"/>
          </w:rPr>
          <w:t>info@dgm.gob.do</w:t>
        </w:r>
      </w:hyperlink>
      <w:r w:rsidRPr="006C2A50">
        <w:rPr>
          <w:rFonts w:eastAsia="Calibri"/>
          <w:lang w:val="es-DO"/>
        </w:rPr>
        <w:t>.</w:t>
      </w:r>
    </w:p>
    <w:p w14:paraId="262FA326" w14:textId="77777777" w:rsidR="006C2A50" w:rsidRPr="006C2A50" w:rsidRDefault="006C2A50" w:rsidP="003F639F">
      <w:pPr>
        <w:spacing w:line="360" w:lineRule="auto"/>
        <w:jc w:val="both"/>
        <w:rPr>
          <w:rFonts w:eastAsia="Calibri"/>
          <w:lang w:val="es-DO"/>
        </w:rPr>
      </w:pPr>
      <w:r w:rsidRPr="006C2A50">
        <w:rPr>
          <w:rFonts w:eastAsia="Calibri"/>
          <w:lang w:val="es-DO"/>
        </w:rPr>
        <w:t>La Oficina de Libre Acceso a la información de la (DGM), en colaboración de las distintas unidades recibió y tramitó entre enero y diciembre de 2025, un total de 475 solicitudes de información a través de los diversos medios disponibles tales como: solicitudes realizadas de manera presencial, a través de la línea 3-1-1, correo electrónico y Portal Único de Libre Acceso a la Información (SAIP), conforme se indica en el cuadro siguiente:</w:t>
      </w:r>
    </w:p>
    <w:tbl>
      <w:tblPr>
        <w:tblW w:w="8815" w:type="dxa"/>
        <w:jc w:val="center"/>
        <w:tblCellMar>
          <w:left w:w="70" w:type="dxa"/>
          <w:right w:w="70" w:type="dxa"/>
        </w:tblCellMar>
        <w:tblLook w:val="04A0" w:firstRow="1" w:lastRow="0" w:firstColumn="1" w:lastColumn="0" w:noHBand="0" w:noVBand="1"/>
      </w:tblPr>
      <w:tblGrid>
        <w:gridCol w:w="2065"/>
        <w:gridCol w:w="441"/>
        <w:gridCol w:w="450"/>
        <w:gridCol w:w="540"/>
        <w:gridCol w:w="540"/>
        <w:gridCol w:w="540"/>
        <w:gridCol w:w="540"/>
        <w:gridCol w:w="540"/>
        <w:gridCol w:w="450"/>
        <w:gridCol w:w="540"/>
        <w:gridCol w:w="420"/>
        <w:gridCol w:w="480"/>
        <w:gridCol w:w="450"/>
        <w:gridCol w:w="819"/>
      </w:tblGrid>
      <w:tr w:rsidR="006C2A50" w:rsidRPr="006C2A50" w14:paraId="40193B71" w14:textId="77777777" w:rsidTr="00380477">
        <w:trPr>
          <w:trHeight w:val="360"/>
          <w:jc w:val="center"/>
        </w:trPr>
        <w:tc>
          <w:tcPr>
            <w:tcW w:w="2065"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0C92A44D"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lastRenderedPageBreak/>
              <w:t>Informaciones solicitadas</w:t>
            </w:r>
          </w:p>
        </w:tc>
        <w:tc>
          <w:tcPr>
            <w:tcW w:w="441" w:type="dxa"/>
            <w:tcBorders>
              <w:top w:val="single" w:sz="4" w:space="0" w:color="auto"/>
              <w:left w:val="nil"/>
              <w:bottom w:val="single" w:sz="4" w:space="0" w:color="auto"/>
              <w:right w:val="single" w:sz="4" w:space="0" w:color="auto"/>
            </w:tcBorders>
            <w:shd w:val="clear" w:color="auto" w:fill="011C50"/>
            <w:noWrap/>
            <w:vAlign w:val="center"/>
          </w:tcPr>
          <w:p w14:paraId="70B5D9FD"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Ene</w:t>
            </w:r>
          </w:p>
        </w:tc>
        <w:tc>
          <w:tcPr>
            <w:tcW w:w="450" w:type="dxa"/>
            <w:tcBorders>
              <w:top w:val="single" w:sz="4" w:space="0" w:color="auto"/>
              <w:left w:val="nil"/>
              <w:bottom w:val="single" w:sz="4" w:space="0" w:color="auto"/>
              <w:right w:val="single" w:sz="4" w:space="0" w:color="auto"/>
            </w:tcBorders>
            <w:shd w:val="clear" w:color="auto" w:fill="011C50"/>
            <w:noWrap/>
            <w:vAlign w:val="center"/>
          </w:tcPr>
          <w:p w14:paraId="0B78ABB6"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Feb</w:t>
            </w: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2F600EB4"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Mar</w:t>
            </w: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1320E1F7"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Abr</w:t>
            </w: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6F897AA6"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May</w:t>
            </w: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08331BCF"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Jun</w:t>
            </w: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2BBE7E16"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Jul</w:t>
            </w:r>
          </w:p>
        </w:tc>
        <w:tc>
          <w:tcPr>
            <w:tcW w:w="450" w:type="dxa"/>
            <w:tcBorders>
              <w:top w:val="single" w:sz="4" w:space="0" w:color="auto"/>
              <w:left w:val="nil"/>
              <w:bottom w:val="single" w:sz="4" w:space="0" w:color="auto"/>
              <w:right w:val="single" w:sz="4" w:space="0" w:color="auto"/>
            </w:tcBorders>
            <w:shd w:val="clear" w:color="auto" w:fill="011C50"/>
            <w:noWrap/>
            <w:vAlign w:val="center"/>
          </w:tcPr>
          <w:p w14:paraId="45F7DA13"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roofErr w:type="spellStart"/>
            <w:r w:rsidRPr="006C2A50">
              <w:rPr>
                <w:rFonts w:eastAsia="Times New Roman"/>
                <w:b/>
                <w:bCs/>
                <w:color w:val="FFFFFF"/>
                <w:spacing w:val="0"/>
                <w:sz w:val="18"/>
                <w:szCs w:val="18"/>
                <w:lang w:val="es-DO" w:eastAsia="es-DO"/>
              </w:rPr>
              <w:t>Ago</w:t>
            </w:r>
            <w:proofErr w:type="spellEnd"/>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5075DAB3"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Sept</w:t>
            </w:r>
          </w:p>
        </w:tc>
        <w:tc>
          <w:tcPr>
            <w:tcW w:w="420" w:type="dxa"/>
            <w:tcBorders>
              <w:top w:val="single" w:sz="4" w:space="0" w:color="auto"/>
              <w:left w:val="nil"/>
              <w:bottom w:val="single" w:sz="4" w:space="0" w:color="auto"/>
              <w:right w:val="single" w:sz="4" w:space="0" w:color="auto"/>
            </w:tcBorders>
            <w:shd w:val="clear" w:color="auto" w:fill="011C50"/>
            <w:noWrap/>
            <w:vAlign w:val="center"/>
          </w:tcPr>
          <w:p w14:paraId="5453F006"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Oct</w:t>
            </w:r>
          </w:p>
        </w:tc>
        <w:tc>
          <w:tcPr>
            <w:tcW w:w="480" w:type="dxa"/>
            <w:tcBorders>
              <w:top w:val="single" w:sz="4" w:space="0" w:color="auto"/>
              <w:left w:val="nil"/>
              <w:bottom w:val="single" w:sz="4" w:space="0" w:color="auto"/>
              <w:right w:val="single" w:sz="4" w:space="0" w:color="auto"/>
            </w:tcBorders>
            <w:shd w:val="clear" w:color="auto" w:fill="011C50"/>
            <w:noWrap/>
            <w:vAlign w:val="center"/>
          </w:tcPr>
          <w:p w14:paraId="332BFEB5"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Nov</w:t>
            </w:r>
          </w:p>
        </w:tc>
        <w:tc>
          <w:tcPr>
            <w:tcW w:w="450" w:type="dxa"/>
            <w:tcBorders>
              <w:top w:val="single" w:sz="4" w:space="0" w:color="auto"/>
              <w:left w:val="nil"/>
              <w:bottom w:val="single" w:sz="4" w:space="0" w:color="auto"/>
              <w:right w:val="single" w:sz="4" w:space="0" w:color="auto"/>
            </w:tcBorders>
            <w:shd w:val="clear" w:color="auto" w:fill="011C50"/>
            <w:noWrap/>
            <w:vAlign w:val="center"/>
          </w:tcPr>
          <w:p w14:paraId="39D72824"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Dic</w:t>
            </w:r>
          </w:p>
        </w:tc>
        <w:tc>
          <w:tcPr>
            <w:tcW w:w="819" w:type="dxa"/>
            <w:tcBorders>
              <w:top w:val="single" w:sz="4" w:space="0" w:color="auto"/>
              <w:left w:val="nil"/>
              <w:bottom w:val="single" w:sz="4" w:space="0" w:color="auto"/>
              <w:right w:val="single" w:sz="4" w:space="0" w:color="auto"/>
            </w:tcBorders>
            <w:shd w:val="clear" w:color="auto" w:fill="011C50"/>
            <w:noWrap/>
            <w:vAlign w:val="center"/>
          </w:tcPr>
          <w:p w14:paraId="0E2BC45F"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Totales</w:t>
            </w:r>
          </w:p>
        </w:tc>
      </w:tr>
      <w:tr w:rsidR="006C2A50" w:rsidRPr="006C2A50" w14:paraId="25C7DD22" w14:textId="77777777" w:rsidTr="00380477">
        <w:trPr>
          <w:trHeight w:val="360"/>
          <w:jc w:val="center"/>
        </w:trPr>
        <w:tc>
          <w:tcPr>
            <w:tcW w:w="2065" w:type="dxa"/>
            <w:tcBorders>
              <w:top w:val="single" w:sz="4" w:space="0" w:color="auto"/>
              <w:left w:val="single" w:sz="4" w:space="0" w:color="auto"/>
              <w:bottom w:val="single" w:sz="4" w:space="0" w:color="auto"/>
              <w:right w:val="single" w:sz="4" w:space="0" w:color="auto"/>
            </w:tcBorders>
            <w:shd w:val="clear" w:color="auto" w:fill="011C50"/>
            <w:noWrap/>
            <w:vAlign w:val="center"/>
          </w:tcPr>
          <w:p w14:paraId="230A2A1B"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441" w:type="dxa"/>
            <w:tcBorders>
              <w:top w:val="single" w:sz="4" w:space="0" w:color="auto"/>
              <w:left w:val="nil"/>
              <w:bottom w:val="single" w:sz="4" w:space="0" w:color="auto"/>
              <w:right w:val="single" w:sz="4" w:space="0" w:color="auto"/>
            </w:tcBorders>
            <w:shd w:val="clear" w:color="auto" w:fill="011C50"/>
            <w:noWrap/>
            <w:vAlign w:val="center"/>
          </w:tcPr>
          <w:p w14:paraId="57FE0F4B"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450" w:type="dxa"/>
            <w:tcBorders>
              <w:top w:val="single" w:sz="4" w:space="0" w:color="auto"/>
              <w:left w:val="nil"/>
              <w:bottom w:val="single" w:sz="4" w:space="0" w:color="auto"/>
              <w:right w:val="single" w:sz="4" w:space="0" w:color="auto"/>
            </w:tcBorders>
            <w:shd w:val="clear" w:color="auto" w:fill="011C50"/>
            <w:noWrap/>
            <w:vAlign w:val="center"/>
          </w:tcPr>
          <w:p w14:paraId="489DA702"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631CCDBE"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630DDFF1"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26550C4D"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27C5A118"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63C1D542"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450" w:type="dxa"/>
            <w:tcBorders>
              <w:top w:val="single" w:sz="4" w:space="0" w:color="auto"/>
              <w:left w:val="nil"/>
              <w:bottom w:val="single" w:sz="4" w:space="0" w:color="auto"/>
              <w:right w:val="single" w:sz="4" w:space="0" w:color="auto"/>
            </w:tcBorders>
            <w:shd w:val="clear" w:color="auto" w:fill="011C50"/>
            <w:noWrap/>
            <w:vAlign w:val="center"/>
          </w:tcPr>
          <w:p w14:paraId="1E1F2004"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540" w:type="dxa"/>
            <w:tcBorders>
              <w:top w:val="single" w:sz="4" w:space="0" w:color="auto"/>
              <w:left w:val="nil"/>
              <w:bottom w:val="single" w:sz="4" w:space="0" w:color="auto"/>
              <w:right w:val="single" w:sz="4" w:space="0" w:color="auto"/>
            </w:tcBorders>
            <w:shd w:val="clear" w:color="auto" w:fill="011C50"/>
            <w:noWrap/>
            <w:vAlign w:val="center"/>
          </w:tcPr>
          <w:p w14:paraId="2B1C0788"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420" w:type="dxa"/>
            <w:tcBorders>
              <w:top w:val="single" w:sz="4" w:space="0" w:color="auto"/>
              <w:left w:val="nil"/>
              <w:bottom w:val="single" w:sz="4" w:space="0" w:color="auto"/>
              <w:right w:val="single" w:sz="4" w:space="0" w:color="auto"/>
            </w:tcBorders>
            <w:shd w:val="clear" w:color="auto" w:fill="011C50"/>
            <w:noWrap/>
            <w:vAlign w:val="center"/>
          </w:tcPr>
          <w:p w14:paraId="6D59AA38"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480" w:type="dxa"/>
            <w:tcBorders>
              <w:top w:val="single" w:sz="4" w:space="0" w:color="auto"/>
              <w:left w:val="nil"/>
              <w:bottom w:val="single" w:sz="4" w:space="0" w:color="auto"/>
              <w:right w:val="single" w:sz="4" w:space="0" w:color="auto"/>
            </w:tcBorders>
            <w:shd w:val="clear" w:color="auto" w:fill="011C50"/>
            <w:noWrap/>
            <w:vAlign w:val="center"/>
          </w:tcPr>
          <w:p w14:paraId="23E420EE"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450" w:type="dxa"/>
            <w:tcBorders>
              <w:top w:val="single" w:sz="4" w:space="0" w:color="auto"/>
              <w:left w:val="nil"/>
              <w:bottom w:val="single" w:sz="4" w:space="0" w:color="auto"/>
              <w:right w:val="single" w:sz="4" w:space="0" w:color="auto"/>
            </w:tcBorders>
            <w:shd w:val="clear" w:color="auto" w:fill="011C50"/>
            <w:noWrap/>
            <w:vAlign w:val="center"/>
          </w:tcPr>
          <w:p w14:paraId="01D0043C"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c>
          <w:tcPr>
            <w:tcW w:w="819" w:type="dxa"/>
            <w:tcBorders>
              <w:top w:val="single" w:sz="4" w:space="0" w:color="auto"/>
              <w:left w:val="nil"/>
              <w:bottom w:val="single" w:sz="4" w:space="0" w:color="auto"/>
              <w:right w:val="single" w:sz="4" w:space="0" w:color="auto"/>
            </w:tcBorders>
            <w:shd w:val="clear" w:color="auto" w:fill="011C50"/>
            <w:noWrap/>
            <w:vAlign w:val="center"/>
          </w:tcPr>
          <w:p w14:paraId="243F26FF"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p>
        </w:tc>
      </w:tr>
      <w:tr w:rsidR="006C2A50" w:rsidRPr="006C2A50" w14:paraId="054CAFBC" w14:textId="77777777" w:rsidTr="00380477">
        <w:trPr>
          <w:trHeight w:val="300"/>
          <w:jc w:val="center"/>
        </w:trPr>
        <w:tc>
          <w:tcPr>
            <w:tcW w:w="2065" w:type="dxa"/>
            <w:tcBorders>
              <w:top w:val="nil"/>
              <w:left w:val="single" w:sz="4" w:space="0" w:color="auto"/>
              <w:bottom w:val="single" w:sz="4" w:space="0" w:color="auto"/>
              <w:right w:val="single" w:sz="4" w:space="0" w:color="auto"/>
            </w:tcBorders>
            <w:noWrap/>
            <w:vAlign w:val="center"/>
          </w:tcPr>
          <w:p w14:paraId="7F7B1952" w14:textId="77777777" w:rsidR="006C2A50" w:rsidRPr="006C2A50" w:rsidRDefault="006C2A50" w:rsidP="006C2A50">
            <w:pPr>
              <w:spacing w:after="0" w:line="240" w:lineRule="auto"/>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Servicios ofrecidos por los museos</w:t>
            </w:r>
          </w:p>
        </w:tc>
        <w:tc>
          <w:tcPr>
            <w:tcW w:w="441" w:type="dxa"/>
            <w:tcBorders>
              <w:top w:val="nil"/>
              <w:left w:val="nil"/>
              <w:bottom w:val="single" w:sz="4" w:space="0" w:color="auto"/>
              <w:right w:val="single" w:sz="4" w:space="0" w:color="auto"/>
            </w:tcBorders>
            <w:noWrap/>
            <w:vAlign w:val="center"/>
          </w:tcPr>
          <w:p w14:paraId="308752E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26</w:t>
            </w:r>
          </w:p>
        </w:tc>
        <w:tc>
          <w:tcPr>
            <w:tcW w:w="450" w:type="dxa"/>
            <w:tcBorders>
              <w:top w:val="nil"/>
              <w:left w:val="nil"/>
              <w:bottom w:val="single" w:sz="4" w:space="0" w:color="auto"/>
              <w:right w:val="single" w:sz="4" w:space="0" w:color="auto"/>
            </w:tcBorders>
            <w:noWrap/>
            <w:vAlign w:val="center"/>
          </w:tcPr>
          <w:p w14:paraId="52853CEA"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26</w:t>
            </w:r>
          </w:p>
        </w:tc>
        <w:tc>
          <w:tcPr>
            <w:tcW w:w="540" w:type="dxa"/>
            <w:tcBorders>
              <w:top w:val="nil"/>
              <w:left w:val="nil"/>
              <w:bottom w:val="single" w:sz="4" w:space="0" w:color="auto"/>
              <w:right w:val="single" w:sz="4" w:space="0" w:color="auto"/>
            </w:tcBorders>
            <w:noWrap/>
            <w:vAlign w:val="center"/>
          </w:tcPr>
          <w:p w14:paraId="5C7ECFA6"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45</w:t>
            </w:r>
          </w:p>
        </w:tc>
        <w:tc>
          <w:tcPr>
            <w:tcW w:w="540" w:type="dxa"/>
            <w:tcBorders>
              <w:top w:val="nil"/>
              <w:left w:val="nil"/>
              <w:bottom w:val="single" w:sz="4" w:space="0" w:color="auto"/>
              <w:right w:val="single" w:sz="4" w:space="0" w:color="auto"/>
            </w:tcBorders>
            <w:noWrap/>
            <w:vAlign w:val="center"/>
          </w:tcPr>
          <w:p w14:paraId="07F0E9B3"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48</w:t>
            </w:r>
          </w:p>
        </w:tc>
        <w:tc>
          <w:tcPr>
            <w:tcW w:w="540" w:type="dxa"/>
            <w:tcBorders>
              <w:top w:val="nil"/>
              <w:left w:val="nil"/>
              <w:bottom w:val="single" w:sz="4" w:space="0" w:color="auto"/>
              <w:right w:val="single" w:sz="4" w:space="0" w:color="auto"/>
            </w:tcBorders>
            <w:noWrap/>
            <w:vAlign w:val="center"/>
          </w:tcPr>
          <w:p w14:paraId="40423C10"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44</w:t>
            </w:r>
          </w:p>
        </w:tc>
        <w:tc>
          <w:tcPr>
            <w:tcW w:w="540" w:type="dxa"/>
            <w:tcBorders>
              <w:top w:val="nil"/>
              <w:left w:val="nil"/>
              <w:bottom w:val="single" w:sz="4" w:space="0" w:color="auto"/>
              <w:right w:val="single" w:sz="4" w:space="0" w:color="auto"/>
            </w:tcBorders>
            <w:noWrap/>
            <w:vAlign w:val="center"/>
          </w:tcPr>
          <w:p w14:paraId="480708F4"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25</w:t>
            </w:r>
          </w:p>
        </w:tc>
        <w:tc>
          <w:tcPr>
            <w:tcW w:w="540" w:type="dxa"/>
            <w:tcBorders>
              <w:top w:val="nil"/>
              <w:left w:val="nil"/>
              <w:bottom w:val="single" w:sz="4" w:space="0" w:color="auto"/>
              <w:right w:val="single" w:sz="4" w:space="0" w:color="auto"/>
            </w:tcBorders>
            <w:noWrap/>
            <w:vAlign w:val="center"/>
          </w:tcPr>
          <w:p w14:paraId="50EF5BF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41</w:t>
            </w:r>
          </w:p>
        </w:tc>
        <w:tc>
          <w:tcPr>
            <w:tcW w:w="450" w:type="dxa"/>
            <w:tcBorders>
              <w:top w:val="nil"/>
              <w:left w:val="nil"/>
              <w:bottom w:val="single" w:sz="4" w:space="0" w:color="auto"/>
              <w:right w:val="single" w:sz="4" w:space="0" w:color="auto"/>
            </w:tcBorders>
            <w:noWrap/>
            <w:vAlign w:val="center"/>
          </w:tcPr>
          <w:p w14:paraId="09A919E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55</w:t>
            </w:r>
          </w:p>
        </w:tc>
        <w:tc>
          <w:tcPr>
            <w:tcW w:w="540" w:type="dxa"/>
            <w:tcBorders>
              <w:top w:val="nil"/>
              <w:left w:val="nil"/>
              <w:bottom w:val="single" w:sz="4" w:space="0" w:color="auto"/>
              <w:right w:val="single" w:sz="4" w:space="0" w:color="auto"/>
            </w:tcBorders>
            <w:noWrap/>
            <w:vAlign w:val="center"/>
          </w:tcPr>
          <w:p w14:paraId="3754A690"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26</w:t>
            </w:r>
          </w:p>
        </w:tc>
        <w:tc>
          <w:tcPr>
            <w:tcW w:w="420" w:type="dxa"/>
            <w:tcBorders>
              <w:top w:val="nil"/>
              <w:left w:val="nil"/>
              <w:bottom w:val="single" w:sz="4" w:space="0" w:color="auto"/>
              <w:right w:val="single" w:sz="4" w:space="0" w:color="auto"/>
            </w:tcBorders>
            <w:noWrap/>
            <w:vAlign w:val="center"/>
          </w:tcPr>
          <w:p w14:paraId="4586B9C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45</w:t>
            </w:r>
          </w:p>
        </w:tc>
        <w:tc>
          <w:tcPr>
            <w:tcW w:w="480" w:type="dxa"/>
            <w:tcBorders>
              <w:top w:val="nil"/>
              <w:left w:val="nil"/>
              <w:bottom w:val="single" w:sz="4" w:space="0" w:color="auto"/>
              <w:right w:val="single" w:sz="4" w:space="0" w:color="auto"/>
            </w:tcBorders>
            <w:noWrap/>
            <w:vAlign w:val="center"/>
          </w:tcPr>
          <w:p w14:paraId="5C90F9FA"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24</w:t>
            </w:r>
          </w:p>
        </w:tc>
        <w:tc>
          <w:tcPr>
            <w:tcW w:w="450" w:type="dxa"/>
            <w:tcBorders>
              <w:top w:val="nil"/>
              <w:left w:val="nil"/>
              <w:bottom w:val="single" w:sz="4" w:space="0" w:color="auto"/>
              <w:right w:val="single" w:sz="4" w:space="0" w:color="auto"/>
            </w:tcBorders>
            <w:noWrap/>
            <w:vAlign w:val="center"/>
          </w:tcPr>
          <w:p w14:paraId="40D2D5F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10</w:t>
            </w:r>
          </w:p>
        </w:tc>
        <w:tc>
          <w:tcPr>
            <w:tcW w:w="819" w:type="dxa"/>
            <w:tcBorders>
              <w:top w:val="nil"/>
              <w:left w:val="nil"/>
              <w:bottom w:val="single" w:sz="4" w:space="0" w:color="auto"/>
              <w:right w:val="single" w:sz="4" w:space="0" w:color="auto"/>
            </w:tcBorders>
            <w:noWrap/>
            <w:vAlign w:val="center"/>
          </w:tcPr>
          <w:p w14:paraId="736859D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415</w:t>
            </w:r>
          </w:p>
        </w:tc>
      </w:tr>
      <w:tr w:rsidR="006C2A50" w:rsidRPr="006C2A50" w14:paraId="0A77DBEE" w14:textId="77777777" w:rsidTr="00380477">
        <w:trPr>
          <w:trHeight w:val="300"/>
          <w:jc w:val="center"/>
        </w:trPr>
        <w:tc>
          <w:tcPr>
            <w:tcW w:w="2065" w:type="dxa"/>
            <w:tcBorders>
              <w:top w:val="nil"/>
              <w:left w:val="single" w:sz="4" w:space="0" w:color="auto"/>
              <w:bottom w:val="single" w:sz="4" w:space="0" w:color="auto"/>
              <w:right w:val="single" w:sz="4" w:space="0" w:color="auto"/>
            </w:tcBorders>
            <w:noWrap/>
            <w:vAlign w:val="center"/>
          </w:tcPr>
          <w:p w14:paraId="69FE6C2D" w14:textId="77777777" w:rsidR="006C2A50" w:rsidRPr="006C2A50" w:rsidRDefault="006C2A50" w:rsidP="006C2A50">
            <w:pPr>
              <w:spacing w:after="0" w:line="240" w:lineRule="auto"/>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 xml:space="preserve">Compras y Contrataciones </w:t>
            </w:r>
          </w:p>
        </w:tc>
        <w:tc>
          <w:tcPr>
            <w:tcW w:w="441" w:type="dxa"/>
            <w:tcBorders>
              <w:top w:val="nil"/>
              <w:left w:val="nil"/>
              <w:bottom w:val="single" w:sz="4" w:space="0" w:color="auto"/>
              <w:right w:val="single" w:sz="4" w:space="0" w:color="auto"/>
            </w:tcBorders>
            <w:noWrap/>
            <w:vAlign w:val="center"/>
          </w:tcPr>
          <w:p w14:paraId="6088F2FB"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00DE71F6"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70C6979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0DB3A3E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3FA2AA28"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5E669BF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21795D78"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4803942B"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4C580BB7"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20" w:type="dxa"/>
            <w:tcBorders>
              <w:top w:val="nil"/>
              <w:left w:val="nil"/>
              <w:bottom w:val="single" w:sz="4" w:space="0" w:color="auto"/>
              <w:right w:val="single" w:sz="4" w:space="0" w:color="auto"/>
            </w:tcBorders>
            <w:noWrap/>
            <w:vAlign w:val="center"/>
          </w:tcPr>
          <w:p w14:paraId="68C63A0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80" w:type="dxa"/>
            <w:tcBorders>
              <w:top w:val="nil"/>
              <w:left w:val="nil"/>
              <w:bottom w:val="single" w:sz="4" w:space="0" w:color="auto"/>
              <w:right w:val="single" w:sz="4" w:space="0" w:color="auto"/>
            </w:tcBorders>
            <w:noWrap/>
            <w:vAlign w:val="center"/>
          </w:tcPr>
          <w:p w14:paraId="17AC1FF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41540EC4"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819" w:type="dxa"/>
            <w:tcBorders>
              <w:top w:val="nil"/>
              <w:left w:val="nil"/>
              <w:bottom w:val="single" w:sz="4" w:space="0" w:color="auto"/>
              <w:right w:val="single" w:sz="4" w:space="0" w:color="auto"/>
            </w:tcBorders>
            <w:noWrap/>
            <w:vAlign w:val="center"/>
          </w:tcPr>
          <w:p w14:paraId="50C75795"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r>
      <w:tr w:rsidR="006C2A50" w:rsidRPr="006C2A50" w14:paraId="02CDB158" w14:textId="77777777" w:rsidTr="00380477">
        <w:trPr>
          <w:trHeight w:val="300"/>
          <w:jc w:val="center"/>
        </w:trPr>
        <w:tc>
          <w:tcPr>
            <w:tcW w:w="2065" w:type="dxa"/>
            <w:tcBorders>
              <w:top w:val="nil"/>
              <w:left w:val="single" w:sz="4" w:space="0" w:color="auto"/>
              <w:bottom w:val="single" w:sz="4" w:space="0" w:color="auto"/>
              <w:right w:val="single" w:sz="4" w:space="0" w:color="auto"/>
            </w:tcBorders>
            <w:noWrap/>
            <w:vAlign w:val="center"/>
          </w:tcPr>
          <w:p w14:paraId="333CE30C" w14:textId="77777777" w:rsidR="006C2A50" w:rsidRPr="006C2A50" w:rsidRDefault="006C2A50" w:rsidP="006C2A50">
            <w:pPr>
              <w:spacing w:after="0" w:line="240" w:lineRule="auto"/>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Sistema Único de Acceso a la Información Pública (SAIP)</w:t>
            </w:r>
          </w:p>
        </w:tc>
        <w:tc>
          <w:tcPr>
            <w:tcW w:w="441" w:type="dxa"/>
            <w:tcBorders>
              <w:top w:val="nil"/>
              <w:left w:val="nil"/>
              <w:bottom w:val="single" w:sz="4" w:space="0" w:color="auto"/>
              <w:right w:val="single" w:sz="4" w:space="0" w:color="auto"/>
            </w:tcBorders>
            <w:noWrap/>
            <w:vAlign w:val="center"/>
          </w:tcPr>
          <w:p w14:paraId="41DF15E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26592BB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noWrap/>
            <w:vAlign w:val="center"/>
          </w:tcPr>
          <w:p w14:paraId="45F00186"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noWrap/>
            <w:vAlign w:val="center"/>
          </w:tcPr>
          <w:p w14:paraId="237741E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31290F8B"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0F46174C"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noWrap/>
            <w:vAlign w:val="center"/>
          </w:tcPr>
          <w:p w14:paraId="0EF8833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6ECFCA0C"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3487171C"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w:t>
            </w:r>
          </w:p>
        </w:tc>
        <w:tc>
          <w:tcPr>
            <w:tcW w:w="420" w:type="dxa"/>
            <w:tcBorders>
              <w:top w:val="nil"/>
              <w:left w:val="nil"/>
              <w:bottom w:val="single" w:sz="4" w:space="0" w:color="auto"/>
              <w:right w:val="single" w:sz="4" w:space="0" w:color="auto"/>
            </w:tcBorders>
            <w:noWrap/>
            <w:vAlign w:val="center"/>
          </w:tcPr>
          <w:p w14:paraId="3D8E649D"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w:t>
            </w:r>
          </w:p>
        </w:tc>
        <w:tc>
          <w:tcPr>
            <w:tcW w:w="480" w:type="dxa"/>
            <w:tcBorders>
              <w:top w:val="nil"/>
              <w:left w:val="nil"/>
              <w:bottom w:val="single" w:sz="4" w:space="0" w:color="auto"/>
              <w:right w:val="single" w:sz="4" w:space="0" w:color="auto"/>
            </w:tcBorders>
            <w:noWrap/>
            <w:vAlign w:val="center"/>
          </w:tcPr>
          <w:p w14:paraId="1AB6B3E7"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6E2068BA"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819" w:type="dxa"/>
            <w:tcBorders>
              <w:top w:val="nil"/>
              <w:left w:val="nil"/>
              <w:bottom w:val="single" w:sz="4" w:space="0" w:color="auto"/>
              <w:right w:val="single" w:sz="4" w:space="0" w:color="auto"/>
            </w:tcBorders>
            <w:noWrap/>
            <w:vAlign w:val="center"/>
          </w:tcPr>
          <w:p w14:paraId="6C5E902B"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8</w:t>
            </w:r>
          </w:p>
        </w:tc>
      </w:tr>
      <w:tr w:rsidR="006C2A50" w:rsidRPr="006C2A50" w14:paraId="17185942" w14:textId="77777777" w:rsidTr="00380477">
        <w:trPr>
          <w:trHeight w:val="300"/>
          <w:jc w:val="center"/>
        </w:trPr>
        <w:tc>
          <w:tcPr>
            <w:tcW w:w="2065" w:type="dxa"/>
            <w:tcBorders>
              <w:top w:val="nil"/>
              <w:left w:val="single" w:sz="4" w:space="0" w:color="auto"/>
              <w:bottom w:val="single" w:sz="4" w:space="0" w:color="auto"/>
              <w:right w:val="single" w:sz="4" w:space="0" w:color="auto"/>
            </w:tcBorders>
            <w:noWrap/>
            <w:vAlign w:val="center"/>
          </w:tcPr>
          <w:p w14:paraId="281929DA" w14:textId="77777777" w:rsidR="006C2A50" w:rsidRPr="006C2A50" w:rsidRDefault="006C2A50" w:rsidP="006C2A50">
            <w:pPr>
              <w:spacing w:after="0" w:line="240" w:lineRule="auto"/>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 xml:space="preserve">Sugerencias y Quejas </w:t>
            </w:r>
          </w:p>
        </w:tc>
        <w:tc>
          <w:tcPr>
            <w:tcW w:w="441" w:type="dxa"/>
            <w:tcBorders>
              <w:top w:val="nil"/>
              <w:left w:val="nil"/>
              <w:bottom w:val="single" w:sz="4" w:space="0" w:color="auto"/>
              <w:right w:val="single" w:sz="4" w:space="0" w:color="auto"/>
            </w:tcBorders>
            <w:noWrap/>
            <w:vAlign w:val="center"/>
          </w:tcPr>
          <w:p w14:paraId="68676277"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6139710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73B12447"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6DC9ADBA"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6D1AB52C"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34A55BE3"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46C2D387"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3B39C77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32A72ABB"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20" w:type="dxa"/>
            <w:tcBorders>
              <w:top w:val="nil"/>
              <w:left w:val="nil"/>
              <w:bottom w:val="single" w:sz="4" w:space="0" w:color="auto"/>
              <w:right w:val="single" w:sz="4" w:space="0" w:color="auto"/>
            </w:tcBorders>
            <w:noWrap/>
            <w:vAlign w:val="center"/>
          </w:tcPr>
          <w:p w14:paraId="521F085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80" w:type="dxa"/>
            <w:tcBorders>
              <w:top w:val="nil"/>
              <w:left w:val="nil"/>
              <w:bottom w:val="single" w:sz="4" w:space="0" w:color="auto"/>
              <w:right w:val="single" w:sz="4" w:space="0" w:color="auto"/>
            </w:tcBorders>
            <w:noWrap/>
            <w:vAlign w:val="center"/>
          </w:tcPr>
          <w:p w14:paraId="0B910672"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noWrap/>
            <w:vAlign w:val="center"/>
          </w:tcPr>
          <w:p w14:paraId="55B10666"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819" w:type="dxa"/>
            <w:tcBorders>
              <w:top w:val="nil"/>
              <w:left w:val="nil"/>
              <w:bottom w:val="single" w:sz="4" w:space="0" w:color="auto"/>
              <w:right w:val="single" w:sz="4" w:space="0" w:color="auto"/>
            </w:tcBorders>
            <w:noWrap/>
            <w:vAlign w:val="center"/>
          </w:tcPr>
          <w:p w14:paraId="034F5FBC"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r>
      <w:tr w:rsidR="006C2A50" w:rsidRPr="006C2A50" w14:paraId="70EBA6DE" w14:textId="77777777" w:rsidTr="00380477">
        <w:trPr>
          <w:trHeight w:val="300"/>
          <w:jc w:val="center"/>
        </w:trPr>
        <w:tc>
          <w:tcPr>
            <w:tcW w:w="2065" w:type="dxa"/>
            <w:tcBorders>
              <w:top w:val="nil"/>
              <w:left w:val="single" w:sz="4" w:space="0" w:color="auto"/>
              <w:bottom w:val="single" w:sz="4" w:space="0" w:color="auto"/>
              <w:right w:val="single" w:sz="4" w:space="0" w:color="auto"/>
            </w:tcBorders>
            <w:noWrap/>
            <w:vAlign w:val="center"/>
          </w:tcPr>
          <w:p w14:paraId="1C250808" w14:textId="77777777" w:rsidR="006C2A50" w:rsidRPr="006C2A50" w:rsidRDefault="006C2A50" w:rsidP="006C2A50">
            <w:pPr>
              <w:spacing w:after="0" w:line="240" w:lineRule="auto"/>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 xml:space="preserve">Invitaciones </w:t>
            </w:r>
          </w:p>
        </w:tc>
        <w:tc>
          <w:tcPr>
            <w:tcW w:w="441" w:type="dxa"/>
            <w:tcBorders>
              <w:top w:val="nil"/>
              <w:left w:val="nil"/>
              <w:bottom w:val="single" w:sz="4" w:space="0" w:color="auto"/>
              <w:right w:val="single" w:sz="4" w:space="0" w:color="auto"/>
            </w:tcBorders>
            <w:noWrap/>
            <w:vAlign w:val="center"/>
          </w:tcPr>
          <w:p w14:paraId="53B1D739"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w:t>
            </w:r>
          </w:p>
        </w:tc>
        <w:tc>
          <w:tcPr>
            <w:tcW w:w="450" w:type="dxa"/>
            <w:tcBorders>
              <w:top w:val="nil"/>
              <w:left w:val="nil"/>
              <w:bottom w:val="single" w:sz="4" w:space="0" w:color="auto"/>
              <w:right w:val="single" w:sz="4" w:space="0" w:color="auto"/>
            </w:tcBorders>
            <w:noWrap/>
            <w:vAlign w:val="center"/>
          </w:tcPr>
          <w:p w14:paraId="689A8803"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noWrap/>
            <w:vAlign w:val="center"/>
          </w:tcPr>
          <w:p w14:paraId="0B60C0EC"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noWrap/>
            <w:vAlign w:val="center"/>
          </w:tcPr>
          <w:p w14:paraId="19D5CB7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39EA803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noWrap/>
            <w:vAlign w:val="center"/>
          </w:tcPr>
          <w:p w14:paraId="7446D4B0"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5C5A620A"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w:t>
            </w:r>
          </w:p>
        </w:tc>
        <w:tc>
          <w:tcPr>
            <w:tcW w:w="450" w:type="dxa"/>
            <w:tcBorders>
              <w:top w:val="nil"/>
              <w:left w:val="nil"/>
              <w:bottom w:val="single" w:sz="4" w:space="0" w:color="auto"/>
              <w:right w:val="single" w:sz="4" w:space="0" w:color="auto"/>
            </w:tcBorders>
            <w:noWrap/>
            <w:vAlign w:val="center"/>
          </w:tcPr>
          <w:p w14:paraId="12700E73"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6FE70C12"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420" w:type="dxa"/>
            <w:tcBorders>
              <w:top w:val="nil"/>
              <w:left w:val="nil"/>
              <w:bottom w:val="single" w:sz="4" w:space="0" w:color="auto"/>
              <w:right w:val="single" w:sz="4" w:space="0" w:color="auto"/>
            </w:tcBorders>
            <w:noWrap/>
            <w:vAlign w:val="center"/>
          </w:tcPr>
          <w:p w14:paraId="0DC6F485"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w:t>
            </w:r>
          </w:p>
        </w:tc>
        <w:tc>
          <w:tcPr>
            <w:tcW w:w="480" w:type="dxa"/>
            <w:tcBorders>
              <w:top w:val="nil"/>
              <w:left w:val="nil"/>
              <w:bottom w:val="single" w:sz="4" w:space="0" w:color="auto"/>
              <w:right w:val="single" w:sz="4" w:space="0" w:color="auto"/>
            </w:tcBorders>
            <w:noWrap/>
            <w:vAlign w:val="center"/>
          </w:tcPr>
          <w:p w14:paraId="249F4E09"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w:t>
            </w:r>
          </w:p>
        </w:tc>
        <w:tc>
          <w:tcPr>
            <w:tcW w:w="450" w:type="dxa"/>
            <w:tcBorders>
              <w:top w:val="nil"/>
              <w:left w:val="nil"/>
              <w:bottom w:val="single" w:sz="4" w:space="0" w:color="auto"/>
              <w:right w:val="single" w:sz="4" w:space="0" w:color="auto"/>
            </w:tcBorders>
            <w:noWrap/>
            <w:vAlign w:val="center"/>
          </w:tcPr>
          <w:p w14:paraId="0E818032"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819" w:type="dxa"/>
            <w:tcBorders>
              <w:top w:val="nil"/>
              <w:left w:val="nil"/>
              <w:bottom w:val="single" w:sz="4" w:space="0" w:color="auto"/>
              <w:right w:val="single" w:sz="4" w:space="0" w:color="auto"/>
            </w:tcBorders>
            <w:noWrap/>
            <w:vAlign w:val="center"/>
          </w:tcPr>
          <w:p w14:paraId="191FB83C"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17</w:t>
            </w:r>
          </w:p>
        </w:tc>
      </w:tr>
      <w:tr w:rsidR="006C2A50" w:rsidRPr="006C2A50" w14:paraId="321BBB84" w14:textId="77777777" w:rsidTr="00380477">
        <w:trPr>
          <w:trHeight w:val="300"/>
          <w:jc w:val="center"/>
        </w:trPr>
        <w:tc>
          <w:tcPr>
            <w:tcW w:w="2065" w:type="dxa"/>
            <w:tcBorders>
              <w:top w:val="nil"/>
              <w:left w:val="single" w:sz="4" w:space="0" w:color="auto"/>
              <w:bottom w:val="single" w:sz="4" w:space="0" w:color="auto"/>
              <w:right w:val="single" w:sz="4" w:space="0" w:color="auto"/>
            </w:tcBorders>
            <w:noWrap/>
            <w:vAlign w:val="center"/>
          </w:tcPr>
          <w:p w14:paraId="1B6D8105" w14:textId="77777777" w:rsidR="006C2A50" w:rsidRPr="006C2A50" w:rsidRDefault="006C2A50" w:rsidP="006C2A50">
            <w:pPr>
              <w:spacing w:after="0" w:line="240" w:lineRule="auto"/>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 xml:space="preserve">Solicitudes de empleo/Pasantías </w:t>
            </w:r>
          </w:p>
        </w:tc>
        <w:tc>
          <w:tcPr>
            <w:tcW w:w="441" w:type="dxa"/>
            <w:tcBorders>
              <w:top w:val="nil"/>
              <w:left w:val="nil"/>
              <w:bottom w:val="single" w:sz="4" w:space="0" w:color="auto"/>
              <w:right w:val="single" w:sz="4" w:space="0" w:color="auto"/>
            </w:tcBorders>
            <w:noWrap/>
            <w:vAlign w:val="center"/>
          </w:tcPr>
          <w:p w14:paraId="52FB65B9"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w:t>
            </w:r>
          </w:p>
        </w:tc>
        <w:tc>
          <w:tcPr>
            <w:tcW w:w="450" w:type="dxa"/>
            <w:tcBorders>
              <w:top w:val="nil"/>
              <w:left w:val="nil"/>
              <w:bottom w:val="single" w:sz="4" w:space="0" w:color="auto"/>
              <w:right w:val="single" w:sz="4" w:space="0" w:color="auto"/>
            </w:tcBorders>
            <w:noWrap/>
            <w:vAlign w:val="center"/>
          </w:tcPr>
          <w:p w14:paraId="117A39E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noWrap/>
            <w:vAlign w:val="center"/>
          </w:tcPr>
          <w:p w14:paraId="190D437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w:t>
            </w:r>
          </w:p>
        </w:tc>
        <w:tc>
          <w:tcPr>
            <w:tcW w:w="540" w:type="dxa"/>
            <w:tcBorders>
              <w:top w:val="nil"/>
              <w:left w:val="nil"/>
              <w:bottom w:val="single" w:sz="4" w:space="0" w:color="auto"/>
              <w:right w:val="single" w:sz="4" w:space="0" w:color="auto"/>
            </w:tcBorders>
            <w:noWrap/>
            <w:vAlign w:val="center"/>
          </w:tcPr>
          <w:p w14:paraId="2CE2FF0F"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noWrap/>
            <w:vAlign w:val="center"/>
          </w:tcPr>
          <w:p w14:paraId="1B5FA477"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w:t>
            </w:r>
          </w:p>
        </w:tc>
        <w:tc>
          <w:tcPr>
            <w:tcW w:w="540" w:type="dxa"/>
            <w:tcBorders>
              <w:top w:val="nil"/>
              <w:left w:val="nil"/>
              <w:bottom w:val="single" w:sz="4" w:space="0" w:color="auto"/>
              <w:right w:val="single" w:sz="4" w:space="0" w:color="auto"/>
            </w:tcBorders>
            <w:noWrap/>
            <w:vAlign w:val="center"/>
          </w:tcPr>
          <w:p w14:paraId="3F351DA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noWrap/>
            <w:vAlign w:val="center"/>
          </w:tcPr>
          <w:p w14:paraId="73C07BB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4</w:t>
            </w:r>
          </w:p>
        </w:tc>
        <w:tc>
          <w:tcPr>
            <w:tcW w:w="450" w:type="dxa"/>
            <w:tcBorders>
              <w:top w:val="nil"/>
              <w:left w:val="nil"/>
              <w:bottom w:val="single" w:sz="4" w:space="0" w:color="auto"/>
              <w:right w:val="single" w:sz="4" w:space="0" w:color="auto"/>
            </w:tcBorders>
            <w:noWrap/>
            <w:vAlign w:val="center"/>
          </w:tcPr>
          <w:p w14:paraId="3A58189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noWrap/>
            <w:vAlign w:val="center"/>
          </w:tcPr>
          <w:p w14:paraId="60B345EB"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7</w:t>
            </w:r>
          </w:p>
        </w:tc>
        <w:tc>
          <w:tcPr>
            <w:tcW w:w="420" w:type="dxa"/>
            <w:tcBorders>
              <w:top w:val="nil"/>
              <w:left w:val="nil"/>
              <w:bottom w:val="single" w:sz="4" w:space="0" w:color="auto"/>
              <w:right w:val="single" w:sz="4" w:space="0" w:color="auto"/>
            </w:tcBorders>
            <w:noWrap/>
            <w:vAlign w:val="center"/>
          </w:tcPr>
          <w:p w14:paraId="588E4101"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w:t>
            </w:r>
          </w:p>
        </w:tc>
        <w:tc>
          <w:tcPr>
            <w:tcW w:w="480" w:type="dxa"/>
            <w:tcBorders>
              <w:top w:val="nil"/>
              <w:left w:val="nil"/>
              <w:bottom w:val="single" w:sz="4" w:space="0" w:color="auto"/>
              <w:right w:val="single" w:sz="4" w:space="0" w:color="auto"/>
            </w:tcBorders>
            <w:noWrap/>
            <w:vAlign w:val="center"/>
          </w:tcPr>
          <w:p w14:paraId="6460AE22"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2</w:t>
            </w:r>
          </w:p>
        </w:tc>
        <w:tc>
          <w:tcPr>
            <w:tcW w:w="450" w:type="dxa"/>
            <w:tcBorders>
              <w:top w:val="nil"/>
              <w:left w:val="nil"/>
              <w:bottom w:val="single" w:sz="4" w:space="0" w:color="auto"/>
              <w:right w:val="single" w:sz="4" w:space="0" w:color="auto"/>
            </w:tcBorders>
            <w:noWrap/>
            <w:vAlign w:val="center"/>
          </w:tcPr>
          <w:p w14:paraId="6C054855"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1</w:t>
            </w:r>
          </w:p>
        </w:tc>
        <w:tc>
          <w:tcPr>
            <w:tcW w:w="819" w:type="dxa"/>
            <w:tcBorders>
              <w:top w:val="nil"/>
              <w:left w:val="nil"/>
              <w:bottom w:val="single" w:sz="4" w:space="0" w:color="auto"/>
              <w:right w:val="single" w:sz="4" w:space="0" w:color="auto"/>
            </w:tcBorders>
            <w:noWrap/>
            <w:vAlign w:val="center"/>
          </w:tcPr>
          <w:p w14:paraId="21B4D9FE" w14:textId="77777777" w:rsidR="006C2A50" w:rsidRPr="006C2A50" w:rsidRDefault="006C2A50" w:rsidP="006C2A50">
            <w:pPr>
              <w:spacing w:after="0" w:line="240" w:lineRule="auto"/>
              <w:jc w:val="center"/>
              <w:rPr>
                <w:rFonts w:eastAsia="Times New Roman"/>
                <w:color w:val="717676"/>
                <w:spacing w:val="0"/>
                <w:sz w:val="18"/>
                <w:szCs w:val="18"/>
                <w:lang w:val="es-DO" w:eastAsia="es-DO"/>
              </w:rPr>
            </w:pPr>
            <w:r w:rsidRPr="006C2A50">
              <w:rPr>
                <w:rFonts w:eastAsia="Times New Roman"/>
                <w:color w:val="717676"/>
                <w:spacing w:val="0"/>
                <w:sz w:val="18"/>
                <w:szCs w:val="18"/>
                <w:lang w:val="es-DO" w:eastAsia="es-DO"/>
              </w:rPr>
              <w:t>35</w:t>
            </w:r>
          </w:p>
        </w:tc>
      </w:tr>
      <w:tr w:rsidR="006C2A50" w:rsidRPr="006C2A50" w14:paraId="2B1EE8A9" w14:textId="77777777" w:rsidTr="00380477">
        <w:trPr>
          <w:trHeight w:val="300"/>
          <w:jc w:val="center"/>
        </w:trPr>
        <w:tc>
          <w:tcPr>
            <w:tcW w:w="2065" w:type="dxa"/>
            <w:tcBorders>
              <w:top w:val="nil"/>
              <w:left w:val="single" w:sz="4" w:space="0" w:color="auto"/>
              <w:bottom w:val="single" w:sz="4" w:space="0" w:color="auto"/>
              <w:right w:val="single" w:sz="4" w:space="0" w:color="auto"/>
            </w:tcBorders>
            <w:shd w:val="clear" w:color="auto" w:fill="011C50"/>
            <w:noWrap/>
            <w:vAlign w:val="center"/>
          </w:tcPr>
          <w:p w14:paraId="6CF5936A"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TOTALES</w:t>
            </w:r>
          </w:p>
        </w:tc>
        <w:tc>
          <w:tcPr>
            <w:tcW w:w="441" w:type="dxa"/>
            <w:tcBorders>
              <w:top w:val="nil"/>
              <w:left w:val="nil"/>
              <w:bottom w:val="single" w:sz="4" w:space="0" w:color="auto"/>
              <w:right w:val="single" w:sz="4" w:space="0" w:color="auto"/>
            </w:tcBorders>
            <w:shd w:val="clear" w:color="auto" w:fill="011C50"/>
            <w:noWrap/>
            <w:vAlign w:val="center"/>
          </w:tcPr>
          <w:p w14:paraId="242528E5"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34</w:t>
            </w:r>
          </w:p>
        </w:tc>
        <w:tc>
          <w:tcPr>
            <w:tcW w:w="450" w:type="dxa"/>
            <w:tcBorders>
              <w:top w:val="nil"/>
              <w:left w:val="nil"/>
              <w:bottom w:val="single" w:sz="4" w:space="0" w:color="auto"/>
              <w:right w:val="single" w:sz="4" w:space="0" w:color="auto"/>
            </w:tcBorders>
            <w:shd w:val="clear" w:color="auto" w:fill="011C50"/>
            <w:noWrap/>
            <w:vAlign w:val="center"/>
          </w:tcPr>
          <w:p w14:paraId="409E9582"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34</w:t>
            </w:r>
          </w:p>
        </w:tc>
        <w:tc>
          <w:tcPr>
            <w:tcW w:w="540" w:type="dxa"/>
            <w:tcBorders>
              <w:top w:val="nil"/>
              <w:left w:val="nil"/>
              <w:bottom w:val="single" w:sz="4" w:space="0" w:color="auto"/>
              <w:right w:val="single" w:sz="4" w:space="0" w:color="auto"/>
            </w:tcBorders>
            <w:shd w:val="clear" w:color="auto" w:fill="011C50"/>
            <w:noWrap/>
            <w:vAlign w:val="center"/>
          </w:tcPr>
          <w:p w14:paraId="1EDA7E89"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54</w:t>
            </w:r>
          </w:p>
        </w:tc>
        <w:tc>
          <w:tcPr>
            <w:tcW w:w="540" w:type="dxa"/>
            <w:tcBorders>
              <w:top w:val="nil"/>
              <w:left w:val="nil"/>
              <w:bottom w:val="single" w:sz="4" w:space="0" w:color="auto"/>
              <w:right w:val="single" w:sz="4" w:space="0" w:color="auto"/>
            </w:tcBorders>
            <w:shd w:val="clear" w:color="auto" w:fill="011C50"/>
            <w:noWrap/>
            <w:vAlign w:val="center"/>
          </w:tcPr>
          <w:p w14:paraId="3F350D3C"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48</w:t>
            </w:r>
          </w:p>
        </w:tc>
        <w:tc>
          <w:tcPr>
            <w:tcW w:w="540" w:type="dxa"/>
            <w:tcBorders>
              <w:top w:val="nil"/>
              <w:left w:val="nil"/>
              <w:bottom w:val="single" w:sz="4" w:space="0" w:color="auto"/>
              <w:right w:val="single" w:sz="4" w:space="0" w:color="auto"/>
            </w:tcBorders>
            <w:shd w:val="clear" w:color="auto" w:fill="011C50"/>
            <w:noWrap/>
            <w:vAlign w:val="center"/>
          </w:tcPr>
          <w:p w14:paraId="71498ADD"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51</w:t>
            </w:r>
          </w:p>
        </w:tc>
        <w:tc>
          <w:tcPr>
            <w:tcW w:w="540" w:type="dxa"/>
            <w:tcBorders>
              <w:top w:val="nil"/>
              <w:left w:val="nil"/>
              <w:bottom w:val="single" w:sz="4" w:space="0" w:color="auto"/>
              <w:right w:val="single" w:sz="4" w:space="0" w:color="auto"/>
            </w:tcBorders>
            <w:shd w:val="clear" w:color="auto" w:fill="011C50"/>
            <w:noWrap/>
            <w:vAlign w:val="center"/>
          </w:tcPr>
          <w:p w14:paraId="2D6138D9"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28</w:t>
            </w:r>
          </w:p>
        </w:tc>
        <w:tc>
          <w:tcPr>
            <w:tcW w:w="540" w:type="dxa"/>
            <w:tcBorders>
              <w:top w:val="nil"/>
              <w:left w:val="nil"/>
              <w:bottom w:val="single" w:sz="4" w:space="0" w:color="auto"/>
              <w:right w:val="single" w:sz="4" w:space="0" w:color="auto"/>
            </w:tcBorders>
            <w:shd w:val="clear" w:color="auto" w:fill="011C50"/>
            <w:noWrap/>
            <w:vAlign w:val="center"/>
          </w:tcPr>
          <w:p w14:paraId="05CE9A5A"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46</w:t>
            </w:r>
          </w:p>
        </w:tc>
        <w:tc>
          <w:tcPr>
            <w:tcW w:w="450" w:type="dxa"/>
            <w:tcBorders>
              <w:top w:val="nil"/>
              <w:left w:val="nil"/>
              <w:bottom w:val="single" w:sz="4" w:space="0" w:color="auto"/>
              <w:right w:val="single" w:sz="4" w:space="0" w:color="auto"/>
            </w:tcBorders>
            <w:shd w:val="clear" w:color="auto" w:fill="011C50"/>
            <w:noWrap/>
            <w:vAlign w:val="center"/>
          </w:tcPr>
          <w:p w14:paraId="6204270A"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58</w:t>
            </w:r>
          </w:p>
        </w:tc>
        <w:tc>
          <w:tcPr>
            <w:tcW w:w="540" w:type="dxa"/>
            <w:tcBorders>
              <w:top w:val="nil"/>
              <w:left w:val="nil"/>
              <w:bottom w:val="single" w:sz="4" w:space="0" w:color="auto"/>
              <w:right w:val="single" w:sz="4" w:space="0" w:color="auto"/>
            </w:tcBorders>
            <w:shd w:val="clear" w:color="auto" w:fill="011C50"/>
            <w:noWrap/>
            <w:vAlign w:val="center"/>
          </w:tcPr>
          <w:p w14:paraId="545A9B40"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34</w:t>
            </w:r>
          </w:p>
        </w:tc>
        <w:tc>
          <w:tcPr>
            <w:tcW w:w="420" w:type="dxa"/>
            <w:tcBorders>
              <w:top w:val="nil"/>
              <w:left w:val="nil"/>
              <w:bottom w:val="single" w:sz="4" w:space="0" w:color="auto"/>
              <w:right w:val="single" w:sz="4" w:space="0" w:color="auto"/>
            </w:tcBorders>
            <w:shd w:val="clear" w:color="auto" w:fill="011C50"/>
            <w:noWrap/>
            <w:vAlign w:val="center"/>
          </w:tcPr>
          <w:p w14:paraId="3302C051"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49</w:t>
            </w:r>
          </w:p>
        </w:tc>
        <w:tc>
          <w:tcPr>
            <w:tcW w:w="480" w:type="dxa"/>
            <w:tcBorders>
              <w:top w:val="nil"/>
              <w:left w:val="nil"/>
              <w:bottom w:val="single" w:sz="4" w:space="0" w:color="auto"/>
              <w:right w:val="single" w:sz="4" w:space="0" w:color="auto"/>
            </w:tcBorders>
            <w:shd w:val="clear" w:color="auto" w:fill="011C50"/>
            <w:noWrap/>
            <w:vAlign w:val="center"/>
          </w:tcPr>
          <w:p w14:paraId="0B98A3A5"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28</w:t>
            </w:r>
          </w:p>
        </w:tc>
        <w:tc>
          <w:tcPr>
            <w:tcW w:w="450" w:type="dxa"/>
            <w:tcBorders>
              <w:top w:val="nil"/>
              <w:left w:val="nil"/>
              <w:bottom w:val="single" w:sz="4" w:space="0" w:color="auto"/>
              <w:right w:val="single" w:sz="4" w:space="0" w:color="auto"/>
            </w:tcBorders>
            <w:shd w:val="clear" w:color="auto" w:fill="011C50"/>
            <w:noWrap/>
            <w:vAlign w:val="center"/>
          </w:tcPr>
          <w:p w14:paraId="79CA979A"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11</w:t>
            </w:r>
          </w:p>
        </w:tc>
        <w:tc>
          <w:tcPr>
            <w:tcW w:w="819" w:type="dxa"/>
            <w:tcBorders>
              <w:top w:val="nil"/>
              <w:left w:val="nil"/>
              <w:bottom w:val="single" w:sz="4" w:space="0" w:color="auto"/>
              <w:right w:val="single" w:sz="4" w:space="0" w:color="auto"/>
            </w:tcBorders>
            <w:shd w:val="clear" w:color="auto" w:fill="011C50"/>
            <w:noWrap/>
            <w:vAlign w:val="center"/>
          </w:tcPr>
          <w:p w14:paraId="6C26E4A8" w14:textId="77777777" w:rsidR="006C2A50" w:rsidRPr="006C2A50" w:rsidRDefault="006C2A50" w:rsidP="006C2A50">
            <w:pPr>
              <w:spacing w:after="0" w:line="240" w:lineRule="auto"/>
              <w:jc w:val="center"/>
              <w:rPr>
                <w:rFonts w:eastAsia="Times New Roman"/>
                <w:b/>
                <w:bCs/>
                <w:color w:val="FFFFFF"/>
                <w:spacing w:val="0"/>
                <w:sz w:val="18"/>
                <w:szCs w:val="18"/>
                <w:lang w:val="es-DO" w:eastAsia="es-DO"/>
              </w:rPr>
            </w:pPr>
            <w:r w:rsidRPr="006C2A50">
              <w:rPr>
                <w:rFonts w:eastAsia="Times New Roman"/>
                <w:b/>
                <w:bCs/>
                <w:color w:val="FFFFFF"/>
                <w:spacing w:val="0"/>
                <w:sz w:val="18"/>
                <w:szCs w:val="18"/>
                <w:lang w:val="es-DO" w:eastAsia="es-DO"/>
              </w:rPr>
              <w:t>475</w:t>
            </w:r>
          </w:p>
        </w:tc>
      </w:tr>
    </w:tbl>
    <w:p w14:paraId="5BD056F6" w14:textId="77777777" w:rsidR="006C2A50" w:rsidRPr="006C2A50" w:rsidRDefault="006C2A50" w:rsidP="006C2A50">
      <w:pPr>
        <w:spacing w:after="0" w:line="240" w:lineRule="auto"/>
        <w:textAlignment w:val="baseline"/>
        <w:rPr>
          <w:rFonts w:eastAsia="Calibri"/>
          <w:lang w:val="es-DO"/>
        </w:rPr>
      </w:pPr>
      <w:r w:rsidRPr="006C2A50">
        <w:rPr>
          <w:rFonts w:eastAsia="Calibri"/>
          <w:i/>
          <w:iCs/>
          <w:sz w:val="20"/>
          <w:szCs w:val="20"/>
          <w:lang w:val="es-DO"/>
        </w:rPr>
        <w:t>Cuadro No. 29 Solicitudes de informaciones atendidas durante el año 2025.</w:t>
      </w:r>
    </w:p>
    <w:p w14:paraId="62A504B7" w14:textId="77777777" w:rsidR="006C2A50" w:rsidRPr="006C2A50" w:rsidRDefault="006C2A50" w:rsidP="003F639F">
      <w:pPr>
        <w:spacing w:line="360" w:lineRule="auto"/>
        <w:jc w:val="both"/>
        <w:rPr>
          <w:rFonts w:eastAsia="Calibri"/>
          <w:color w:val="717676"/>
          <w:lang w:val="es-DO"/>
        </w:rPr>
      </w:pPr>
    </w:p>
    <w:p w14:paraId="6FB2C927" w14:textId="77777777" w:rsidR="006C2A50" w:rsidRPr="006C2A50" w:rsidRDefault="006C2A50" w:rsidP="003F639F">
      <w:pPr>
        <w:spacing w:line="360" w:lineRule="auto"/>
        <w:jc w:val="both"/>
        <w:rPr>
          <w:rFonts w:eastAsia="Calibri"/>
          <w:color w:val="717676"/>
          <w:lang w:val="es-DO"/>
        </w:rPr>
      </w:pPr>
      <w:r w:rsidRPr="006C2A50">
        <w:rPr>
          <w:rFonts w:eastAsia="Calibri"/>
          <w:color w:val="717676"/>
          <w:lang w:val="es-DO"/>
        </w:rPr>
        <w:t>En el cuadro anterior muestra que la mayor cantidad de informaciones solicitadas por los ciudadanos corresponden a los servicios ofrecidos por los museos, con unas 415 consultas, equivalentes al 87.36% del total atendido; mientras que el resto de las informaciones solicitadas representan el 12.63%, con un total de 60 consultas; destacando que la mayor cantidad se registra en las solicitudes de empleo y pasantías.</w:t>
      </w:r>
    </w:p>
    <w:p w14:paraId="1CD6F75A" w14:textId="42365BB9" w:rsidR="006C2A50" w:rsidRPr="006C2A50" w:rsidRDefault="003F639F" w:rsidP="006C2A50">
      <w:pPr>
        <w:spacing w:after="0" w:line="240" w:lineRule="auto"/>
        <w:jc w:val="center"/>
        <w:rPr>
          <w:rFonts w:eastAsia="Calibri"/>
          <w:b/>
          <w:bCs/>
          <w:lang w:val="es-DO"/>
        </w:rPr>
      </w:pPr>
      <w:r w:rsidRPr="006C2A50">
        <w:rPr>
          <w:rFonts w:eastAsia="Calibri"/>
          <w:noProof/>
        </w:rPr>
        <w:drawing>
          <wp:inline distT="0" distB="0" distL="0" distR="0" wp14:anchorId="3A698F64" wp14:editId="74657D0D">
            <wp:extent cx="5029200" cy="3265745"/>
            <wp:effectExtent l="0" t="0" r="0" b="11430"/>
            <wp:docPr id="27127087" name="Gráfico 271270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DDBFCB3" w14:textId="5B5D68E4" w:rsidR="006C2A50" w:rsidRPr="006C2A50" w:rsidRDefault="003F639F" w:rsidP="006C2A50">
      <w:pPr>
        <w:spacing w:after="0" w:line="240" w:lineRule="auto"/>
        <w:jc w:val="center"/>
        <w:rPr>
          <w:rFonts w:eastAsia="Calibri"/>
          <w:b/>
          <w:bCs/>
          <w:lang w:val="es-DO"/>
        </w:rPr>
      </w:pPr>
      <w:r w:rsidRPr="003F639F">
        <w:rPr>
          <w:rFonts w:eastAsia="Calibri"/>
          <w:i/>
          <w:iCs/>
          <w:sz w:val="22"/>
          <w:szCs w:val="22"/>
          <w:lang w:val="es-DO"/>
        </w:rPr>
        <w:t xml:space="preserve">   Gráfico</w:t>
      </w:r>
      <w:r>
        <w:rPr>
          <w:rFonts w:eastAsia="Calibri"/>
          <w:i/>
          <w:iCs/>
          <w:sz w:val="22"/>
          <w:szCs w:val="22"/>
          <w:lang w:val="es-DO"/>
        </w:rPr>
        <w:t xml:space="preserve"> 10</w:t>
      </w:r>
      <w:r w:rsidRPr="003F639F">
        <w:rPr>
          <w:rFonts w:eastAsia="Calibri"/>
          <w:i/>
          <w:iCs/>
          <w:sz w:val="22"/>
          <w:szCs w:val="22"/>
          <w:lang w:val="es-DO"/>
        </w:rPr>
        <w:t xml:space="preserve">. </w:t>
      </w:r>
      <w:r>
        <w:rPr>
          <w:rFonts w:eastAsia="Calibri"/>
          <w:i/>
          <w:iCs/>
          <w:sz w:val="22"/>
          <w:szCs w:val="22"/>
          <w:lang w:val="es-DO"/>
        </w:rPr>
        <w:t>Servicios ofrecidos por la OAI</w:t>
      </w:r>
      <w:r w:rsidRPr="003F639F">
        <w:rPr>
          <w:rFonts w:eastAsia="Calibri"/>
          <w:i/>
          <w:iCs/>
          <w:sz w:val="22"/>
          <w:szCs w:val="22"/>
          <w:lang w:val="es-DO"/>
        </w:rPr>
        <w:t xml:space="preserve"> el año 2025</w:t>
      </w:r>
      <w:r w:rsidRPr="003F639F">
        <w:rPr>
          <w:rFonts w:eastAsia="Calibri"/>
          <w:b/>
          <w:bCs/>
          <w:lang w:val="es-DO"/>
        </w:rPr>
        <w:t>.</w:t>
      </w:r>
    </w:p>
    <w:p w14:paraId="02508EBE" w14:textId="77777777" w:rsidR="006C2A50" w:rsidRPr="006C2A50" w:rsidRDefault="006C2A50" w:rsidP="006C2A50">
      <w:pPr>
        <w:spacing w:after="0" w:line="240" w:lineRule="auto"/>
        <w:jc w:val="center"/>
        <w:rPr>
          <w:rFonts w:eastAsia="Calibri"/>
          <w:b/>
          <w:bCs/>
          <w:lang w:val="es-DO"/>
        </w:rPr>
      </w:pPr>
      <w:r w:rsidRPr="006C2A50">
        <w:rPr>
          <w:rFonts w:eastAsia="Calibri"/>
          <w:b/>
          <w:bCs/>
          <w:lang w:val="es-DO"/>
        </w:rPr>
        <w:lastRenderedPageBreak/>
        <w:t>Solicitudes de Información Recibidas</w:t>
      </w:r>
    </w:p>
    <w:p w14:paraId="6780B3E3" w14:textId="77777777" w:rsidR="006C2A50" w:rsidRPr="006C2A50" w:rsidRDefault="006C2A50" w:rsidP="006C2A50">
      <w:pPr>
        <w:spacing w:after="0" w:line="240" w:lineRule="auto"/>
        <w:jc w:val="center"/>
        <w:rPr>
          <w:rFonts w:eastAsia="Calibri"/>
          <w:b/>
          <w:bCs/>
          <w:lang w:val="es-DO"/>
        </w:rPr>
      </w:pPr>
      <w:r w:rsidRPr="006C2A50">
        <w:rPr>
          <w:rFonts w:eastAsia="Calibri"/>
          <w:b/>
          <w:bCs/>
          <w:lang w:val="es-DO"/>
        </w:rPr>
        <w:t>(enero-diciembre de 2025)</w:t>
      </w:r>
    </w:p>
    <w:p w14:paraId="4F81F364" w14:textId="77777777" w:rsidR="006C2A50" w:rsidRPr="006C2A50" w:rsidRDefault="006C2A50" w:rsidP="006C2A50">
      <w:pPr>
        <w:spacing w:after="0" w:line="240" w:lineRule="auto"/>
        <w:jc w:val="center"/>
        <w:rPr>
          <w:rFonts w:eastAsia="Calibri"/>
          <w:b/>
          <w:bCs/>
          <w:lang w:val="es-DO"/>
        </w:rPr>
      </w:pPr>
    </w:p>
    <w:tbl>
      <w:tblPr>
        <w:tblW w:w="6374" w:type="dxa"/>
        <w:jc w:val="center"/>
        <w:tblLook w:val="04A0" w:firstRow="1" w:lastRow="0" w:firstColumn="1" w:lastColumn="0" w:noHBand="0" w:noVBand="1"/>
      </w:tblPr>
      <w:tblGrid>
        <w:gridCol w:w="1590"/>
        <w:gridCol w:w="2516"/>
        <w:gridCol w:w="2268"/>
      </w:tblGrid>
      <w:tr w:rsidR="006C2A50" w:rsidRPr="006C2A50" w14:paraId="40053D00" w14:textId="77777777" w:rsidTr="003F639F">
        <w:trPr>
          <w:trHeight w:val="129"/>
          <w:jc w:val="center"/>
        </w:trPr>
        <w:tc>
          <w:tcPr>
            <w:tcW w:w="1590" w:type="dxa"/>
            <w:tcBorders>
              <w:top w:val="single" w:sz="4" w:space="0" w:color="757171"/>
              <w:left w:val="single" w:sz="4" w:space="0" w:color="757171"/>
              <w:bottom w:val="single" w:sz="4" w:space="0" w:color="757171"/>
              <w:right w:val="single" w:sz="4" w:space="0" w:color="757171"/>
            </w:tcBorders>
            <w:shd w:val="clear" w:color="000000" w:fill="002060"/>
            <w:vAlign w:val="center"/>
          </w:tcPr>
          <w:p w14:paraId="476331B3" w14:textId="77777777" w:rsidR="006C2A50" w:rsidRPr="006C2A50" w:rsidRDefault="006C2A50" w:rsidP="006C2A50">
            <w:pPr>
              <w:spacing w:after="0" w:line="240" w:lineRule="auto"/>
              <w:jc w:val="center"/>
              <w:rPr>
                <w:rFonts w:eastAsia="Times New Roman"/>
                <w:b/>
                <w:bCs/>
                <w:color w:val="FFFFFF"/>
                <w:spacing w:val="0"/>
                <w:sz w:val="22"/>
                <w:szCs w:val="22"/>
              </w:rPr>
            </w:pPr>
            <w:r w:rsidRPr="006C2A50">
              <w:rPr>
                <w:rFonts w:eastAsia="Calibri"/>
                <w:b/>
                <w:bCs/>
                <w:color w:val="FFFFFF"/>
                <w:spacing w:val="0"/>
                <w:sz w:val="22"/>
                <w:szCs w:val="22"/>
                <w:lang w:val="es-DO"/>
              </w:rPr>
              <w:t>Mes</w:t>
            </w:r>
          </w:p>
        </w:tc>
        <w:tc>
          <w:tcPr>
            <w:tcW w:w="2516" w:type="dxa"/>
            <w:tcBorders>
              <w:top w:val="single" w:sz="4" w:space="0" w:color="757171"/>
              <w:left w:val="nil"/>
              <w:bottom w:val="single" w:sz="4" w:space="0" w:color="757171"/>
              <w:right w:val="single" w:sz="4" w:space="0" w:color="757171"/>
            </w:tcBorders>
            <w:shd w:val="clear" w:color="000000" w:fill="002060"/>
            <w:vAlign w:val="center"/>
          </w:tcPr>
          <w:p w14:paraId="437668DC" w14:textId="77777777" w:rsidR="006C2A50" w:rsidRPr="006C2A50" w:rsidRDefault="006C2A50" w:rsidP="006C2A50">
            <w:pPr>
              <w:spacing w:after="0" w:line="240" w:lineRule="auto"/>
              <w:jc w:val="center"/>
              <w:rPr>
                <w:rFonts w:eastAsia="Times New Roman"/>
                <w:b/>
                <w:bCs/>
                <w:color w:val="FFFFFF"/>
                <w:spacing w:val="0"/>
                <w:sz w:val="22"/>
                <w:szCs w:val="22"/>
              </w:rPr>
            </w:pPr>
            <w:r w:rsidRPr="006C2A50">
              <w:rPr>
                <w:rFonts w:eastAsia="Calibri"/>
                <w:b/>
                <w:bCs/>
                <w:color w:val="FFFFFF"/>
                <w:spacing w:val="0"/>
                <w:sz w:val="22"/>
                <w:szCs w:val="22"/>
                <w:lang w:val="es-DO"/>
              </w:rPr>
              <w:t>Cantidad de Solicitudes</w:t>
            </w:r>
          </w:p>
        </w:tc>
        <w:tc>
          <w:tcPr>
            <w:tcW w:w="2268" w:type="dxa"/>
            <w:tcBorders>
              <w:top w:val="single" w:sz="4" w:space="0" w:color="757171"/>
              <w:left w:val="nil"/>
              <w:bottom w:val="single" w:sz="4" w:space="0" w:color="757171"/>
              <w:right w:val="single" w:sz="4" w:space="0" w:color="757171"/>
            </w:tcBorders>
            <w:shd w:val="clear" w:color="000000" w:fill="002060"/>
          </w:tcPr>
          <w:p w14:paraId="30A188AE" w14:textId="77777777" w:rsidR="006C2A50" w:rsidRPr="006C2A50" w:rsidRDefault="006C2A50" w:rsidP="006C2A50">
            <w:pPr>
              <w:spacing w:after="0" w:line="240" w:lineRule="auto"/>
              <w:jc w:val="center"/>
              <w:rPr>
                <w:rFonts w:eastAsia="Calibri"/>
                <w:b/>
                <w:bCs/>
                <w:color w:val="FFFFFF"/>
                <w:spacing w:val="0"/>
                <w:sz w:val="22"/>
                <w:szCs w:val="22"/>
                <w:lang w:val="es-DO"/>
              </w:rPr>
            </w:pPr>
            <w:r w:rsidRPr="006C2A50">
              <w:rPr>
                <w:rFonts w:eastAsia="Calibri"/>
                <w:b/>
                <w:bCs/>
                <w:color w:val="FFFFFF"/>
                <w:spacing w:val="0"/>
                <w:sz w:val="22"/>
                <w:szCs w:val="22"/>
                <w:lang w:val="es-DO"/>
              </w:rPr>
              <w:t>Tiempo de Respuesta (días)</w:t>
            </w:r>
          </w:p>
        </w:tc>
      </w:tr>
      <w:tr w:rsidR="006C2A50" w:rsidRPr="006C2A50" w14:paraId="1A58EBF1"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2401EEE9"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Enero</w:t>
            </w:r>
          </w:p>
        </w:tc>
        <w:tc>
          <w:tcPr>
            <w:tcW w:w="2516" w:type="dxa"/>
            <w:tcBorders>
              <w:top w:val="nil"/>
              <w:left w:val="nil"/>
              <w:bottom w:val="single" w:sz="4" w:space="0" w:color="757171"/>
              <w:right w:val="single" w:sz="4" w:space="0" w:color="757171"/>
            </w:tcBorders>
            <w:vAlign w:val="center"/>
          </w:tcPr>
          <w:p w14:paraId="7937262D"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34</w:t>
            </w:r>
          </w:p>
        </w:tc>
        <w:tc>
          <w:tcPr>
            <w:tcW w:w="2268" w:type="dxa"/>
            <w:tcBorders>
              <w:top w:val="nil"/>
              <w:left w:val="nil"/>
              <w:bottom w:val="single" w:sz="4" w:space="0" w:color="757171"/>
              <w:right w:val="single" w:sz="4" w:space="0" w:color="757171"/>
            </w:tcBorders>
          </w:tcPr>
          <w:p w14:paraId="53C07BC4"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3</w:t>
            </w:r>
          </w:p>
        </w:tc>
      </w:tr>
      <w:tr w:rsidR="006C2A50" w:rsidRPr="006C2A50" w14:paraId="4FD1EBDE"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606038F1"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Febrero</w:t>
            </w:r>
          </w:p>
        </w:tc>
        <w:tc>
          <w:tcPr>
            <w:tcW w:w="2516" w:type="dxa"/>
            <w:tcBorders>
              <w:top w:val="nil"/>
              <w:left w:val="nil"/>
              <w:bottom w:val="single" w:sz="4" w:space="0" w:color="757171"/>
              <w:right w:val="single" w:sz="4" w:space="0" w:color="757171"/>
            </w:tcBorders>
            <w:vAlign w:val="center"/>
          </w:tcPr>
          <w:p w14:paraId="66755ED3"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34</w:t>
            </w:r>
          </w:p>
        </w:tc>
        <w:tc>
          <w:tcPr>
            <w:tcW w:w="2268" w:type="dxa"/>
            <w:tcBorders>
              <w:top w:val="nil"/>
              <w:left w:val="nil"/>
              <w:bottom w:val="single" w:sz="4" w:space="0" w:color="757171"/>
              <w:right w:val="single" w:sz="4" w:space="0" w:color="757171"/>
            </w:tcBorders>
          </w:tcPr>
          <w:p w14:paraId="3FC3A65C"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5</w:t>
            </w:r>
          </w:p>
        </w:tc>
      </w:tr>
      <w:tr w:rsidR="006C2A50" w:rsidRPr="006C2A50" w14:paraId="776FA8D4"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43527253"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Marzo</w:t>
            </w:r>
          </w:p>
        </w:tc>
        <w:tc>
          <w:tcPr>
            <w:tcW w:w="2516" w:type="dxa"/>
            <w:tcBorders>
              <w:top w:val="nil"/>
              <w:left w:val="nil"/>
              <w:bottom w:val="single" w:sz="4" w:space="0" w:color="757171"/>
              <w:right w:val="single" w:sz="4" w:space="0" w:color="757171"/>
            </w:tcBorders>
            <w:vAlign w:val="center"/>
          </w:tcPr>
          <w:p w14:paraId="4CF8A95A"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54</w:t>
            </w:r>
          </w:p>
        </w:tc>
        <w:tc>
          <w:tcPr>
            <w:tcW w:w="2268" w:type="dxa"/>
            <w:tcBorders>
              <w:top w:val="nil"/>
              <w:left w:val="nil"/>
              <w:bottom w:val="single" w:sz="4" w:space="0" w:color="757171"/>
              <w:right w:val="single" w:sz="4" w:space="0" w:color="757171"/>
            </w:tcBorders>
          </w:tcPr>
          <w:p w14:paraId="7A85BB4E"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3</w:t>
            </w:r>
          </w:p>
        </w:tc>
      </w:tr>
      <w:tr w:rsidR="006C2A50" w:rsidRPr="006C2A50" w14:paraId="59612036"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11ACB2D9"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Abril</w:t>
            </w:r>
          </w:p>
        </w:tc>
        <w:tc>
          <w:tcPr>
            <w:tcW w:w="2516" w:type="dxa"/>
            <w:tcBorders>
              <w:top w:val="nil"/>
              <w:left w:val="nil"/>
              <w:bottom w:val="single" w:sz="4" w:space="0" w:color="757171"/>
              <w:right w:val="single" w:sz="4" w:space="0" w:color="757171"/>
            </w:tcBorders>
            <w:vAlign w:val="center"/>
          </w:tcPr>
          <w:p w14:paraId="2955DC9D"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48</w:t>
            </w:r>
          </w:p>
        </w:tc>
        <w:tc>
          <w:tcPr>
            <w:tcW w:w="2268" w:type="dxa"/>
            <w:tcBorders>
              <w:top w:val="nil"/>
              <w:left w:val="nil"/>
              <w:bottom w:val="single" w:sz="4" w:space="0" w:color="757171"/>
              <w:right w:val="single" w:sz="4" w:space="0" w:color="757171"/>
            </w:tcBorders>
          </w:tcPr>
          <w:p w14:paraId="5DFD4C33"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3</w:t>
            </w:r>
          </w:p>
        </w:tc>
      </w:tr>
      <w:tr w:rsidR="006C2A50" w:rsidRPr="006C2A50" w14:paraId="79FB2617"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7E1D8FBB"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Mayo</w:t>
            </w:r>
          </w:p>
        </w:tc>
        <w:tc>
          <w:tcPr>
            <w:tcW w:w="2516" w:type="dxa"/>
            <w:tcBorders>
              <w:top w:val="nil"/>
              <w:left w:val="nil"/>
              <w:bottom w:val="single" w:sz="4" w:space="0" w:color="757171"/>
              <w:right w:val="single" w:sz="4" w:space="0" w:color="757171"/>
            </w:tcBorders>
            <w:vAlign w:val="center"/>
          </w:tcPr>
          <w:p w14:paraId="4F1FEA26"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51</w:t>
            </w:r>
          </w:p>
        </w:tc>
        <w:tc>
          <w:tcPr>
            <w:tcW w:w="2268" w:type="dxa"/>
            <w:tcBorders>
              <w:top w:val="nil"/>
              <w:left w:val="nil"/>
              <w:bottom w:val="single" w:sz="4" w:space="0" w:color="757171"/>
              <w:right w:val="single" w:sz="4" w:space="0" w:color="757171"/>
            </w:tcBorders>
          </w:tcPr>
          <w:p w14:paraId="16669F54"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7</w:t>
            </w:r>
          </w:p>
        </w:tc>
      </w:tr>
      <w:tr w:rsidR="006C2A50" w:rsidRPr="006C2A50" w14:paraId="42045A92"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32F1329F"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Junio</w:t>
            </w:r>
          </w:p>
        </w:tc>
        <w:tc>
          <w:tcPr>
            <w:tcW w:w="2516" w:type="dxa"/>
            <w:tcBorders>
              <w:top w:val="nil"/>
              <w:left w:val="nil"/>
              <w:bottom w:val="single" w:sz="4" w:space="0" w:color="757171"/>
              <w:right w:val="single" w:sz="4" w:space="0" w:color="757171"/>
            </w:tcBorders>
            <w:vAlign w:val="center"/>
          </w:tcPr>
          <w:p w14:paraId="6A2FD7C0"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28</w:t>
            </w:r>
          </w:p>
        </w:tc>
        <w:tc>
          <w:tcPr>
            <w:tcW w:w="2268" w:type="dxa"/>
            <w:tcBorders>
              <w:top w:val="nil"/>
              <w:left w:val="nil"/>
              <w:bottom w:val="single" w:sz="4" w:space="0" w:color="757171"/>
              <w:right w:val="single" w:sz="4" w:space="0" w:color="757171"/>
            </w:tcBorders>
          </w:tcPr>
          <w:p w14:paraId="4874C05C"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5</w:t>
            </w:r>
          </w:p>
        </w:tc>
      </w:tr>
      <w:tr w:rsidR="006C2A50" w:rsidRPr="006C2A50" w14:paraId="1AD7B699"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3C136204"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Julio</w:t>
            </w:r>
          </w:p>
        </w:tc>
        <w:tc>
          <w:tcPr>
            <w:tcW w:w="2516" w:type="dxa"/>
            <w:tcBorders>
              <w:top w:val="nil"/>
              <w:left w:val="nil"/>
              <w:bottom w:val="single" w:sz="4" w:space="0" w:color="757171"/>
              <w:right w:val="single" w:sz="4" w:space="0" w:color="757171"/>
            </w:tcBorders>
            <w:vAlign w:val="center"/>
          </w:tcPr>
          <w:p w14:paraId="4EA3F829"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46</w:t>
            </w:r>
          </w:p>
        </w:tc>
        <w:tc>
          <w:tcPr>
            <w:tcW w:w="2268" w:type="dxa"/>
            <w:tcBorders>
              <w:top w:val="nil"/>
              <w:left w:val="nil"/>
              <w:bottom w:val="single" w:sz="4" w:space="0" w:color="757171"/>
              <w:right w:val="single" w:sz="4" w:space="0" w:color="757171"/>
            </w:tcBorders>
          </w:tcPr>
          <w:p w14:paraId="03742C64"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3</w:t>
            </w:r>
          </w:p>
        </w:tc>
      </w:tr>
      <w:tr w:rsidR="006C2A50" w:rsidRPr="006C2A50" w14:paraId="3BC09903"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6084BCE2"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Agosto</w:t>
            </w:r>
          </w:p>
        </w:tc>
        <w:tc>
          <w:tcPr>
            <w:tcW w:w="2516" w:type="dxa"/>
            <w:tcBorders>
              <w:top w:val="nil"/>
              <w:left w:val="nil"/>
              <w:bottom w:val="single" w:sz="4" w:space="0" w:color="757171"/>
              <w:right w:val="single" w:sz="4" w:space="0" w:color="757171"/>
            </w:tcBorders>
            <w:vAlign w:val="center"/>
          </w:tcPr>
          <w:p w14:paraId="5F4F17DF"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58</w:t>
            </w:r>
          </w:p>
        </w:tc>
        <w:tc>
          <w:tcPr>
            <w:tcW w:w="2268" w:type="dxa"/>
            <w:tcBorders>
              <w:top w:val="nil"/>
              <w:left w:val="nil"/>
              <w:bottom w:val="single" w:sz="4" w:space="0" w:color="757171"/>
              <w:right w:val="single" w:sz="4" w:space="0" w:color="757171"/>
            </w:tcBorders>
          </w:tcPr>
          <w:p w14:paraId="7853A3D2"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7</w:t>
            </w:r>
          </w:p>
        </w:tc>
      </w:tr>
      <w:tr w:rsidR="006C2A50" w:rsidRPr="006C2A50" w14:paraId="2CCF3412"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66BAED51"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Septiembre</w:t>
            </w:r>
          </w:p>
        </w:tc>
        <w:tc>
          <w:tcPr>
            <w:tcW w:w="2516" w:type="dxa"/>
            <w:tcBorders>
              <w:top w:val="nil"/>
              <w:left w:val="nil"/>
              <w:bottom w:val="single" w:sz="4" w:space="0" w:color="757171"/>
              <w:right w:val="single" w:sz="4" w:space="0" w:color="757171"/>
            </w:tcBorders>
            <w:vAlign w:val="center"/>
          </w:tcPr>
          <w:p w14:paraId="2C2F257A"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34</w:t>
            </w:r>
          </w:p>
        </w:tc>
        <w:tc>
          <w:tcPr>
            <w:tcW w:w="2268" w:type="dxa"/>
            <w:tcBorders>
              <w:top w:val="nil"/>
              <w:left w:val="nil"/>
              <w:bottom w:val="single" w:sz="4" w:space="0" w:color="757171"/>
              <w:right w:val="single" w:sz="4" w:space="0" w:color="757171"/>
            </w:tcBorders>
          </w:tcPr>
          <w:p w14:paraId="27BD8620"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5</w:t>
            </w:r>
          </w:p>
        </w:tc>
      </w:tr>
      <w:tr w:rsidR="006C2A50" w:rsidRPr="006C2A50" w14:paraId="194BD43E"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240D6418"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Octubre</w:t>
            </w:r>
          </w:p>
        </w:tc>
        <w:tc>
          <w:tcPr>
            <w:tcW w:w="2516" w:type="dxa"/>
            <w:tcBorders>
              <w:top w:val="nil"/>
              <w:left w:val="nil"/>
              <w:bottom w:val="single" w:sz="4" w:space="0" w:color="757171"/>
              <w:right w:val="single" w:sz="4" w:space="0" w:color="757171"/>
            </w:tcBorders>
            <w:vAlign w:val="center"/>
          </w:tcPr>
          <w:p w14:paraId="30C5A01F"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49</w:t>
            </w:r>
          </w:p>
        </w:tc>
        <w:tc>
          <w:tcPr>
            <w:tcW w:w="2268" w:type="dxa"/>
            <w:tcBorders>
              <w:top w:val="nil"/>
              <w:left w:val="nil"/>
              <w:bottom w:val="single" w:sz="4" w:space="0" w:color="757171"/>
              <w:right w:val="single" w:sz="4" w:space="0" w:color="757171"/>
            </w:tcBorders>
          </w:tcPr>
          <w:p w14:paraId="289C8FF8"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7</w:t>
            </w:r>
          </w:p>
        </w:tc>
      </w:tr>
      <w:tr w:rsidR="006C2A50" w:rsidRPr="006C2A50" w14:paraId="182D8CFA"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0D1A1C61" w14:textId="77777777" w:rsidR="006C2A50" w:rsidRPr="006C2A50" w:rsidRDefault="006C2A50" w:rsidP="006C2A50">
            <w:pPr>
              <w:spacing w:after="0" w:line="240" w:lineRule="auto"/>
              <w:jc w:val="both"/>
              <w:rPr>
                <w:rFonts w:eastAsia="Times New Roman"/>
                <w:spacing w:val="0"/>
                <w:sz w:val="20"/>
                <w:szCs w:val="20"/>
              </w:rPr>
            </w:pPr>
            <w:r w:rsidRPr="006C2A50">
              <w:rPr>
                <w:rFonts w:eastAsia="Calibri"/>
                <w:spacing w:val="0"/>
                <w:sz w:val="20"/>
                <w:szCs w:val="20"/>
                <w:lang w:val="es-DO"/>
              </w:rPr>
              <w:t>Noviembre</w:t>
            </w:r>
          </w:p>
        </w:tc>
        <w:tc>
          <w:tcPr>
            <w:tcW w:w="2516" w:type="dxa"/>
            <w:tcBorders>
              <w:top w:val="nil"/>
              <w:left w:val="nil"/>
              <w:bottom w:val="single" w:sz="4" w:space="0" w:color="757171"/>
              <w:right w:val="single" w:sz="4" w:space="0" w:color="757171"/>
            </w:tcBorders>
            <w:vAlign w:val="center"/>
          </w:tcPr>
          <w:p w14:paraId="3DBF5E26" w14:textId="77777777" w:rsidR="006C2A50" w:rsidRPr="006C2A50" w:rsidRDefault="006C2A50" w:rsidP="006C2A50">
            <w:pPr>
              <w:spacing w:after="0" w:line="240" w:lineRule="auto"/>
              <w:jc w:val="center"/>
              <w:rPr>
                <w:rFonts w:eastAsia="Times New Roman"/>
                <w:spacing w:val="0"/>
                <w:sz w:val="20"/>
                <w:szCs w:val="20"/>
              </w:rPr>
            </w:pPr>
            <w:r w:rsidRPr="006C2A50">
              <w:rPr>
                <w:rFonts w:eastAsia="Calibri"/>
                <w:spacing w:val="0"/>
                <w:sz w:val="20"/>
                <w:szCs w:val="20"/>
                <w:lang w:val="es-DO"/>
              </w:rPr>
              <w:t>28</w:t>
            </w:r>
          </w:p>
        </w:tc>
        <w:tc>
          <w:tcPr>
            <w:tcW w:w="2268" w:type="dxa"/>
            <w:tcBorders>
              <w:top w:val="nil"/>
              <w:left w:val="nil"/>
              <w:bottom w:val="single" w:sz="4" w:space="0" w:color="757171"/>
              <w:right w:val="single" w:sz="4" w:space="0" w:color="757171"/>
            </w:tcBorders>
          </w:tcPr>
          <w:p w14:paraId="718BB862"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1</w:t>
            </w:r>
          </w:p>
        </w:tc>
      </w:tr>
      <w:tr w:rsidR="006C2A50" w:rsidRPr="006C2A50" w14:paraId="293E1C57" w14:textId="77777777" w:rsidTr="003F639F">
        <w:trPr>
          <w:trHeight w:val="129"/>
          <w:jc w:val="center"/>
        </w:trPr>
        <w:tc>
          <w:tcPr>
            <w:tcW w:w="1590" w:type="dxa"/>
            <w:tcBorders>
              <w:top w:val="nil"/>
              <w:left w:val="single" w:sz="4" w:space="0" w:color="757171"/>
              <w:bottom w:val="single" w:sz="4" w:space="0" w:color="757171"/>
              <w:right w:val="single" w:sz="4" w:space="0" w:color="757171"/>
            </w:tcBorders>
            <w:vAlign w:val="center"/>
          </w:tcPr>
          <w:p w14:paraId="26861296" w14:textId="77777777" w:rsidR="006C2A50" w:rsidRPr="006C2A50" w:rsidRDefault="006C2A50" w:rsidP="006C2A50">
            <w:pPr>
              <w:spacing w:after="0" w:line="240" w:lineRule="auto"/>
              <w:jc w:val="both"/>
              <w:rPr>
                <w:rFonts w:eastAsia="Calibri"/>
                <w:spacing w:val="0"/>
                <w:sz w:val="20"/>
                <w:szCs w:val="20"/>
                <w:lang w:val="es-DO"/>
              </w:rPr>
            </w:pPr>
            <w:r w:rsidRPr="006C2A50">
              <w:rPr>
                <w:rFonts w:eastAsia="Calibri"/>
                <w:spacing w:val="0"/>
                <w:sz w:val="20"/>
                <w:szCs w:val="20"/>
                <w:lang w:val="es-DO"/>
              </w:rPr>
              <w:t>Diciembre</w:t>
            </w:r>
          </w:p>
        </w:tc>
        <w:tc>
          <w:tcPr>
            <w:tcW w:w="2516" w:type="dxa"/>
            <w:tcBorders>
              <w:top w:val="nil"/>
              <w:left w:val="nil"/>
              <w:bottom w:val="single" w:sz="4" w:space="0" w:color="757171"/>
              <w:right w:val="single" w:sz="4" w:space="0" w:color="757171"/>
            </w:tcBorders>
            <w:vAlign w:val="center"/>
          </w:tcPr>
          <w:p w14:paraId="0083CE13"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spacing w:val="0"/>
                <w:sz w:val="20"/>
                <w:szCs w:val="20"/>
                <w:lang w:val="es-DO"/>
              </w:rPr>
              <w:t>11</w:t>
            </w:r>
          </w:p>
        </w:tc>
        <w:tc>
          <w:tcPr>
            <w:tcW w:w="2268" w:type="dxa"/>
            <w:tcBorders>
              <w:top w:val="nil"/>
              <w:left w:val="nil"/>
              <w:bottom w:val="single" w:sz="4" w:space="0" w:color="757171"/>
              <w:right w:val="single" w:sz="4" w:space="0" w:color="757171"/>
            </w:tcBorders>
          </w:tcPr>
          <w:p w14:paraId="5B85709D" w14:textId="77777777" w:rsidR="006C2A50" w:rsidRPr="006C2A50" w:rsidRDefault="006C2A50" w:rsidP="006C2A50">
            <w:pPr>
              <w:spacing w:after="0" w:line="240" w:lineRule="auto"/>
              <w:jc w:val="center"/>
              <w:rPr>
                <w:rFonts w:eastAsia="Calibri"/>
                <w:spacing w:val="0"/>
                <w:sz w:val="20"/>
                <w:szCs w:val="20"/>
                <w:lang w:val="es-DO"/>
              </w:rPr>
            </w:pPr>
            <w:r w:rsidRPr="006C2A50">
              <w:rPr>
                <w:rFonts w:eastAsia="Calibri"/>
                <w:lang w:val="es-DO"/>
              </w:rPr>
              <w:t>1</w:t>
            </w:r>
          </w:p>
        </w:tc>
      </w:tr>
      <w:tr w:rsidR="006C2A50" w:rsidRPr="006C2A50" w14:paraId="3F86DC34" w14:textId="77777777" w:rsidTr="003F639F">
        <w:trPr>
          <w:trHeight w:val="129"/>
          <w:jc w:val="center"/>
        </w:trPr>
        <w:tc>
          <w:tcPr>
            <w:tcW w:w="1590" w:type="dxa"/>
            <w:tcBorders>
              <w:top w:val="nil"/>
              <w:left w:val="single" w:sz="4" w:space="0" w:color="757171"/>
              <w:right w:val="single" w:sz="4" w:space="0" w:color="757171"/>
            </w:tcBorders>
            <w:shd w:val="clear" w:color="000000" w:fill="002060"/>
            <w:vAlign w:val="center"/>
          </w:tcPr>
          <w:p w14:paraId="4ED20AB9" w14:textId="77777777" w:rsidR="006C2A50" w:rsidRPr="006C2A50" w:rsidRDefault="006C2A50" w:rsidP="006C2A50">
            <w:pPr>
              <w:spacing w:after="0" w:line="240" w:lineRule="auto"/>
              <w:jc w:val="center"/>
              <w:rPr>
                <w:rFonts w:eastAsia="Times New Roman"/>
                <w:b/>
                <w:bCs/>
                <w:color w:val="FFFFFF"/>
                <w:spacing w:val="0"/>
                <w:sz w:val="20"/>
                <w:szCs w:val="20"/>
              </w:rPr>
            </w:pPr>
            <w:r w:rsidRPr="006C2A50">
              <w:rPr>
                <w:rFonts w:eastAsia="Calibri"/>
                <w:b/>
                <w:bCs/>
                <w:color w:val="FFFFFF"/>
                <w:spacing w:val="0"/>
                <w:sz w:val="20"/>
                <w:szCs w:val="20"/>
                <w:lang w:val="es-DO"/>
              </w:rPr>
              <w:t>Total</w:t>
            </w:r>
          </w:p>
        </w:tc>
        <w:tc>
          <w:tcPr>
            <w:tcW w:w="2516" w:type="dxa"/>
            <w:tcBorders>
              <w:top w:val="nil"/>
              <w:left w:val="nil"/>
              <w:right w:val="single" w:sz="4" w:space="0" w:color="757171"/>
            </w:tcBorders>
            <w:shd w:val="clear" w:color="000000" w:fill="002060"/>
            <w:vAlign w:val="center"/>
          </w:tcPr>
          <w:p w14:paraId="6AF2423B" w14:textId="77777777" w:rsidR="006C2A50" w:rsidRPr="006C2A50" w:rsidRDefault="006C2A50" w:rsidP="006C2A50">
            <w:pPr>
              <w:spacing w:after="0" w:line="240" w:lineRule="auto"/>
              <w:jc w:val="center"/>
              <w:rPr>
                <w:rFonts w:eastAsia="Times New Roman"/>
                <w:b/>
                <w:bCs/>
                <w:color w:val="FFFFFF"/>
                <w:spacing w:val="0"/>
                <w:sz w:val="20"/>
                <w:szCs w:val="20"/>
              </w:rPr>
            </w:pPr>
            <w:r w:rsidRPr="006C2A50">
              <w:rPr>
                <w:rFonts w:eastAsia="Times New Roman"/>
                <w:b/>
                <w:bCs/>
                <w:color w:val="FFFFFF"/>
                <w:spacing w:val="0"/>
                <w:sz w:val="20"/>
                <w:szCs w:val="20"/>
              </w:rPr>
              <w:t>475</w:t>
            </w:r>
          </w:p>
        </w:tc>
        <w:tc>
          <w:tcPr>
            <w:tcW w:w="2268" w:type="dxa"/>
            <w:tcBorders>
              <w:top w:val="nil"/>
              <w:left w:val="nil"/>
              <w:right w:val="single" w:sz="4" w:space="0" w:color="757171"/>
            </w:tcBorders>
            <w:shd w:val="clear" w:color="000000" w:fill="002060"/>
          </w:tcPr>
          <w:p w14:paraId="6AE3C845" w14:textId="77777777" w:rsidR="006C2A50" w:rsidRPr="006C2A50" w:rsidRDefault="006C2A50" w:rsidP="006C2A50">
            <w:pPr>
              <w:spacing w:after="0" w:line="240" w:lineRule="auto"/>
              <w:jc w:val="center"/>
              <w:rPr>
                <w:rFonts w:eastAsia="Times New Roman"/>
                <w:b/>
                <w:bCs/>
                <w:color w:val="FFFFFF"/>
                <w:spacing w:val="0"/>
                <w:sz w:val="20"/>
                <w:szCs w:val="20"/>
              </w:rPr>
            </w:pPr>
            <w:r w:rsidRPr="006C2A50">
              <w:rPr>
                <w:rFonts w:eastAsia="Times New Roman"/>
                <w:b/>
                <w:bCs/>
                <w:color w:val="FFFFFF"/>
                <w:spacing w:val="0"/>
                <w:sz w:val="20"/>
                <w:szCs w:val="20"/>
              </w:rPr>
              <w:t xml:space="preserve">3.5 días </w:t>
            </w:r>
            <w:proofErr w:type="spellStart"/>
            <w:r w:rsidRPr="006C2A50">
              <w:rPr>
                <w:rFonts w:eastAsia="Times New Roman"/>
                <w:b/>
                <w:bCs/>
                <w:color w:val="FFFFFF"/>
                <w:spacing w:val="0"/>
                <w:sz w:val="20"/>
                <w:szCs w:val="20"/>
              </w:rPr>
              <w:t>promedio</w:t>
            </w:r>
            <w:proofErr w:type="spellEnd"/>
          </w:p>
        </w:tc>
      </w:tr>
      <w:tr w:rsidR="006C2A50" w:rsidRPr="006C2A50" w14:paraId="36A2108B" w14:textId="77777777" w:rsidTr="003F639F">
        <w:trPr>
          <w:trHeight w:val="129"/>
          <w:jc w:val="center"/>
        </w:trPr>
        <w:tc>
          <w:tcPr>
            <w:tcW w:w="1590" w:type="dxa"/>
            <w:vAlign w:val="center"/>
          </w:tcPr>
          <w:p w14:paraId="33BA8857" w14:textId="77777777" w:rsidR="006C2A50" w:rsidRPr="006C2A50" w:rsidRDefault="006C2A50" w:rsidP="003F639F">
            <w:pPr>
              <w:spacing w:after="0" w:line="240" w:lineRule="auto"/>
              <w:jc w:val="center"/>
              <w:rPr>
                <w:rFonts w:eastAsia="Calibri"/>
                <w:b/>
                <w:bCs/>
                <w:color w:val="FFFFFF"/>
                <w:spacing w:val="0"/>
                <w:sz w:val="20"/>
                <w:szCs w:val="20"/>
                <w:lang w:val="es-DO"/>
              </w:rPr>
            </w:pPr>
          </w:p>
        </w:tc>
        <w:tc>
          <w:tcPr>
            <w:tcW w:w="2516" w:type="dxa"/>
            <w:vAlign w:val="center"/>
          </w:tcPr>
          <w:p w14:paraId="160D3618" w14:textId="77777777" w:rsidR="006C2A50" w:rsidRPr="006C2A50" w:rsidRDefault="006C2A50" w:rsidP="003F639F">
            <w:pPr>
              <w:spacing w:after="0" w:line="240" w:lineRule="auto"/>
              <w:jc w:val="center"/>
              <w:rPr>
                <w:rFonts w:eastAsia="Times New Roman"/>
                <w:b/>
                <w:bCs/>
                <w:color w:val="FFFFFF"/>
                <w:spacing w:val="0"/>
                <w:sz w:val="20"/>
                <w:szCs w:val="20"/>
              </w:rPr>
            </w:pPr>
          </w:p>
        </w:tc>
        <w:tc>
          <w:tcPr>
            <w:tcW w:w="2268" w:type="dxa"/>
          </w:tcPr>
          <w:p w14:paraId="13E0EAF2" w14:textId="77777777" w:rsidR="006C2A50" w:rsidRPr="006C2A50" w:rsidRDefault="006C2A50" w:rsidP="003F639F">
            <w:pPr>
              <w:spacing w:after="0" w:line="240" w:lineRule="auto"/>
              <w:jc w:val="center"/>
              <w:rPr>
                <w:rFonts w:eastAsia="Times New Roman"/>
                <w:b/>
                <w:bCs/>
                <w:color w:val="FFFFFF"/>
                <w:spacing w:val="0"/>
                <w:sz w:val="20"/>
                <w:szCs w:val="20"/>
              </w:rPr>
            </w:pPr>
          </w:p>
        </w:tc>
      </w:tr>
    </w:tbl>
    <w:p w14:paraId="02617B0B" w14:textId="77777777" w:rsidR="006C2A50" w:rsidRPr="006C2A50" w:rsidRDefault="006C2A50" w:rsidP="003F639F">
      <w:pPr>
        <w:spacing w:after="0" w:line="240" w:lineRule="auto"/>
        <w:jc w:val="both"/>
        <w:rPr>
          <w:rFonts w:eastAsia="Calibri"/>
          <w:i/>
          <w:iCs/>
          <w:sz w:val="20"/>
          <w:szCs w:val="20"/>
          <w:lang w:val="es-DO"/>
        </w:rPr>
      </w:pPr>
      <w:r w:rsidRPr="006C2A50">
        <w:rPr>
          <w:rFonts w:eastAsia="Calibri"/>
          <w:i/>
          <w:iCs/>
          <w:sz w:val="20"/>
          <w:szCs w:val="20"/>
          <w:lang w:val="es-DO"/>
        </w:rPr>
        <w:t>Cuadro No. 29 Solicitudes de informaciones atendidas durante el año 2025.</w:t>
      </w:r>
    </w:p>
    <w:p w14:paraId="70BA009A" w14:textId="77777777" w:rsidR="006C2A50" w:rsidRPr="006C2A50" w:rsidRDefault="006C2A50" w:rsidP="006C2A50">
      <w:pPr>
        <w:spacing w:line="360" w:lineRule="auto"/>
        <w:jc w:val="both"/>
        <w:rPr>
          <w:rFonts w:eastAsia="Calibri"/>
          <w:i/>
          <w:iCs/>
          <w:sz w:val="20"/>
          <w:szCs w:val="20"/>
          <w:lang w:val="es-DO"/>
        </w:rPr>
      </w:pPr>
    </w:p>
    <w:p w14:paraId="2AB60936" w14:textId="3556A1C5" w:rsidR="006C2A50" w:rsidRPr="006C2A50" w:rsidRDefault="000D3142" w:rsidP="003F639F">
      <w:pPr>
        <w:spacing w:line="360" w:lineRule="auto"/>
        <w:jc w:val="both"/>
        <w:rPr>
          <w:rFonts w:eastAsia="Calibri"/>
          <w:color w:val="717676"/>
          <w:lang w:val="es-DO"/>
        </w:rPr>
      </w:pPr>
      <w:r>
        <w:rPr>
          <w:rFonts w:eastAsia="Calibri"/>
          <w:b/>
          <w:bCs/>
          <w:sz w:val="28"/>
          <w:szCs w:val="28"/>
          <w:lang w:val="es-DO"/>
        </w:rPr>
        <w:t xml:space="preserve">5.3 </w:t>
      </w:r>
      <w:r w:rsidR="006C2A50" w:rsidRPr="006C2A50">
        <w:rPr>
          <w:rFonts w:eastAsia="Calibri"/>
          <w:b/>
          <w:bCs/>
          <w:sz w:val="28"/>
          <w:szCs w:val="28"/>
          <w:lang w:val="es-DO"/>
        </w:rPr>
        <w:t>Resultados sistema de quejas, reclamos y sugerencias</w:t>
      </w:r>
    </w:p>
    <w:p w14:paraId="248C315D" w14:textId="77777777" w:rsidR="006C2A50" w:rsidRPr="006C2A50" w:rsidRDefault="006C2A50" w:rsidP="003F639F">
      <w:pPr>
        <w:spacing w:line="360" w:lineRule="auto"/>
        <w:jc w:val="both"/>
        <w:rPr>
          <w:rFonts w:eastAsia="Calibri"/>
          <w:color w:val="717676"/>
          <w:lang w:val="es-DO"/>
        </w:rPr>
      </w:pPr>
      <w:r w:rsidRPr="006C2A50">
        <w:rPr>
          <w:rFonts w:eastAsia="Calibri"/>
          <w:color w:val="717676"/>
          <w:lang w:val="es-DO"/>
        </w:rPr>
        <w:t>Mediante el Sistema de quejas, reclamos y sugerencias (Línea 3-1-1), no se recibió ninguna solicitud durante el período enero-diciembre 2025.</w:t>
      </w:r>
    </w:p>
    <w:p w14:paraId="314E80F9" w14:textId="4FD51758" w:rsidR="006C2A50" w:rsidRPr="006C2A50" w:rsidRDefault="000D3142" w:rsidP="003F639F">
      <w:pPr>
        <w:spacing w:line="360" w:lineRule="auto"/>
        <w:jc w:val="both"/>
        <w:rPr>
          <w:rFonts w:eastAsia="Calibri"/>
          <w:b/>
          <w:bCs/>
          <w:spacing w:val="0"/>
          <w:kern w:val="2"/>
          <w:lang w:val="es-DO"/>
          <w14:ligatures w14:val="standardContextual"/>
        </w:rPr>
      </w:pPr>
      <w:r>
        <w:rPr>
          <w:rFonts w:eastAsia="Calibri"/>
          <w:b/>
          <w:bCs/>
          <w:sz w:val="28"/>
          <w:szCs w:val="28"/>
          <w:lang w:val="es-DO"/>
        </w:rPr>
        <w:t xml:space="preserve">5.4 </w:t>
      </w:r>
      <w:r w:rsidR="006C2A50" w:rsidRPr="006C2A50">
        <w:rPr>
          <w:rFonts w:eastAsia="Calibri"/>
          <w:b/>
          <w:bCs/>
          <w:sz w:val="28"/>
          <w:szCs w:val="28"/>
          <w:lang w:val="es-DO"/>
        </w:rPr>
        <w:t>Resultados mediciones del portal de transparencia</w:t>
      </w:r>
    </w:p>
    <w:p w14:paraId="2BB68F2C" w14:textId="77777777" w:rsidR="006C2A50" w:rsidRPr="006C2A50" w:rsidRDefault="006C2A50" w:rsidP="003F639F">
      <w:pPr>
        <w:spacing w:line="360" w:lineRule="auto"/>
        <w:jc w:val="both"/>
        <w:rPr>
          <w:rFonts w:eastAsia="Calibri"/>
          <w:color w:val="717676"/>
          <w:lang w:val="es-DO"/>
        </w:rPr>
      </w:pPr>
      <w:r w:rsidRPr="006C2A50">
        <w:rPr>
          <w:rFonts w:eastAsia="Calibri"/>
          <w:color w:val="717676"/>
          <w:lang w:val="es-DO"/>
        </w:rPr>
        <w:t>El portal de transparencia de la Dirección General de Museos fue evaluado por la Dirección General de Ética e Integridad Gubernamental (DIGEIG), de conformidad con lo establecido en la Ley 200-04 de Libre acceso a la Información Pública.</w:t>
      </w:r>
    </w:p>
    <w:p w14:paraId="213F405C" w14:textId="77777777" w:rsidR="00DC60A9" w:rsidRDefault="006C2A50" w:rsidP="003F639F">
      <w:pPr>
        <w:spacing w:line="360" w:lineRule="auto"/>
        <w:jc w:val="both"/>
        <w:rPr>
          <w:rFonts w:eastAsia="Calibri"/>
          <w:lang w:val="es-DO"/>
        </w:rPr>
      </w:pPr>
      <w:bookmarkStart w:id="7" w:name="_Hlk139871958"/>
      <w:r w:rsidRPr="006C2A50">
        <w:rPr>
          <w:rFonts w:eastAsia="Calibri"/>
          <w:lang w:val="es-DO"/>
        </w:rPr>
        <w:t>En ese contexto, la institución obtuvo una puntuación promedio de 92.</w:t>
      </w:r>
      <w:r w:rsidR="00DC60A9">
        <w:rPr>
          <w:rFonts w:eastAsia="Calibri"/>
          <w:lang w:val="es-DO"/>
        </w:rPr>
        <w:t>93</w:t>
      </w:r>
      <w:r w:rsidRPr="006C2A50">
        <w:rPr>
          <w:rFonts w:eastAsia="Calibri"/>
          <w:lang w:val="es-DO"/>
        </w:rPr>
        <w:t xml:space="preserve"> puntos en la evaluación realizada por la DIGEIG durante el período enero-octubre, </w:t>
      </w:r>
      <w:r w:rsidR="00DC60A9">
        <w:rPr>
          <w:rFonts w:eastAsia="Calibri"/>
          <w:lang w:val="es-DO"/>
        </w:rPr>
        <w:t xml:space="preserve">por lo que se proyecta que al cierre del 2025 alcanzaremos una puntuación promedio de 92.93, </w:t>
      </w:r>
      <w:r w:rsidRPr="006C2A50">
        <w:rPr>
          <w:rFonts w:eastAsia="Calibri"/>
          <w:lang w:val="es-DO"/>
        </w:rPr>
        <w:t xml:space="preserve">conforme se muestra en el cuadro siguiente. </w:t>
      </w:r>
    </w:p>
    <w:p w14:paraId="159F661A" w14:textId="416A2CA3" w:rsidR="006C2A50" w:rsidRPr="006C2A50" w:rsidRDefault="006C2A50" w:rsidP="003F639F">
      <w:pPr>
        <w:spacing w:line="360" w:lineRule="auto"/>
        <w:jc w:val="both"/>
        <w:rPr>
          <w:rFonts w:eastAsia="Calibri"/>
          <w:lang w:val="es-DO"/>
        </w:rPr>
      </w:pPr>
      <w:r w:rsidRPr="006C2A50">
        <w:rPr>
          <w:rFonts w:eastAsia="Calibri"/>
          <w:lang w:val="es-DO"/>
        </w:rPr>
        <w:lastRenderedPageBreak/>
        <w:t>Esta calificación refleja los avances institucionales en la carga de informaciones en el portal de transparencia.</w:t>
      </w:r>
    </w:p>
    <w:p w14:paraId="1F1CA221" w14:textId="77777777" w:rsidR="006C2A50" w:rsidRPr="006C2A50" w:rsidRDefault="006C2A50" w:rsidP="003F639F">
      <w:pPr>
        <w:spacing w:line="360" w:lineRule="auto"/>
        <w:jc w:val="center"/>
        <w:rPr>
          <w:rFonts w:eastAsia="Calibri"/>
          <w:b/>
          <w:bCs/>
          <w:color w:val="717676"/>
          <w:lang w:val="es-DO"/>
        </w:rPr>
      </w:pPr>
      <w:r w:rsidRPr="006C2A50">
        <w:rPr>
          <w:rFonts w:eastAsia="Times New Roman"/>
          <w:b/>
          <w:bCs/>
          <w:color w:val="717676"/>
          <w:spacing w:val="0"/>
          <w:lang w:val="es-DO" w:eastAsia="es-DO"/>
        </w:rPr>
        <w:t>Cuadro de Puntuaciones del Portal de Transparencia</w:t>
      </w:r>
    </w:p>
    <w:tbl>
      <w:tblPr>
        <w:tblW w:w="3681" w:type="dxa"/>
        <w:jc w:val="center"/>
        <w:tblLook w:val="04A0" w:firstRow="1" w:lastRow="0" w:firstColumn="1" w:lastColumn="0" w:noHBand="0" w:noVBand="1"/>
      </w:tblPr>
      <w:tblGrid>
        <w:gridCol w:w="1980"/>
        <w:gridCol w:w="1701"/>
      </w:tblGrid>
      <w:tr w:rsidR="0002147F" w:rsidRPr="006C2A50" w14:paraId="2594D13C" w14:textId="77777777" w:rsidTr="0002147F">
        <w:trPr>
          <w:trHeight w:val="458"/>
          <w:jc w:val="center"/>
        </w:trPr>
        <w:tc>
          <w:tcPr>
            <w:tcW w:w="1980" w:type="dxa"/>
            <w:vMerge w:val="restart"/>
            <w:tcBorders>
              <w:top w:val="single" w:sz="4" w:space="0" w:color="757171"/>
              <w:left w:val="single" w:sz="4" w:space="0" w:color="757171"/>
              <w:bottom w:val="single" w:sz="4" w:space="0" w:color="757171"/>
              <w:right w:val="single" w:sz="4" w:space="0" w:color="757171"/>
            </w:tcBorders>
            <w:shd w:val="clear" w:color="000000" w:fill="011C50"/>
            <w:noWrap/>
            <w:vAlign w:val="center"/>
          </w:tcPr>
          <w:p w14:paraId="288485AF" w14:textId="77777777" w:rsidR="0002147F" w:rsidRPr="006C2A50" w:rsidRDefault="0002147F" w:rsidP="006C2A50">
            <w:pPr>
              <w:spacing w:after="0" w:line="240" w:lineRule="auto"/>
              <w:jc w:val="center"/>
              <w:rPr>
                <w:rFonts w:eastAsia="Times New Roman"/>
                <w:b/>
                <w:bCs/>
                <w:color w:val="FFFFFF"/>
                <w:spacing w:val="0"/>
                <w:sz w:val="18"/>
                <w:szCs w:val="18"/>
              </w:rPr>
            </w:pPr>
            <w:r w:rsidRPr="006C2A50">
              <w:rPr>
                <w:rFonts w:eastAsia="Times New Roman"/>
                <w:b/>
                <w:bCs/>
                <w:color w:val="FFFFFF"/>
                <w:spacing w:val="0"/>
                <w:sz w:val="18"/>
                <w:szCs w:val="18"/>
              </w:rPr>
              <w:t>Meses</w:t>
            </w:r>
          </w:p>
        </w:tc>
        <w:tc>
          <w:tcPr>
            <w:tcW w:w="1701" w:type="dxa"/>
            <w:vMerge w:val="restart"/>
            <w:tcBorders>
              <w:top w:val="single" w:sz="4" w:space="0" w:color="757171"/>
              <w:left w:val="single" w:sz="4" w:space="0" w:color="757171"/>
              <w:bottom w:val="single" w:sz="4" w:space="0" w:color="757171"/>
              <w:right w:val="single" w:sz="4" w:space="0" w:color="757171"/>
            </w:tcBorders>
            <w:shd w:val="clear" w:color="000000" w:fill="011C50"/>
            <w:vAlign w:val="center"/>
          </w:tcPr>
          <w:p w14:paraId="7F095F2A" w14:textId="77777777" w:rsidR="0002147F" w:rsidRPr="006C2A50" w:rsidRDefault="0002147F" w:rsidP="006C2A50">
            <w:pPr>
              <w:spacing w:after="0" w:line="240" w:lineRule="auto"/>
              <w:jc w:val="center"/>
              <w:rPr>
                <w:rFonts w:eastAsia="Times New Roman"/>
                <w:b/>
                <w:bCs/>
                <w:color w:val="FFFFFF"/>
                <w:spacing w:val="0"/>
                <w:sz w:val="18"/>
                <w:szCs w:val="18"/>
              </w:rPr>
            </w:pPr>
            <w:proofErr w:type="spellStart"/>
            <w:r w:rsidRPr="006C2A50">
              <w:rPr>
                <w:rFonts w:eastAsia="Times New Roman"/>
                <w:b/>
                <w:bCs/>
                <w:color w:val="FFFFFF"/>
                <w:spacing w:val="0"/>
                <w:sz w:val="18"/>
                <w:szCs w:val="18"/>
              </w:rPr>
              <w:t>Puntuación</w:t>
            </w:r>
            <w:proofErr w:type="spellEnd"/>
            <w:r w:rsidRPr="006C2A50">
              <w:rPr>
                <w:rFonts w:eastAsia="Times New Roman"/>
                <w:b/>
                <w:bCs/>
                <w:color w:val="FFFFFF"/>
                <w:spacing w:val="0"/>
                <w:sz w:val="18"/>
                <w:szCs w:val="18"/>
              </w:rPr>
              <w:t xml:space="preserve"> </w:t>
            </w:r>
          </w:p>
        </w:tc>
      </w:tr>
      <w:tr w:rsidR="0002147F" w:rsidRPr="006C2A50" w14:paraId="3CE177C3" w14:textId="77777777" w:rsidTr="0002147F">
        <w:trPr>
          <w:trHeight w:val="207"/>
          <w:jc w:val="center"/>
        </w:trPr>
        <w:tc>
          <w:tcPr>
            <w:tcW w:w="1980" w:type="dxa"/>
            <w:vMerge/>
            <w:tcBorders>
              <w:top w:val="single" w:sz="4" w:space="0" w:color="757171"/>
              <w:left w:val="single" w:sz="4" w:space="0" w:color="757171"/>
              <w:bottom w:val="single" w:sz="4" w:space="0" w:color="757171"/>
              <w:right w:val="single" w:sz="4" w:space="0" w:color="757171"/>
            </w:tcBorders>
            <w:vAlign w:val="center"/>
          </w:tcPr>
          <w:p w14:paraId="592BB1C1" w14:textId="77777777" w:rsidR="0002147F" w:rsidRPr="006C2A50" w:rsidRDefault="0002147F" w:rsidP="006C2A50">
            <w:pPr>
              <w:spacing w:after="0" w:line="240" w:lineRule="auto"/>
              <w:rPr>
                <w:rFonts w:eastAsia="Times New Roman"/>
                <w:b/>
                <w:bCs/>
                <w:color w:val="FFFFFF"/>
                <w:spacing w:val="0"/>
                <w:sz w:val="18"/>
                <w:szCs w:val="18"/>
              </w:rPr>
            </w:pPr>
          </w:p>
        </w:tc>
        <w:tc>
          <w:tcPr>
            <w:tcW w:w="1701" w:type="dxa"/>
            <w:vMerge/>
            <w:tcBorders>
              <w:top w:val="single" w:sz="4" w:space="0" w:color="757171"/>
              <w:left w:val="single" w:sz="4" w:space="0" w:color="757171"/>
              <w:bottom w:val="single" w:sz="4" w:space="0" w:color="757171"/>
              <w:right w:val="single" w:sz="4" w:space="0" w:color="757171"/>
            </w:tcBorders>
            <w:vAlign w:val="center"/>
          </w:tcPr>
          <w:p w14:paraId="7C4F1379" w14:textId="77777777" w:rsidR="0002147F" w:rsidRPr="006C2A50" w:rsidRDefault="0002147F" w:rsidP="006C2A50">
            <w:pPr>
              <w:spacing w:after="0" w:line="240" w:lineRule="auto"/>
              <w:rPr>
                <w:rFonts w:eastAsia="Times New Roman"/>
                <w:b/>
                <w:bCs/>
                <w:color w:val="FFFFFF"/>
                <w:spacing w:val="0"/>
                <w:sz w:val="18"/>
                <w:szCs w:val="18"/>
              </w:rPr>
            </w:pPr>
          </w:p>
        </w:tc>
      </w:tr>
      <w:tr w:rsidR="0002147F" w:rsidRPr="006C2A50" w14:paraId="23FD83CC"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30BC4BA9" w14:textId="77777777" w:rsidR="0002147F" w:rsidRPr="006C2A50" w:rsidRDefault="0002147F" w:rsidP="006C2A50">
            <w:pPr>
              <w:spacing w:after="0" w:line="240" w:lineRule="auto"/>
              <w:rPr>
                <w:rFonts w:eastAsia="Times New Roman"/>
                <w:spacing w:val="0"/>
                <w:sz w:val="20"/>
                <w:szCs w:val="20"/>
              </w:rPr>
            </w:pPr>
            <w:proofErr w:type="spellStart"/>
            <w:r w:rsidRPr="006C2A50">
              <w:rPr>
                <w:rFonts w:eastAsia="Times New Roman"/>
                <w:spacing w:val="0"/>
                <w:sz w:val="20"/>
                <w:szCs w:val="20"/>
              </w:rPr>
              <w:t>Enero</w:t>
            </w:r>
            <w:proofErr w:type="spellEnd"/>
          </w:p>
        </w:tc>
        <w:tc>
          <w:tcPr>
            <w:tcW w:w="1701" w:type="dxa"/>
            <w:tcBorders>
              <w:top w:val="nil"/>
              <w:left w:val="nil"/>
              <w:bottom w:val="single" w:sz="4" w:space="0" w:color="757171"/>
              <w:right w:val="single" w:sz="4" w:space="0" w:color="757171"/>
            </w:tcBorders>
            <w:shd w:val="clear" w:color="000000" w:fill="FFFFFF"/>
            <w:noWrap/>
            <w:vAlign w:val="center"/>
          </w:tcPr>
          <w:p w14:paraId="42AF4CD7"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75.88</w:t>
            </w:r>
          </w:p>
        </w:tc>
      </w:tr>
      <w:tr w:rsidR="0002147F" w:rsidRPr="006C2A50" w14:paraId="4F1AD963"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4FB5F3D0" w14:textId="77777777" w:rsidR="0002147F" w:rsidRPr="006C2A50" w:rsidRDefault="0002147F" w:rsidP="006C2A50">
            <w:pPr>
              <w:spacing w:after="0" w:line="240" w:lineRule="auto"/>
              <w:rPr>
                <w:rFonts w:eastAsia="Times New Roman"/>
                <w:spacing w:val="0"/>
                <w:sz w:val="20"/>
                <w:szCs w:val="20"/>
              </w:rPr>
            </w:pPr>
            <w:proofErr w:type="spellStart"/>
            <w:r w:rsidRPr="006C2A50">
              <w:rPr>
                <w:rFonts w:eastAsia="Times New Roman"/>
                <w:spacing w:val="0"/>
                <w:sz w:val="20"/>
                <w:szCs w:val="20"/>
              </w:rPr>
              <w:t>Febrero</w:t>
            </w:r>
            <w:proofErr w:type="spellEnd"/>
            <w:r w:rsidRPr="006C2A50">
              <w:rPr>
                <w:rFonts w:eastAsia="Times New Roman"/>
                <w:spacing w:val="0"/>
                <w:sz w:val="20"/>
                <w:szCs w:val="20"/>
              </w:rPr>
              <w:t xml:space="preserve"> </w:t>
            </w:r>
          </w:p>
        </w:tc>
        <w:tc>
          <w:tcPr>
            <w:tcW w:w="1701" w:type="dxa"/>
            <w:tcBorders>
              <w:top w:val="nil"/>
              <w:left w:val="nil"/>
              <w:bottom w:val="single" w:sz="4" w:space="0" w:color="757171"/>
              <w:right w:val="single" w:sz="4" w:space="0" w:color="757171"/>
            </w:tcBorders>
            <w:shd w:val="clear" w:color="000000" w:fill="FFFFFF"/>
            <w:noWrap/>
            <w:vAlign w:val="center"/>
          </w:tcPr>
          <w:p w14:paraId="12575013"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85.55</w:t>
            </w:r>
          </w:p>
        </w:tc>
      </w:tr>
      <w:tr w:rsidR="0002147F" w:rsidRPr="006C2A50" w14:paraId="38E8F5E0"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54128B8C" w14:textId="77777777" w:rsidR="0002147F" w:rsidRPr="006C2A50" w:rsidRDefault="0002147F" w:rsidP="006C2A50">
            <w:pPr>
              <w:spacing w:after="0" w:line="240" w:lineRule="auto"/>
              <w:rPr>
                <w:rFonts w:eastAsia="Times New Roman"/>
                <w:spacing w:val="0"/>
                <w:sz w:val="20"/>
                <w:szCs w:val="20"/>
              </w:rPr>
            </w:pPr>
            <w:r w:rsidRPr="006C2A50">
              <w:rPr>
                <w:rFonts w:eastAsia="Times New Roman"/>
                <w:spacing w:val="0"/>
                <w:sz w:val="20"/>
                <w:szCs w:val="20"/>
              </w:rPr>
              <w:t>Marzo</w:t>
            </w:r>
          </w:p>
        </w:tc>
        <w:tc>
          <w:tcPr>
            <w:tcW w:w="1701" w:type="dxa"/>
            <w:tcBorders>
              <w:top w:val="nil"/>
              <w:left w:val="nil"/>
              <w:bottom w:val="single" w:sz="4" w:space="0" w:color="757171"/>
              <w:right w:val="single" w:sz="4" w:space="0" w:color="757171"/>
            </w:tcBorders>
            <w:shd w:val="clear" w:color="000000" w:fill="FFFFFF"/>
            <w:noWrap/>
            <w:vAlign w:val="center"/>
          </w:tcPr>
          <w:p w14:paraId="668058DE"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93.49</w:t>
            </w:r>
          </w:p>
        </w:tc>
      </w:tr>
      <w:tr w:rsidR="0002147F" w:rsidRPr="006C2A50" w14:paraId="3EF36F62"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5C2D5416" w14:textId="77777777" w:rsidR="0002147F" w:rsidRPr="006C2A50" w:rsidRDefault="0002147F" w:rsidP="006C2A50">
            <w:pPr>
              <w:spacing w:after="0" w:line="240" w:lineRule="auto"/>
              <w:rPr>
                <w:rFonts w:eastAsia="Times New Roman"/>
                <w:color w:val="717676"/>
                <w:spacing w:val="0"/>
                <w:sz w:val="20"/>
                <w:szCs w:val="20"/>
              </w:rPr>
            </w:pPr>
            <w:r w:rsidRPr="006C2A50">
              <w:rPr>
                <w:rFonts w:eastAsia="Times New Roman"/>
                <w:color w:val="717676"/>
                <w:spacing w:val="0"/>
                <w:sz w:val="20"/>
                <w:szCs w:val="20"/>
              </w:rPr>
              <w:t>Abril</w:t>
            </w:r>
          </w:p>
        </w:tc>
        <w:tc>
          <w:tcPr>
            <w:tcW w:w="1701" w:type="dxa"/>
            <w:tcBorders>
              <w:top w:val="nil"/>
              <w:left w:val="nil"/>
              <w:bottom w:val="single" w:sz="4" w:space="0" w:color="757171"/>
              <w:right w:val="single" w:sz="4" w:space="0" w:color="757171"/>
            </w:tcBorders>
            <w:shd w:val="clear" w:color="000000" w:fill="FFFFFF"/>
            <w:noWrap/>
            <w:vAlign w:val="center"/>
          </w:tcPr>
          <w:p w14:paraId="51FFB54B"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95.04</w:t>
            </w:r>
          </w:p>
        </w:tc>
      </w:tr>
      <w:tr w:rsidR="0002147F" w:rsidRPr="006C2A50" w14:paraId="6ED785AE"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1C04E3C9" w14:textId="77777777" w:rsidR="0002147F" w:rsidRPr="006C2A50" w:rsidRDefault="0002147F" w:rsidP="006C2A50">
            <w:pPr>
              <w:spacing w:after="0" w:line="240" w:lineRule="auto"/>
              <w:rPr>
                <w:rFonts w:eastAsia="Times New Roman"/>
                <w:color w:val="717676"/>
                <w:spacing w:val="0"/>
                <w:sz w:val="20"/>
                <w:szCs w:val="20"/>
              </w:rPr>
            </w:pPr>
            <w:r w:rsidRPr="006C2A50">
              <w:rPr>
                <w:rFonts w:eastAsia="Times New Roman"/>
                <w:color w:val="717676"/>
                <w:spacing w:val="0"/>
                <w:sz w:val="20"/>
                <w:szCs w:val="20"/>
              </w:rPr>
              <w:t>Mayo</w:t>
            </w:r>
          </w:p>
        </w:tc>
        <w:tc>
          <w:tcPr>
            <w:tcW w:w="1701" w:type="dxa"/>
            <w:tcBorders>
              <w:top w:val="nil"/>
              <w:left w:val="nil"/>
              <w:bottom w:val="single" w:sz="4" w:space="0" w:color="757171"/>
              <w:right w:val="single" w:sz="4" w:space="0" w:color="757171"/>
            </w:tcBorders>
            <w:shd w:val="clear" w:color="000000" w:fill="FFFFFF"/>
            <w:noWrap/>
            <w:vAlign w:val="center"/>
          </w:tcPr>
          <w:p w14:paraId="02A3600E"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95.70</w:t>
            </w:r>
          </w:p>
        </w:tc>
      </w:tr>
      <w:tr w:rsidR="0002147F" w:rsidRPr="006C2A50" w14:paraId="28618264"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5D30471D" w14:textId="77777777" w:rsidR="0002147F" w:rsidRPr="006C2A50" w:rsidRDefault="0002147F" w:rsidP="006C2A50">
            <w:pPr>
              <w:spacing w:after="0" w:line="240" w:lineRule="auto"/>
              <w:rPr>
                <w:rFonts w:eastAsia="Times New Roman"/>
                <w:color w:val="717676"/>
                <w:spacing w:val="0"/>
                <w:sz w:val="20"/>
                <w:szCs w:val="20"/>
              </w:rPr>
            </w:pPr>
            <w:r w:rsidRPr="006C2A50">
              <w:rPr>
                <w:rFonts w:eastAsia="Times New Roman"/>
                <w:color w:val="717676"/>
                <w:spacing w:val="0"/>
                <w:sz w:val="20"/>
                <w:szCs w:val="20"/>
              </w:rPr>
              <w:t xml:space="preserve">Junio </w:t>
            </w:r>
          </w:p>
        </w:tc>
        <w:tc>
          <w:tcPr>
            <w:tcW w:w="1701" w:type="dxa"/>
            <w:tcBorders>
              <w:top w:val="nil"/>
              <w:left w:val="nil"/>
              <w:bottom w:val="single" w:sz="4" w:space="0" w:color="757171"/>
              <w:right w:val="single" w:sz="4" w:space="0" w:color="757171"/>
            </w:tcBorders>
            <w:shd w:val="clear" w:color="000000" w:fill="FFFFFF"/>
            <w:noWrap/>
            <w:vAlign w:val="center"/>
          </w:tcPr>
          <w:p w14:paraId="20251AC0"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96.37</w:t>
            </w:r>
          </w:p>
        </w:tc>
      </w:tr>
      <w:tr w:rsidR="0002147F" w:rsidRPr="006C2A50" w14:paraId="77F4032A"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3FD3FDF6" w14:textId="77777777" w:rsidR="0002147F" w:rsidRPr="006C2A50" w:rsidRDefault="0002147F" w:rsidP="006C2A50">
            <w:pPr>
              <w:spacing w:after="0" w:line="240" w:lineRule="auto"/>
              <w:rPr>
                <w:rFonts w:eastAsia="Times New Roman"/>
                <w:color w:val="717676"/>
                <w:spacing w:val="0"/>
                <w:sz w:val="20"/>
                <w:szCs w:val="20"/>
              </w:rPr>
            </w:pPr>
            <w:r w:rsidRPr="006C2A50">
              <w:rPr>
                <w:rFonts w:eastAsia="Times New Roman"/>
                <w:color w:val="717676"/>
                <w:spacing w:val="0"/>
                <w:sz w:val="20"/>
                <w:szCs w:val="20"/>
              </w:rPr>
              <w:t>Julio</w:t>
            </w:r>
          </w:p>
        </w:tc>
        <w:tc>
          <w:tcPr>
            <w:tcW w:w="1701" w:type="dxa"/>
            <w:tcBorders>
              <w:top w:val="nil"/>
              <w:left w:val="nil"/>
              <w:bottom w:val="single" w:sz="4" w:space="0" w:color="757171"/>
              <w:right w:val="single" w:sz="4" w:space="0" w:color="757171"/>
            </w:tcBorders>
            <w:shd w:val="clear" w:color="000000" w:fill="FFFFFF"/>
            <w:noWrap/>
            <w:vAlign w:val="center"/>
          </w:tcPr>
          <w:p w14:paraId="42C292B8"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94.16</w:t>
            </w:r>
          </w:p>
        </w:tc>
      </w:tr>
      <w:tr w:rsidR="0002147F" w:rsidRPr="006C2A50" w14:paraId="3FF1A19F"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672A6023" w14:textId="77777777" w:rsidR="0002147F" w:rsidRPr="006C2A50" w:rsidRDefault="0002147F" w:rsidP="006C2A50">
            <w:pPr>
              <w:spacing w:after="0" w:line="240" w:lineRule="auto"/>
              <w:rPr>
                <w:rFonts w:eastAsia="Times New Roman"/>
                <w:color w:val="717676"/>
                <w:spacing w:val="0"/>
                <w:sz w:val="20"/>
                <w:szCs w:val="20"/>
              </w:rPr>
            </w:pPr>
            <w:r w:rsidRPr="006C2A50">
              <w:rPr>
                <w:rFonts w:eastAsia="Times New Roman"/>
                <w:color w:val="717676"/>
                <w:spacing w:val="0"/>
                <w:sz w:val="20"/>
                <w:szCs w:val="20"/>
              </w:rPr>
              <w:t>Agosto</w:t>
            </w:r>
          </w:p>
        </w:tc>
        <w:tc>
          <w:tcPr>
            <w:tcW w:w="1701" w:type="dxa"/>
            <w:tcBorders>
              <w:top w:val="nil"/>
              <w:left w:val="nil"/>
              <w:bottom w:val="single" w:sz="4" w:space="0" w:color="757171"/>
              <w:right w:val="single" w:sz="4" w:space="0" w:color="757171"/>
            </w:tcBorders>
            <w:shd w:val="clear" w:color="000000" w:fill="FFFFFF"/>
            <w:noWrap/>
            <w:vAlign w:val="center"/>
          </w:tcPr>
          <w:p w14:paraId="5FB6FE8C"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96.37</w:t>
            </w:r>
          </w:p>
        </w:tc>
      </w:tr>
      <w:tr w:rsidR="0002147F" w:rsidRPr="006C2A50" w14:paraId="6EE6BA77"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33D21699" w14:textId="77777777" w:rsidR="0002147F" w:rsidRPr="006C2A50" w:rsidRDefault="0002147F" w:rsidP="006C2A50">
            <w:pPr>
              <w:spacing w:after="0" w:line="240" w:lineRule="auto"/>
              <w:rPr>
                <w:rFonts w:eastAsia="Times New Roman"/>
                <w:color w:val="717676"/>
                <w:spacing w:val="0"/>
                <w:sz w:val="20"/>
                <w:szCs w:val="20"/>
              </w:rPr>
            </w:pPr>
            <w:r w:rsidRPr="006C2A50">
              <w:rPr>
                <w:rFonts w:eastAsia="Times New Roman"/>
                <w:color w:val="717676"/>
                <w:spacing w:val="0"/>
                <w:sz w:val="20"/>
                <w:szCs w:val="20"/>
              </w:rPr>
              <w:t>Septiembre</w:t>
            </w:r>
          </w:p>
        </w:tc>
        <w:tc>
          <w:tcPr>
            <w:tcW w:w="1701" w:type="dxa"/>
            <w:tcBorders>
              <w:top w:val="nil"/>
              <w:left w:val="nil"/>
              <w:bottom w:val="single" w:sz="4" w:space="0" w:color="757171"/>
              <w:right w:val="single" w:sz="4" w:space="0" w:color="757171"/>
            </w:tcBorders>
            <w:shd w:val="clear" w:color="000000" w:fill="FFFFFF"/>
            <w:noWrap/>
            <w:vAlign w:val="center"/>
          </w:tcPr>
          <w:p w14:paraId="1DB9AA26"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96.37</w:t>
            </w:r>
          </w:p>
        </w:tc>
      </w:tr>
      <w:tr w:rsidR="0002147F" w:rsidRPr="006C2A50" w14:paraId="148C91AB"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248C6CFB" w14:textId="77777777" w:rsidR="0002147F" w:rsidRPr="006C2A50" w:rsidRDefault="0002147F" w:rsidP="006C2A50">
            <w:pPr>
              <w:spacing w:after="0" w:line="240" w:lineRule="auto"/>
              <w:rPr>
                <w:rFonts w:eastAsia="Times New Roman"/>
                <w:color w:val="717676"/>
                <w:spacing w:val="0"/>
                <w:sz w:val="20"/>
                <w:szCs w:val="20"/>
              </w:rPr>
            </w:pPr>
            <w:proofErr w:type="spellStart"/>
            <w:r w:rsidRPr="006C2A50">
              <w:rPr>
                <w:rFonts w:eastAsia="Times New Roman"/>
                <w:color w:val="717676"/>
                <w:spacing w:val="0"/>
                <w:sz w:val="20"/>
                <w:szCs w:val="20"/>
              </w:rPr>
              <w:t>Octubre</w:t>
            </w:r>
            <w:proofErr w:type="spellEnd"/>
          </w:p>
        </w:tc>
        <w:tc>
          <w:tcPr>
            <w:tcW w:w="1701" w:type="dxa"/>
            <w:tcBorders>
              <w:top w:val="nil"/>
              <w:left w:val="nil"/>
              <w:bottom w:val="single" w:sz="4" w:space="0" w:color="757171"/>
              <w:right w:val="single" w:sz="4" w:space="0" w:color="757171"/>
            </w:tcBorders>
            <w:shd w:val="clear" w:color="000000" w:fill="FFFFFF"/>
            <w:noWrap/>
            <w:vAlign w:val="center"/>
          </w:tcPr>
          <w:p w14:paraId="3A3D9580" w14:textId="77777777" w:rsidR="0002147F" w:rsidRPr="006C2A50" w:rsidRDefault="0002147F" w:rsidP="006C2A50">
            <w:pPr>
              <w:spacing w:after="0" w:line="240" w:lineRule="auto"/>
              <w:jc w:val="center"/>
              <w:rPr>
                <w:rFonts w:eastAsia="Times New Roman"/>
                <w:color w:val="717676"/>
                <w:spacing w:val="0"/>
                <w:sz w:val="20"/>
                <w:szCs w:val="20"/>
              </w:rPr>
            </w:pPr>
            <w:r w:rsidRPr="006C2A50">
              <w:rPr>
                <w:rFonts w:eastAsia="Times New Roman"/>
                <w:color w:val="717676"/>
                <w:spacing w:val="0"/>
                <w:sz w:val="20"/>
                <w:szCs w:val="20"/>
              </w:rPr>
              <w:t>94.16</w:t>
            </w:r>
          </w:p>
        </w:tc>
      </w:tr>
      <w:tr w:rsidR="00DC60A9" w:rsidRPr="006C2A50" w14:paraId="3440ED83"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48B2890C" w14:textId="69ABDC11" w:rsidR="00DC60A9" w:rsidRPr="006C2A50" w:rsidRDefault="00DC60A9" w:rsidP="006C2A50">
            <w:pPr>
              <w:spacing w:after="0" w:line="240" w:lineRule="auto"/>
              <w:rPr>
                <w:rFonts w:eastAsia="Times New Roman"/>
                <w:color w:val="717676"/>
                <w:spacing w:val="0"/>
                <w:sz w:val="20"/>
                <w:szCs w:val="20"/>
              </w:rPr>
            </w:pPr>
            <w:proofErr w:type="spellStart"/>
            <w:r>
              <w:rPr>
                <w:rFonts w:eastAsia="Times New Roman"/>
                <w:color w:val="717676"/>
                <w:spacing w:val="0"/>
                <w:sz w:val="20"/>
                <w:szCs w:val="20"/>
              </w:rPr>
              <w:t>Noviembre</w:t>
            </w:r>
            <w:proofErr w:type="spellEnd"/>
          </w:p>
        </w:tc>
        <w:tc>
          <w:tcPr>
            <w:tcW w:w="1701" w:type="dxa"/>
            <w:tcBorders>
              <w:top w:val="nil"/>
              <w:left w:val="nil"/>
              <w:bottom w:val="single" w:sz="4" w:space="0" w:color="757171"/>
              <w:right w:val="single" w:sz="4" w:space="0" w:color="757171"/>
            </w:tcBorders>
            <w:shd w:val="clear" w:color="000000" w:fill="FFFFFF"/>
            <w:noWrap/>
            <w:vAlign w:val="center"/>
          </w:tcPr>
          <w:p w14:paraId="04405D1E" w14:textId="1699E8B2" w:rsidR="00DC60A9" w:rsidRPr="006C2A50" w:rsidRDefault="00DC60A9" w:rsidP="006C2A50">
            <w:pPr>
              <w:spacing w:after="0" w:line="240" w:lineRule="auto"/>
              <w:jc w:val="center"/>
              <w:rPr>
                <w:rFonts w:eastAsia="Times New Roman"/>
                <w:color w:val="717676"/>
                <w:spacing w:val="0"/>
                <w:sz w:val="20"/>
                <w:szCs w:val="20"/>
              </w:rPr>
            </w:pPr>
            <w:r>
              <w:rPr>
                <w:rFonts w:eastAsia="Times New Roman"/>
                <w:color w:val="717676"/>
                <w:spacing w:val="0"/>
                <w:sz w:val="20"/>
                <w:szCs w:val="20"/>
              </w:rPr>
              <w:t>95.70</w:t>
            </w:r>
          </w:p>
        </w:tc>
      </w:tr>
      <w:tr w:rsidR="00DC60A9" w:rsidRPr="006C2A50" w14:paraId="5F78D356"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FFFFFF"/>
            <w:noWrap/>
            <w:vAlign w:val="center"/>
          </w:tcPr>
          <w:p w14:paraId="6DCF2EF6" w14:textId="3F14529F" w:rsidR="00DC60A9" w:rsidRPr="006C2A50" w:rsidRDefault="00DC60A9" w:rsidP="006C2A50">
            <w:pPr>
              <w:spacing w:after="0" w:line="240" w:lineRule="auto"/>
              <w:rPr>
                <w:rFonts w:eastAsia="Times New Roman"/>
                <w:color w:val="717676"/>
                <w:spacing w:val="0"/>
                <w:sz w:val="20"/>
                <w:szCs w:val="20"/>
              </w:rPr>
            </w:pPr>
            <w:proofErr w:type="spellStart"/>
            <w:r>
              <w:rPr>
                <w:rFonts w:eastAsia="Times New Roman"/>
                <w:color w:val="717676"/>
                <w:spacing w:val="0"/>
                <w:sz w:val="20"/>
                <w:szCs w:val="20"/>
              </w:rPr>
              <w:t>Diciembre</w:t>
            </w:r>
            <w:proofErr w:type="spellEnd"/>
          </w:p>
        </w:tc>
        <w:tc>
          <w:tcPr>
            <w:tcW w:w="1701" w:type="dxa"/>
            <w:tcBorders>
              <w:top w:val="nil"/>
              <w:left w:val="nil"/>
              <w:bottom w:val="single" w:sz="4" w:space="0" w:color="757171"/>
              <w:right w:val="single" w:sz="4" w:space="0" w:color="757171"/>
            </w:tcBorders>
            <w:shd w:val="clear" w:color="000000" w:fill="FFFFFF"/>
            <w:noWrap/>
            <w:vAlign w:val="center"/>
          </w:tcPr>
          <w:p w14:paraId="404984CF" w14:textId="7A5F9B6A" w:rsidR="00DC60A9" w:rsidRPr="006C2A50" w:rsidRDefault="00DC60A9" w:rsidP="006C2A50">
            <w:pPr>
              <w:spacing w:after="0" w:line="240" w:lineRule="auto"/>
              <w:jc w:val="center"/>
              <w:rPr>
                <w:rFonts w:eastAsia="Times New Roman"/>
                <w:color w:val="717676"/>
                <w:spacing w:val="0"/>
                <w:sz w:val="20"/>
                <w:szCs w:val="20"/>
              </w:rPr>
            </w:pPr>
            <w:r>
              <w:rPr>
                <w:rFonts w:eastAsia="Times New Roman"/>
                <w:color w:val="717676"/>
                <w:spacing w:val="0"/>
                <w:sz w:val="20"/>
                <w:szCs w:val="20"/>
              </w:rPr>
              <w:t>96.37</w:t>
            </w:r>
          </w:p>
        </w:tc>
      </w:tr>
      <w:tr w:rsidR="0002147F" w:rsidRPr="006C2A50" w14:paraId="597F86D8" w14:textId="77777777" w:rsidTr="0002147F">
        <w:trPr>
          <w:trHeight w:val="144"/>
          <w:jc w:val="center"/>
        </w:trPr>
        <w:tc>
          <w:tcPr>
            <w:tcW w:w="1980" w:type="dxa"/>
            <w:tcBorders>
              <w:top w:val="nil"/>
              <w:left w:val="single" w:sz="4" w:space="0" w:color="757171"/>
              <w:bottom w:val="single" w:sz="4" w:space="0" w:color="757171"/>
              <w:right w:val="single" w:sz="4" w:space="0" w:color="757171"/>
            </w:tcBorders>
            <w:shd w:val="clear" w:color="000000" w:fill="002060"/>
            <w:noWrap/>
            <w:vAlign w:val="center"/>
          </w:tcPr>
          <w:p w14:paraId="6FBCFAD3" w14:textId="34396713" w:rsidR="0002147F" w:rsidRPr="006C2A50" w:rsidRDefault="0002147F" w:rsidP="0002147F">
            <w:pPr>
              <w:spacing w:after="0" w:line="240" w:lineRule="auto"/>
              <w:jc w:val="right"/>
              <w:rPr>
                <w:rFonts w:eastAsia="Times New Roman"/>
                <w:b/>
                <w:bCs/>
                <w:color w:val="FFFFFF"/>
                <w:spacing w:val="0"/>
                <w:sz w:val="20"/>
                <w:szCs w:val="20"/>
              </w:rPr>
            </w:pPr>
            <w:proofErr w:type="spellStart"/>
            <w:r>
              <w:rPr>
                <w:rFonts w:eastAsia="Times New Roman"/>
                <w:b/>
                <w:bCs/>
                <w:color w:val="FFFFFF"/>
                <w:spacing w:val="0"/>
                <w:sz w:val="20"/>
                <w:szCs w:val="20"/>
              </w:rPr>
              <w:t>Promedio</w:t>
            </w:r>
            <w:proofErr w:type="spellEnd"/>
          </w:p>
        </w:tc>
        <w:tc>
          <w:tcPr>
            <w:tcW w:w="1701" w:type="dxa"/>
            <w:tcBorders>
              <w:top w:val="nil"/>
              <w:left w:val="nil"/>
              <w:bottom w:val="single" w:sz="4" w:space="0" w:color="757171"/>
              <w:right w:val="single" w:sz="4" w:space="0" w:color="757171"/>
            </w:tcBorders>
            <w:shd w:val="clear" w:color="000000" w:fill="002060"/>
            <w:noWrap/>
            <w:vAlign w:val="center"/>
          </w:tcPr>
          <w:p w14:paraId="3FEF6936" w14:textId="491DB282" w:rsidR="0002147F" w:rsidRPr="006C2A50" w:rsidRDefault="0002147F" w:rsidP="006C2A50">
            <w:pPr>
              <w:spacing w:after="0" w:line="240" w:lineRule="auto"/>
              <w:jc w:val="center"/>
              <w:rPr>
                <w:rFonts w:eastAsia="Times New Roman"/>
                <w:b/>
                <w:bCs/>
                <w:color w:val="FFFFFF"/>
                <w:spacing w:val="0"/>
                <w:sz w:val="20"/>
                <w:szCs w:val="20"/>
              </w:rPr>
            </w:pPr>
            <w:r w:rsidRPr="006C2A50">
              <w:rPr>
                <w:rFonts w:eastAsia="Times New Roman"/>
                <w:b/>
                <w:bCs/>
                <w:color w:val="FFFFFF"/>
                <w:spacing w:val="0"/>
                <w:sz w:val="20"/>
                <w:szCs w:val="20"/>
              </w:rPr>
              <w:t>92.</w:t>
            </w:r>
            <w:r w:rsidR="00DC60A9">
              <w:rPr>
                <w:rFonts w:eastAsia="Times New Roman"/>
                <w:b/>
                <w:bCs/>
                <w:color w:val="FFFFFF"/>
                <w:spacing w:val="0"/>
                <w:sz w:val="20"/>
                <w:szCs w:val="20"/>
              </w:rPr>
              <w:t>93</w:t>
            </w:r>
          </w:p>
        </w:tc>
      </w:tr>
    </w:tbl>
    <w:p w14:paraId="0C64FD17" w14:textId="74EC4006" w:rsidR="006C2A50" w:rsidRPr="006C2A50" w:rsidRDefault="006C2A50" w:rsidP="006C2A50">
      <w:pPr>
        <w:spacing w:line="360" w:lineRule="auto"/>
        <w:jc w:val="both"/>
        <w:rPr>
          <w:rFonts w:eastAsia="Calibri"/>
          <w:i/>
          <w:iCs/>
          <w:sz w:val="18"/>
          <w:szCs w:val="18"/>
          <w:lang w:val="es-DO"/>
        </w:rPr>
      </w:pPr>
      <w:r w:rsidRPr="006C2A50">
        <w:rPr>
          <w:rFonts w:eastAsia="Calibri"/>
          <w:i/>
          <w:iCs/>
          <w:sz w:val="18"/>
          <w:szCs w:val="18"/>
          <w:lang w:val="es-DO"/>
        </w:rPr>
        <w:t xml:space="preserve">         Cuadro </w:t>
      </w:r>
      <w:r w:rsidR="0002147F">
        <w:rPr>
          <w:rFonts w:eastAsia="Calibri"/>
          <w:i/>
          <w:iCs/>
          <w:sz w:val="18"/>
          <w:szCs w:val="18"/>
          <w:lang w:val="es-DO"/>
        </w:rPr>
        <w:t>30.</w:t>
      </w:r>
      <w:r w:rsidRPr="006C2A50">
        <w:rPr>
          <w:rFonts w:eastAsia="Calibri"/>
          <w:i/>
          <w:iCs/>
          <w:sz w:val="18"/>
          <w:szCs w:val="18"/>
          <w:lang w:val="es-DO"/>
        </w:rPr>
        <w:t xml:space="preserve">  Puntuaciones del portal de transparencia durante el año 2025.</w:t>
      </w:r>
    </w:p>
    <w:bookmarkEnd w:id="7"/>
    <w:p w14:paraId="62A472A9" w14:textId="77777777" w:rsidR="006C2A50" w:rsidRPr="006C2A50" w:rsidRDefault="006C2A50" w:rsidP="006C2A50">
      <w:pPr>
        <w:spacing w:line="360" w:lineRule="auto"/>
        <w:jc w:val="both"/>
        <w:rPr>
          <w:rFonts w:eastAsia="Calibri"/>
          <w:lang w:val="es-DO"/>
        </w:rPr>
      </w:pPr>
      <w:r w:rsidRPr="006C2A50">
        <w:rPr>
          <w:rFonts w:eastAsia="Calibri"/>
          <w:lang w:val="es-DO"/>
        </w:rPr>
        <w:t xml:space="preserve">En términos generales, se muestra una </w:t>
      </w:r>
      <w:r w:rsidRPr="006C2A50">
        <w:rPr>
          <w:rFonts w:eastAsia="Calibri"/>
          <w:b/>
          <w:bCs/>
          <w:lang w:val="es-DO"/>
        </w:rPr>
        <w:t>tendencia ascendente</w:t>
      </w:r>
      <w:r w:rsidRPr="006C2A50">
        <w:rPr>
          <w:rFonts w:eastAsia="Calibri"/>
          <w:lang w:val="es-DO"/>
        </w:rPr>
        <w:t xml:space="preserve"> a lo largo del período, lo que refleja un progreso sostenido en el cumplimiento de los indicadores evaluados, tal como lo presenta el gráfico siguiente:</w:t>
      </w:r>
    </w:p>
    <w:p w14:paraId="0FBDDE5F" w14:textId="3ED6DE6C" w:rsidR="006C2A50" w:rsidRDefault="00D65E58" w:rsidP="00D65E58">
      <w:pPr>
        <w:jc w:val="center"/>
        <w:rPr>
          <w:rFonts w:eastAsia="Calibri"/>
          <w:noProof/>
        </w:rPr>
      </w:pPr>
      <w:r>
        <w:rPr>
          <w:noProof/>
        </w:rPr>
        <w:drawing>
          <wp:inline distT="0" distB="0" distL="0" distR="0" wp14:anchorId="541FB883" wp14:editId="2EC10200">
            <wp:extent cx="4685289" cy="2387151"/>
            <wp:effectExtent l="0" t="0" r="1270" b="13335"/>
            <wp:docPr id="971326453" name="Gráfico 1">
              <a:extLst xmlns:a="http://schemas.openxmlformats.org/drawingml/2006/main">
                <a:ext uri="{FF2B5EF4-FFF2-40B4-BE49-F238E27FC236}">
                  <a16:creationId xmlns:a16="http://schemas.microsoft.com/office/drawing/2014/main" id="{BBB24BF0-0CE5-482A-8E58-46E706CAA0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208A3B4" w14:textId="05560368" w:rsidR="006C2A50" w:rsidRPr="006C2A50" w:rsidRDefault="006C2A50" w:rsidP="006C2A50">
      <w:pPr>
        <w:spacing w:line="360" w:lineRule="auto"/>
        <w:jc w:val="both"/>
        <w:rPr>
          <w:rFonts w:eastAsia="Calibri"/>
          <w:i/>
          <w:iCs/>
          <w:sz w:val="20"/>
          <w:szCs w:val="20"/>
          <w:lang w:val="es-DO"/>
        </w:rPr>
      </w:pPr>
      <w:r w:rsidRPr="006C2A50">
        <w:rPr>
          <w:rFonts w:eastAsia="Calibri"/>
          <w:i/>
          <w:iCs/>
          <w:sz w:val="20"/>
          <w:szCs w:val="20"/>
          <w:lang w:val="es-DO"/>
        </w:rPr>
        <w:t>Gráfico No.</w:t>
      </w:r>
      <w:r w:rsidR="003F639F">
        <w:rPr>
          <w:rFonts w:eastAsia="Calibri"/>
          <w:i/>
          <w:iCs/>
          <w:sz w:val="20"/>
          <w:szCs w:val="20"/>
          <w:lang w:val="es-DO"/>
        </w:rPr>
        <w:t>1</w:t>
      </w:r>
      <w:r w:rsidR="00BA6147">
        <w:rPr>
          <w:rFonts w:eastAsia="Calibri"/>
          <w:i/>
          <w:iCs/>
          <w:sz w:val="20"/>
          <w:szCs w:val="20"/>
          <w:lang w:val="es-DO"/>
        </w:rPr>
        <w:t>1</w:t>
      </w:r>
      <w:r w:rsidRPr="006C2A50">
        <w:rPr>
          <w:rFonts w:eastAsia="Calibri"/>
          <w:i/>
          <w:iCs/>
          <w:sz w:val="20"/>
          <w:szCs w:val="20"/>
          <w:lang w:val="es-DO"/>
        </w:rPr>
        <w:t xml:space="preserve"> Tendencia puntuaciones del portal de transparencia durante el año 2025.</w:t>
      </w:r>
    </w:p>
    <w:p w14:paraId="207CE4EB" w14:textId="77777777" w:rsidR="006C2A50" w:rsidRPr="006C2A50" w:rsidRDefault="006C2A50" w:rsidP="006C2A50">
      <w:pPr>
        <w:spacing w:line="360" w:lineRule="auto"/>
        <w:jc w:val="both"/>
        <w:rPr>
          <w:rFonts w:eastAsia="Calibri"/>
          <w:lang w:val="es-DO"/>
        </w:rPr>
      </w:pPr>
    </w:p>
    <w:p w14:paraId="7266CB82" w14:textId="77777777" w:rsidR="006C2A50" w:rsidRPr="006C2A50" w:rsidRDefault="006C2A50" w:rsidP="003F639F">
      <w:pPr>
        <w:spacing w:line="360" w:lineRule="auto"/>
        <w:jc w:val="both"/>
        <w:rPr>
          <w:rFonts w:eastAsia="Calibri"/>
          <w:lang w:val="es-DO"/>
        </w:rPr>
      </w:pPr>
      <w:r w:rsidRPr="006C2A50">
        <w:rPr>
          <w:rFonts w:eastAsia="Calibri"/>
          <w:lang w:val="es-DO"/>
        </w:rPr>
        <w:lastRenderedPageBreak/>
        <w:t xml:space="preserve">En materia de gestión del Portal de Datos Abiertos, la Oficina de Acceso a la Información continúa trabajando en el fortalecimiento de la transparencia y el desarrollo institucional. Como resultado de estos esfuerzos, se obtuvo la </w:t>
      </w:r>
      <w:r w:rsidRPr="00576675">
        <w:rPr>
          <w:rFonts w:eastAsia="Calibri"/>
          <w:b/>
          <w:bCs/>
          <w:lang w:val="es-DO"/>
        </w:rPr>
        <w:t>C</w:t>
      </w:r>
      <w:r w:rsidRPr="006C2A50">
        <w:rPr>
          <w:rFonts w:eastAsia="Calibri"/>
          <w:b/>
          <w:bCs/>
          <w:lang w:val="es-DO"/>
        </w:rPr>
        <w:t>ertificación</w:t>
      </w:r>
      <w:r w:rsidRPr="006C2A50">
        <w:rPr>
          <w:rFonts w:eastAsia="Calibri"/>
          <w:lang w:val="es-DO"/>
        </w:rPr>
        <w:t xml:space="preserve"> </w:t>
      </w:r>
      <w:r w:rsidRPr="006C2A50">
        <w:rPr>
          <w:rFonts w:eastAsia="Calibri"/>
          <w:b/>
          <w:bCs/>
          <w:lang w:val="es-DO"/>
        </w:rPr>
        <w:t>NORTIC A3</w:t>
      </w:r>
      <w:r w:rsidRPr="006C2A50">
        <w:rPr>
          <w:rFonts w:eastAsia="Calibri"/>
          <w:lang w:val="es-DO"/>
        </w:rPr>
        <w:t>, la cual establece los lineamientos que deben cumplir las instituciones para garantizar una gestión ética, segura y eficiente de sus redes sociales oficiales.</w:t>
      </w:r>
    </w:p>
    <w:p w14:paraId="0C5EE87C" w14:textId="77777777" w:rsidR="003F639F" w:rsidRPr="003F639F" w:rsidRDefault="006C2A50" w:rsidP="003F639F">
      <w:pPr>
        <w:spacing w:line="360" w:lineRule="auto"/>
        <w:jc w:val="both"/>
        <w:rPr>
          <w:rFonts w:eastAsia="Calibri"/>
          <w:lang w:val="es-DO"/>
        </w:rPr>
      </w:pPr>
      <w:r w:rsidRPr="003F639F">
        <w:rPr>
          <w:rFonts w:eastAsia="Calibri"/>
          <w:lang w:val="es-DO"/>
        </w:rPr>
        <w:t>Actualmente, nuestro Portal de Datos Abiertos dispone de la siguiente información:</w:t>
      </w:r>
    </w:p>
    <w:p w14:paraId="612CD521" w14:textId="0B5111CB" w:rsidR="003F639F" w:rsidRPr="003F639F" w:rsidRDefault="006C2A50" w:rsidP="003F639F">
      <w:pPr>
        <w:pStyle w:val="Prrafodelista"/>
        <w:numPr>
          <w:ilvl w:val="1"/>
          <w:numId w:val="36"/>
        </w:numPr>
        <w:spacing w:line="360" w:lineRule="auto"/>
        <w:jc w:val="both"/>
        <w:rPr>
          <w:rFonts w:eastAsia="Calibri"/>
          <w:lang w:val="es-DO"/>
        </w:rPr>
      </w:pPr>
      <w:r w:rsidRPr="003F639F">
        <w:rPr>
          <w:rFonts w:eastAsia="Calibri"/>
          <w:lang w:val="es-DO"/>
        </w:rPr>
        <w:t>Estadísticas de visitas a museos 2023-2025</w:t>
      </w:r>
    </w:p>
    <w:p w14:paraId="31CBC358" w14:textId="77777777" w:rsidR="003F639F" w:rsidRPr="003F639F" w:rsidRDefault="006C2A50" w:rsidP="003F639F">
      <w:pPr>
        <w:pStyle w:val="Prrafodelista"/>
        <w:numPr>
          <w:ilvl w:val="1"/>
          <w:numId w:val="36"/>
        </w:numPr>
        <w:spacing w:line="360" w:lineRule="auto"/>
        <w:jc w:val="both"/>
        <w:rPr>
          <w:rFonts w:eastAsia="Calibri"/>
          <w:lang w:val="es-DO"/>
        </w:rPr>
      </w:pPr>
      <w:r w:rsidRPr="003F639F">
        <w:rPr>
          <w:rFonts w:eastAsia="Calibri"/>
          <w:lang w:val="es-DO"/>
        </w:rPr>
        <w:t>Listado de museos nacionales 2023-2025</w:t>
      </w:r>
    </w:p>
    <w:p w14:paraId="6C9A3DA6" w14:textId="1F0C314B" w:rsidR="006C2A50" w:rsidRPr="003F639F" w:rsidRDefault="006C2A50" w:rsidP="003F639F">
      <w:pPr>
        <w:pStyle w:val="Prrafodelista"/>
        <w:numPr>
          <w:ilvl w:val="1"/>
          <w:numId w:val="36"/>
        </w:numPr>
        <w:spacing w:line="360" w:lineRule="auto"/>
        <w:jc w:val="both"/>
        <w:rPr>
          <w:rFonts w:eastAsia="Calibri"/>
          <w:lang w:val="es-DO"/>
        </w:rPr>
      </w:pPr>
      <w:r w:rsidRPr="003F639F">
        <w:rPr>
          <w:rFonts w:eastAsia="Calibri"/>
          <w:lang w:val="es-DO"/>
        </w:rPr>
        <w:t>Nómina reportada mensual 2023-2025</w:t>
      </w:r>
    </w:p>
    <w:p w14:paraId="57767FEC" w14:textId="77777777" w:rsidR="00BA6147" w:rsidRPr="00BA6147" w:rsidRDefault="00BA6147" w:rsidP="00BA6147">
      <w:pPr>
        <w:rPr>
          <w:lang w:val="es-DO"/>
        </w:rPr>
        <w:sectPr w:rsidR="00BA6147" w:rsidRPr="00BA6147" w:rsidSect="00FE55BE">
          <w:pgSz w:w="12240" w:h="15840"/>
          <w:pgMar w:top="1440" w:right="2160" w:bottom="1440" w:left="2160" w:header="720" w:footer="720" w:gutter="0"/>
          <w:cols w:space="720"/>
          <w:docGrid w:linePitch="360"/>
        </w:sectPr>
      </w:pPr>
    </w:p>
    <w:p w14:paraId="06A827E3" w14:textId="77777777" w:rsidR="00485B71" w:rsidRPr="00733149" w:rsidRDefault="00485B71" w:rsidP="00485B71">
      <w:pPr>
        <w:pStyle w:val="Ttulo1"/>
        <w:rPr>
          <w:rFonts w:cs="Times New Roman"/>
          <w:color w:val="4C4747"/>
          <w:lang w:val="es-DO"/>
        </w:rPr>
      </w:pPr>
      <w:r w:rsidRPr="00733149">
        <w:rPr>
          <w:rFonts w:cs="Times New Roman"/>
          <w:color w:val="4C4747"/>
          <w:lang w:val="es-DO"/>
        </w:rPr>
        <w:lastRenderedPageBreak/>
        <w:t>PROYECCIONES AL PRÓXIMO AÑO</w:t>
      </w:r>
    </w:p>
    <w:p w14:paraId="7C0ED659" w14:textId="77777777" w:rsidR="00485B71" w:rsidRPr="00733149"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58"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04AC4" id="Straight Connector 10"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8732F0" w:rsidR="00485B71" w:rsidRPr="00733149" w:rsidRDefault="00485B71" w:rsidP="00485B71">
      <w:pPr>
        <w:jc w:val="center"/>
        <w:rPr>
          <w:rFonts w:eastAsia="Calibri"/>
          <w:color w:val="4C4747"/>
          <w:szCs w:val="36"/>
          <w:lang w:val="es-DO"/>
        </w:rPr>
      </w:pPr>
      <w:r w:rsidRPr="00733149">
        <w:rPr>
          <w:rFonts w:eastAsia="Calibri"/>
          <w:color w:val="4C4747"/>
          <w:szCs w:val="36"/>
          <w:lang w:val="es-DO"/>
        </w:rPr>
        <w:t xml:space="preserve">Memoria </w:t>
      </w:r>
      <w:r w:rsidR="009547F0" w:rsidRPr="00733149">
        <w:rPr>
          <w:rFonts w:eastAsia="Calibri"/>
          <w:color w:val="4C4747"/>
          <w:szCs w:val="36"/>
          <w:lang w:val="es-DO"/>
        </w:rPr>
        <w:t>I</w:t>
      </w:r>
      <w:r w:rsidRPr="00733149">
        <w:rPr>
          <w:rFonts w:eastAsia="Calibri"/>
          <w:color w:val="4C4747"/>
          <w:szCs w:val="36"/>
          <w:lang w:val="es-DO"/>
        </w:rPr>
        <w:t xml:space="preserve">nstitucional </w:t>
      </w:r>
      <w:r w:rsidR="007471AC" w:rsidRPr="00733149">
        <w:rPr>
          <w:rFonts w:eastAsia="Calibri"/>
          <w:color w:val="4C4747"/>
          <w:szCs w:val="36"/>
          <w:lang w:val="es-DO"/>
        </w:rPr>
        <w:t>202</w:t>
      </w:r>
      <w:r w:rsidR="00285551">
        <w:rPr>
          <w:rFonts w:eastAsia="Calibri"/>
          <w:color w:val="4C4747"/>
          <w:szCs w:val="36"/>
          <w:lang w:val="es-DO"/>
        </w:rPr>
        <w:t>5</w:t>
      </w:r>
    </w:p>
    <w:p w14:paraId="519B634C" w14:textId="737011FA" w:rsidR="000462A2" w:rsidRDefault="0069197B" w:rsidP="0069197B">
      <w:pPr>
        <w:spacing w:line="360" w:lineRule="auto"/>
        <w:jc w:val="both"/>
        <w:rPr>
          <w:rFonts w:eastAsia="Calibri"/>
          <w:szCs w:val="36"/>
          <w:lang w:val="es-DO"/>
        </w:rPr>
      </w:pPr>
      <w:r>
        <w:rPr>
          <w:rFonts w:eastAsia="Calibri"/>
          <w:szCs w:val="36"/>
          <w:lang w:val="es-DO"/>
        </w:rPr>
        <w:t>Para el año 202</w:t>
      </w:r>
      <w:r w:rsidR="00264A0F">
        <w:rPr>
          <w:rFonts w:eastAsia="Calibri"/>
          <w:szCs w:val="36"/>
          <w:lang w:val="es-DO"/>
        </w:rPr>
        <w:t>6</w:t>
      </w:r>
      <w:r>
        <w:rPr>
          <w:rFonts w:eastAsia="Calibri"/>
          <w:szCs w:val="36"/>
          <w:lang w:val="es-DO"/>
        </w:rPr>
        <w:t xml:space="preserve">, la DGM </w:t>
      </w:r>
      <w:r w:rsidR="00BE6FD8">
        <w:rPr>
          <w:rFonts w:eastAsia="Calibri"/>
          <w:szCs w:val="36"/>
          <w:lang w:val="es-DO"/>
        </w:rPr>
        <w:t>se encuentra en la formulación del Plan Estratégico Institucional (PEI), bajo el nuevo formato establecido por el MEP</w:t>
      </w:r>
      <w:r w:rsidR="00A33482">
        <w:rPr>
          <w:rFonts w:eastAsia="Calibri"/>
          <w:szCs w:val="36"/>
          <w:lang w:val="es-DO"/>
        </w:rPr>
        <w:t xml:space="preserve">yD; y de conformidad con los lineamientos definidos en </w:t>
      </w:r>
      <w:r w:rsidR="000462A2">
        <w:rPr>
          <w:rFonts w:eastAsia="Calibri"/>
          <w:szCs w:val="36"/>
          <w:lang w:val="es-DO"/>
        </w:rPr>
        <w:t>los instrumentos</w:t>
      </w:r>
      <w:r w:rsidR="00A33482">
        <w:rPr>
          <w:rFonts w:eastAsia="Calibri"/>
          <w:szCs w:val="36"/>
          <w:lang w:val="es-DO"/>
        </w:rPr>
        <w:t xml:space="preserve"> de </w:t>
      </w:r>
      <w:r w:rsidR="000462A2">
        <w:rPr>
          <w:rFonts w:eastAsia="Calibri"/>
          <w:szCs w:val="36"/>
          <w:lang w:val="es-DO"/>
        </w:rPr>
        <w:t>planificación</w:t>
      </w:r>
      <w:r w:rsidR="00A33482">
        <w:rPr>
          <w:rFonts w:eastAsia="Calibri"/>
          <w:szCs w:val="36"/>
          <w:lang w:val="es-DO"/>
        </w:rPr>
        <w:t xml:space="preserve"> globales: Estrategia Nacional de Desarrollo </w:t>
      </w:r>
      <w:r w:rsidR="000462A2">
        <w:rPr>
          <w:rFonts w:eastAsia="Calibri"/>
          <w:szCs w:val="36"/>
          <w:lang w:val="es-DO"/>
        </w:rPr>
        <w:t>(</w:t>
      </w:r>
      <w:r w:rsidR="00A33482">
        <w:rPr>
          <w:rFonts w:eastAsia="Calibri"/>
          <w:szCs w:val="36"/>
          <w:lang w:val="es-DO"/>
        </w:rPr>
        <w:t>END 20</w:t>
      </w:r>
      <w:r w:rsidR="000462A2">
        <w:rPr>
          <w:rFonts w:eastAsia="Calibri"/>
          <w:szCs w:val="36"/>
          <w:lang w:val="es-DO"/>
        </w:rPr>
        <w:t>30) y el Plan Nacional Plurianual del Sector Público (PNSP) 2025-2028.</w:t>
      </w:r>
    </w:p>
    <w:p w14:paraId="55AFFBDF" w14:textId="42556252" w:rsidR="0069197B" w:rsidRPr="00011FB1" w:rsidRDefault="00224DF0" w:rsidP="00224DF0">
      <w:pPr>
        <w:spacing w:line="360" w:lineRule="auto"/>
        <w:jc w:val="both"/>
        <w:rPr>
          <w:rFonts w:eastAsia="Calibri"/>
          <w:noProof/>
          <w:lang w:val="es-DO"/>
        </w:rPr>
      </w:pPr>
      <w:r>
        <w:rPr>
          <w:rFonts w:eastAsia="Calibri"/>
          <w:szCs w:val="36"/>
          <w:lang w:val="es-DO"/>
        </w:rPr>
        <w:t>A</w:t>
      </w:r>
      <w:r w:rsidR="000462A2">
        <w:rPr>
          <w:rFonts w:eastAsia="Calibri"/>
          <w:szCs w:val="36"/>
          <w:lang w:val="es-DO"/>
        </w:rPr>
        <w:t xml:space="preserve"> la fecha se </w:t>
      </w:r>
      <w:r w:rsidR="0069197B">
        <w:rPr>
          <w:rFonts w:eastAsia="Calibri"/>
          <w:szCs w:val="36"/>
          <w:lang w:val="es-DO"/>
        </w:rPr>
        <w:t>ha</w:t>
      </w:r>
      <w:r w:rsidR="000462A2">
        <w:rPr>
          <w:rFonts w:eastAsia="Calibri"/>
          <w:szCs w:val="36"/>
          <w:lang w:val="es-DO"/>
        </w:rPr>
        <w:t>n</w:t>
      </w:r>
      <w:r w:rsidR="0069197B">
        <w:rPr>
          <w:rFonts w:eastAsia="Calibri"/>
          <w:szCs w:val="36"/>
          <w:lang w:val="es-DO"/>
        </w:rPr>
        <w:t xml:space="preserve"> definido los siguientes lineamientos</w:t>
      </w:r>
      <w:r>
        <w:rPr>
          <w:rFonts w:eastAsia="Calibri"/>
          <w:szCs w:val="36"/>
          <w:lang w:val="es-DO"/>
        </w:rPr>
        <w:t xml:space="preserve"> </w:t>
      </w:r>
      <w:r w:rsidR="0069197B" w:rsidRPr="00011FB1">
        <w:rPr>
          <w:rFonts w:eastAsia="Calibri"/>
          <w:noProof/>
          <w:lang w:val="es-DO"/>
        </w:rPr>
        <w:t xml:space="preserve">siguientes: </w:t>
      </w:r>
    </w:p>
    <w:p w14:paraId="5B5E82E9" w14:textId="77777777" w:rsidR="0069197B" w:rsidRPr="00221F1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 xml:space="preserve">Inclusión y accesibilidad </w:t>
      </w:r>
    </w:p>
    <w:p w14:paraId="53D109DF" w14:textId="77777777" w:rsidR="0069197B" w:rsidRPr="00221F1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 xml:space="preserve">Autogestión, sostenibilidad y resiliencia </w:t>
      </w:r>
    </w:p>
    <w:p w14:paraId="15749910" w14:textId="77777777" w:rsidR="0069197B" w:rsidRPr="00221F1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Difusión y promoción promoción de la cultura</w:t>
      </w:r>
    </w:p>
    <w:p w14:paraId="3520C79D" w14:textId="77777777" w:rsidR="0069197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 xml:space="preserve">Formación y Capacitación </w:t>
      </w:r>
    </w:p>
    <w:p w14:paraId="4596B2D8" w14:textId="77777777" w:rsidR="0069197B" w:rsidRPr="00BD7739" w:rsidRDefault="0069197B" w:rsidP="0069197B">
      <w:pPr>
        <w:spacing w:line="360" w:lineRule="auto"/>
        <w:jc w:val="both"/>
        <w:rPr>
          <w:rFonts w:eastAsia="Calibri"/>
          <w:noProof/>
          <w:lang w:val="es-DO"/>
        </w:rPr>
      </w:pPr>
      <w:r>
        <w:rPr>
          <w:rFonts w:eastAsia="Calibri"/>
          <w:noProof/>
          <w:lang w:val="es-DO"/>
        </w:rPr>
        <w:t>En ese contexto, se han priorizado los proyecto siguientes:</w:t>
      </w:r>
    </w:p>
    <w:p w14:paraId="791CF2BA" w14:textId="2DA2DDDD" w:rsidR="00576675" w:rsidRDefault="00576675" w:rsidP="00576675">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Pr>
          <w:rFonts w:eastAsia="Calibri"/>
          <w:noProof/>
          <w:color w:val="767171"/>
          <w:spacing w:val="20"/>
          <w:lang w:val="es-DO"/>
        </w:rPr>
        <w:t>Implementacion del Registro Nacional de Museos</w:t>
      </w:r>
    </w:p>
    <w:p w14:paraId="41302AB9" w14:textId="1EC5B293" w:rsidR="00576675" w:rsidRDefault="00576675" w:rsidP="00576675">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Pr>
          <w:rFonts w:eastAsia="Calibri"/>
          <w:noProof/>
          <w:color w:val="767171"/>
          <w:spacing w:val="20"/>
          <w:lang w:val="es-DO"/>
        </w:rPr>
        <w:t>Fortalecimiento del Sistema de Monitoreo de Visitas</w:t>
      </w:r>
    </w:p>
    <w:p w14:paraId="4157D605" w14:textId="5D3FF167" w:rsidR="0069197B" w:rsidRPr="0069197B" w:rsidRDefault="0069197B" w:rsidP="00576675">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sidRPr="0069197B">
        <w:rPr>
          <w:rFonts w:eastAsia="Calibri"/>
          <w:noProof/>
          <w:color w:val="767171"/>
          <w:spacing w:val="20"/>
          <w:lang w:val="es-DO"/>
        </w:rPr>
        <w:t>Sistematización del Sistema de Cobranza: establecimiento de tarifario y tecnificación de los mecanismos de recaudación.​</w:t>
      </w:r>
    </w:p>
    <w:p w14:paraId="4290A5A3" w14:textId="410D57DE" w:rsidR="00576675" w:rsidRDefault="00576675" w:rsidP="00576675">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Pr>
          <w:rFonts w:eastAsia="Calibri"/>
          <w:noProof/>
          <w:color w:val="767171"/>
          <w:spacing w:val="20"/>
          <w:lang w:val="es-DO"/>
        </w:rPr>
        <w:t>Implementación de la estructura organizativa, manual de funciones y de cargos.</w:t>
      </w:r>
    </w:p>
    <w:p w14:paraId="61BA5794" w14:textId="7BFD6174" w:rsidR="0069197B" w:rsidRPr="0069197B" w:rsidRDefault="0069197B" w:rsidP="00576675">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sidRPr="0069197B">
        <w:rPr>
          <w:rFonts w:eastAsia="Calibri"/>
          <w:noProof/>
          <w:color w:val="767171"/>
          <w:spacing w:val="20"/>
          <w:lang w:val="es-DO"/>
        </w:rPr>
        <w:t>Implementación del Plan de Formación y Capacitación para el personal de los museos.​</w:t>
      </w:r>
    </w:p>
    <w:p w14:paraId="44BEB9D5" w14:textId="77777777" w:rsidR="0069197B" w:rsidRPr="0069197B" w:rsidRDefault="0069197B" w:rsidP="00576675">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sidRPr="0069197B">
        <w:rPr>
          <w:rFonts w:eastAsia="Calibri"/>
          <w:noProof/>
          <w:color w:val="767171"/>
          <w:spacing w:val="20"/>
          <w:lang w:val="es-DO"/>
        </w:rPr>
        <w:t>Ampliación de la cartera de servicios ofrecidos al público (incluye habilitación de cafeterías y espacios similares).​</w:t>
      </w:r>
    </w:p>
    <w:p w14:paraId="63EBFDE3" w14:textId="213199E8"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lastRenderedPageBreak/>
        <w:t>Habilitación de bibliotecas, mediatecas y virtualización de las colecciones.​</w:t>
      </w:r>
    </w:p>
    <w:p w14:paraId="6F77E1AD"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t>Creación de oferta complementaria para las temporadas bajas: cursos, talleres, visitas guiadas y otras actividades vinculadas a las colecciones.​</w:t>
      </w:r>
    </w:p>
    <w:p w14:paraId="65199F7C"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t>Implementación de paquetes especiales para tours operadores, colegios y grupos.​</w:t>
      </w:r>
    </w:p>
    <w:p w14:paraId="230838C8"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t>Diseño e implementación de un programa de responsabilidad social: llevar los museos a los hospitales, cárceles, orfanatos, asilos.​</w:t>
      </w:r>
    </w:p>
    <w:p w14:paraId="0D77173E" w14:textId="77777777" w:rsidR="0069197B" w:rsidRPr="0069197B" w:rsidRDefault="0069197B" w:rsidP="00355D52">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sidRPr="0069197B">
        <w:rPr>
          <w:rFonts w:eastAsia="Calibri"/>
          <w:noProof/>
          <w:color w:val="767171"/>
          <w:spacing w:val="20"/>
          <w:lang w:val="es-DO"/>
        </w:rPr>
        <w:t>Fortalecimiento y creación de los voluntariados y asociaciones de amigos de los museos.​</w:t>
      </w:r>
    </w:p>
    <w:p w14:paraId="2CC35D0C" w14:textId="2F81C3D9" w:rsidR="0069197B" w:rsidRPr="00576675"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MX"/>
        </w:rPr>
      </w:pPr>
      <w:r w:rsidRPr="00576675">
        <w:rPr>
          <w:rFonts w:eastAsia="Calibri"/>
          <w:noProof/>
          <w:color w:val="767171"/>
          <w:spacing w:val="20"/>
          <w:lang w:val="es-MX"/>
        </w:rPr>
        <w:t>Formalización de alianzas estratégicas​</w:t>
      </w:r>
      <w:r w:rsidR="00576675" w:rsidRPr="00576675">
        <w:rPr>
          <w:rFonts w:eastAsia="Calibri"/>
          <w:noProof/>
          <w:color w:val="767171"/>
          <w:spacing w:val="20"/>
          <w:lang w:val="es-MX"/>
        </w:rPr>
        <w:t xml:space="preserve"> p</w:t>
      </w:r>
      <w:r w:rsidR="00576675">
        <w:rPr>
          <w:rFonts w:eastAsia="Calibri"/>
          <w:noProof/>
          <w:color w:val="767171"/>
          <w:spacing w:val="20"/>
          <w:lang w:val="es-MX"/>
        </w:rPr>
        <w:t>ara la creación de nuevos museos.</w:t>
      </w:r>
    </w:p>
    <w:p w14:paraId="5DD55FB0" w14:textId="77777777" w:rsidR="0069197B" w:rsidRDefault="0069197B" w:rsidP="0069197B">
      <w:pPr>
        <w:spacing w:line="360" w:lineRule="auto"/>
        <w:jc w:val="both"/>
        <w:rPr>
          <w:rFonts w:eastAsia="Calibri"/>
          <w:noProof/>
          <w:lang w:val="es-DO"/>
        </w:rPr>
      </w:pPr>
      <w:r>
        <w:rPr>
          <w:rFonts w:eastAsia="Calibri"/>
          <w:noProof/>
          <w:lang w:val="es-DO"/>
        </w:rPr>
        <w:t>En el ámbito de ampliación y fortalecimiento de la RED, se prevé la aprobación del Reglamento, la terminación del levantamiento de caracterización de museos, la tipificación de los museos; asi como el acompañamiento y asesoría a la creación de 16 nuevos museos, como parte del proyecto de desterritorialización de los museos.</w:t>
      </w:r>
    </w:p>
    <w:p w14:paraId="5DC4C3F8" w14:textId="205C55BF" w:rsidR="0069197B" w:rsidRDefault="0069197B" w:rsidP="0069197B">
      <w:pPr>
        <w:spacing w:line="360" w:lineRule="auto"/>
        <w:jc w:val="both"/>
        <w:rPr>
          <w:rFonts w:eastAsia="Calibri"/>
          <w:noProof/>
          <w:lang w:val="es-DO"/>
        </w:rPr>
      </w:pPr>
      <w:r>
        <w:rPr>
          <w:rFonts w:eastAsia="Calibri"/>
          <w:noProof/>
          <w:lang w:val="es-DO"/>
        </w:rPr>
        <w:t>De igual modo, se mantendrán los programas de difusión Noche Larga de los Museos</w:t>
      </w:r>
      <w:r w:rsidR="00224DF0">
        <w:rPr>
          <w:rFonts w:eastAsia="Calibri"/>
          <w:noProof/>
          <w:lang w:val="es-DO"/>
        </w:rPr>
        <w:t>,</w:t>
      </w:r>
      <w:r>
        <w:rPr>
          <w:rFonts w:eastAsia="Calibri"/>
          <w:noProof/>
          <w:lang w:val="es-DO"/>
        </w:rPr>
        <w:t xml:space="preserve"> Talleres de Verano</w:t>
      </w:r>
      <w:r w:rsidR="00224DF0">
        <w:rPr>
          <w:rFonts w:eastAsia="Calibri"/>
          <w:noProof/>
          <w:lang w:val="es-DO"/>
        </w:rPr>
        <w:t xml:space="preserve"> y Noches de Navidad en </w:t>
      </w:r>
      <w:r w:rsidR="00F01AA2">
        <w:rPr>
          <w:rFonts w:eastAsia="Calibri"/>
          <w:noProof/>
          <w:lang w:val="es-DO"/>
        </w:rPr>
        <w:t>los Museos</w:t>
      </w:r>
      <w:r>
        <w:rPr>
          <w:rFonts w:eastAsia="Calibri"/>
          <w:noProof/>
          <w:lang w:val="es-DO"/>
        </w:rPr>
        <w:t>; al tiempo que se incentivarán y promoverán las actividades de inclusión y vinculación con las comunidades.</w:t>
      </w:r>
      <w:r>
        <w:rPr>
          <w:rFonts w:eastAsia="Calibri"/>
          <w:noProof/>
          <w:lang w:val="es-DO"/>
        </w:rPr>
        <w:br w:type="page"/>
      </w:r>
    </w:p>
    <w:p w14:paraId="10DE8845" w14:textId="48ACAEAF" w:rsidR="00485B71" w:rsidRPr="009C7BFB" w:rsidRDefault="009870D7" w:rsidP="00485B71">
      <w:pPr>
        <w:pStyle w:val="Ttulo1"/>
        <w:rPr>
          <w:rFonts w:cs="Times New Roman"/>
          <w:color w:val="4C4747"/>
          <w:lang w:val="es-DO"/>
        </w:rPr>
      </w:pPr>
      <w:r w:rsidRPr="009C7BFB">
        <w:rPr>
          <w:rFonts w:cs="Times New Roman"/>
          <w:color w:val="4C4747"/>
          <w:lang w:val="es-DO"/>
        </w:rPr>
        <w:lastRenderedPageBreak/>
        <w:t xml:space="preserve">ANEXOS </w:t>
      </w:r>
    </w:p>
    <w:p w14:paraId="441E6667" w14:textId="77777777" w:rsidR="00485B71" w:rsidRPr="009C7BFB"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82"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6B3FB" id="Straight Connector 11" o:spid="_x0000_s1026" style="position:absolute;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6F56C176" w:rsidR="00485B71" w:rsidRPr="009C7BFB" w:rsidRDefault="00485B71" w:rsidP="00485B71">
      <w:pPr>
        <w:jc w:val="center"/>
        <w:rPr>
          <w:rFonts w:eastAsia="Calibri"/>
          <w:color w:val="4C4747"/>
          <w:szCs w:val="36"/>
          <w:lang w:val="es-DO"/>
        </w:rPr>
      </w:pPr>
      <w:r w:rsidRPr="009C7BFB">
        <w:rPr>
          <w:rFonts w:eastAsia="Calibri"/>
          <w:color w:val="4C4747"/>
          <w:szCs w:val="36"/>
          <w:lang w:val="es-DO"/>
        </w:rPr>
        <w:t xml:space="preserve">Memoria </w:t>
      </w:r>
      <w:r w:rsidR="009547F0" w:rsidRPr="009C7BFB">
        <w:rPr>
          <w:rFonts w:eastAsia="Calibri"/>
          <w:color w:val="4C4747"/>
          <w:szCs w:val="36"/>
          <w:lang w:val="es-DO"/>
        </w:rPr>
        <w:t>I</w:t>
      </w:r>
      <w:r w:rsidRPr="009C7BFB">
        <w:rPr>
          <w:rFonts w:eastAsia="Calibri"/>
          <w:color w:val="4C4747"/>
          <w:szCs w:val="36"/>
          <w:lang w:val="es-DO"/>
        </w:rPr>
        <w:t xml:space="preserve">nstitucional </w:t>
      </w:r>
      <w:r w:rsidR="007471AC" w:rsidRPr="009C7BFB">
        <w:rPr>
          <w:rFonts w:eastAsia="Calibri"/>
          <w:color w:val="4C4747"/>
          <w:szCs w:val="36"/>
          <w:lang w:val="es-DO"/>
        </w:rPr>
        <w:t>202</w:t>
      </w:r>
      <w:r w:rsidR="00285551">
        <w:rPr>
          <w:rFonts w:eastAsia="Calibri"/>
          <w:color w:val="4C4747"/>
          <w:szCs w:val="36"/>
          <w:lang w:val="es-DO"/>
        </w:rPr>
        <w:t>5</w:t>
      </w:r>
    </w:p>
    <w:p w14:paraId="108E998F" w14:textId="17F4E914" w:rsidR="00A24706" w:rsidRDefault="00A24706" w:rsidP="00A24706">
      <w:pPr>
        <w:spacing w:line="360" w:lineRule="auto"/>
        <w:jc w:val="center"/>
        <w:rPr>
          <w:b/>
          <w:bCs/>
          <w:sz w:val="28"/>
          <w:szCs w:val="28"/>
          <w:lang w:val="es-DO"/>
        </w:rPr>
      </w:pPr>
      <w:r>
        <w:rPr>
          <w:b/>
          <w:bCs/>
          <w:sz w:val="28"/>
          <w:szCs w:val="28"/>
          <w:lang w:val="es-DO"/>
        </w:rPr>
        <w:t>Anexo A.</w:t>
      </w:r>
      <w:r w:rsidRPr="00BE2C16">
        <w:rPr>
          <w:b/>
          <w:bCs/>
          <w:sz w:val="28"/>
          <w:szCs w:val="28"/>
          <w:lang w:val="es-DO"/>
        </w:rPr>
        <w:t xml:space="preserve"> Matriz Logros Relevantes – Datos Cuantitativos</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5"/>
        <w:gridCol w:w="450"/>
        <w:gridCol w:w="430"/>
        <w:gridCol w:w="950"/>
        <w:gridCol w:w="450"/>
        <w:gridCol w:w="530"/>
        <w:gridCol w:w="912"/>
        <w:gridCol w:w="425"/>
        <w:gridCol w:w="466"/>
        <w:gridCol w:w="598"/>
        <w:gridCol w:w="495"/>
        <w:gridCol w:w="450"/>
        <w:gridCol w:w="1040"/>
        <w:gridCol w:w="1325"/>
      </w:tblGrid>
      <w:tr w:rsidR="00A24706" w:rsidRPr="006B03FE" w14:paraId="2A0DE518" w14:textId="77777777" w:rsidTr="00DC3589">
        <w:trPr>
          <w:trHeight w:val="288"/>
          <w:jc w:val="center"/>
        </w:trPr>
        <w:tc>
          <w:tcPr>
            <w:tcW w:w="1705" w:type="dxa"/>
            <w:shd w:val="clear" w:color="auto" w:fill="142F62"/>
            <w:noWrap/>
            <w:vAlign w:val="center"/>
            <w:hideMark/>
          </w:tcPr>
          <w:p w14:paraId="49A5B7D9"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Producto / Servicio</w:t>
            </w:r>
          </w:p>
        </w:tc>
        <w:tc>
          <w:tcPr>
            <w:tcW w:w="450" w:type="dxa"/>
            <w:shd w:val="clear" w:color="auto" w:fill="142F62"/>
            <w:noWrap/>
            <w:vAlign w:val="center"/>
            <w:hideMark/>
          </w:tcPr>
          <w:p w14:paraId="758AE2CF"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Ene</w:t>
            </w:r>
          </w:p>
        </w:tc>
        <w:tc>
          <w:tcPr>
            <w:tcW w:w="430" w:type="dxa"/>
            <w:shd w:val="clear" w:color="auto" w:fill="142F62"/>
            <w:noWrap/>
            <w:vAlign w:val="center"/>
            <w:hideMark/>
          </w:tcPr>
          <w:p w14:paraId="6C2C1D60"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Feb</w:t>
            </w:r>
          </w:p>
        </w:tc>
        <w:tc>
          <w:tcPr>
            <w:tcW w:w="480" w:type="dxa"/>
            <w:shd w:val="clear" w:color="auto" w:fill="142F62"/>
            <w:noWrap/>
            <w:vAlign w:val="center"/>
            <w:hideMark/>
          </w:tcPr>
          <w:p w14:paraId="736FE794"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Mar</w:t>
            </w:r>
          </w:p>
        </w:tc>
        <w:tc>
          <w:tcPr>
            <w:tcW w:w="450" w:type="dxa"/>
            <w:shd w:val="clear" w:color="auto" w:fill="142F62"/>
            <w:noWrap/>
            <w:vAlign w:val="center"/>
            <w:hideMark/>
          </w:tcPr>
          <w:p w14:paraId="271414C6"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A</w:t>
            </w:r>
            <w:r>
              <w:rPr>
                <w:rFonts w:eastAsia="Times New Roman"/>
                <w:b/>
                <w:bCs/>
                <w:color w:val="FFFFFF"/>
                <w:spacing w:val="0"/>
                <w:sz w:val="18"/>
                <w:szCs w:val="18"/>
                <w:lang w:val="es-DO" w:eastAsia="es-DO"/>
              </w:rPr>
              <w:t>b</w:t>
            </w:r>
            <w:r w:rsidRPr="006B03FE">
              <w:rPr>
                <w:rFonts w:eastAsia="Times New Roman"/>
                <w:b/>
                <w:bCs/>
                <w:color w:val="FFFFFF"/>
                <w:spacing w:val="0"/>
                <w:sz w:val="18"/>
                <w:szCs w:val="18"/>
                <w:lang w:val="es-DO" w:eastAsia="es-DO"/>
              </w:rPr>
              <w:t>r</w:t>
            </w:r>
          </w:p>
        </w:tc>
        <w:tc>
          <w:tcPr>
            <w:tcW w:w="530" w:type="dxa"/>
            <w:shd w:val="clear" w:color="auto" w:fill="142F62"/>
            <w:noWrap/>
            <w:vAlign w:val="center"/>
            <w:hideMark/>
          </w:tcPr>
          <w:p w14:paraId="486DBB15"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May</w:t>
            </w:r>
          </w:p>
        </w:tc>
        <w:tc>
          <w:tcPr>
            <w:tcW w:w="912" w:type="dxa"/>
            <w:shd w:val="clear" w:color="auto" w:fill="142F62"/>
            <w:noWrap/>
            <w:vAlign w:val="center"/>
            <w:hideMark/>
          </w:tcPr>
          <w:p w14:paraId="34AEF596"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Jun</w:t>
            </w:r>
          </w:p>
        </w:tc>
        <w:tc>
          <w:tcPr>
            <w:tcW w:w="425" w:type="dxa"/>
            <w:shd w:val="clear" w:color="auto" w:fill="142F62"/>
            <w:noWrap/>
            <w:vAlign w:val="center"/>
            <w:hideMark/>
          </w:tcPr>
          <w:p w14:paraId="371056FB"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Jul</w:t>
            </w:r>
          </w:p>
        </w:tc>
        <w:tc>
          <w:tcPr>
            <w:tcW w:w="466" w:type="dxa"/>
            <w:shd w:val="clear" w:color="auto" w:fill="142F62"/>
            <w:noWrap/>
            <w:vAlign w:val="center"/>
            <w:hideMark/>
          </w:tcPr>
          <w:p w14:paraId="08E5ACB6"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proofErr w:type="spellStart"/>
            <w:r w:rsidRPr="006B03FE">
              <w:rPr>
                <w:rFonts w:eastAsia="Times New Roman"/>
                <w:b/>
                <w:bCs/>
                <w:color w:val="FFFFFF"/>
                <w:spacing w:val="0"/>
                <w:sz w:val="18"/>
                <w:szCs w:val="18"/>
                <w:lang w:val="es-DO" w:eastAsia="es-DO"/>
              </w:rPr>
              <w:t>Aug</w:t>
            </w:r>
            <w:proofErr w:type="spellEnd"/>
          </w:p>
        </w:tc>
        <w:tc>
          <w:tcPr>
            <w:tcW w:w="598" w:type="dxa"/>
            <w:shd w:val="clear" w:color="auto" w:fill="142F62"/>
            <w:noWrap/>
            <w:vAlign w:val="center"/>
            <w:hideMark/>
          </w:tcPr>
          <w:p w14:paraId="6E1F6734"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proofErr w:type="spellStart"/>
            <w:r w:rsidRPr="006B03FE">
              <w:rPr>
                <w:rFonts w:eastAsia="Times New Roman"/>
                <w:b/>
                <w:bCs/>
                <w:color w:val="FFFFFF"/>
                <w:spacing w:val="0"/>
                <w:sz w:val="18"/>
                <w:szCs w:val="18"/>
                <w:lang w:val="es-DO" w:eastAsia="es-DO"/>
              </w:rPr>
              <w:t>Sep</w:t>
            </w:r>
            <w:proofErr w:type="spellEnd"/>
          </w:p>
        </w:tc>
        <w:tc>
          <w:tcPr>
            <w:tcW w:w="495" w:type="dxa"/>
            <w:shd w:val="clear" w:color="auto" w:fill="142F62"/>
            <w:noWrap/>
            <w:vAlign w:val="center"/>
            <w:hideMark/>
          </w:tcPr>
          <w:p w14:paraId="45C732B9"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Oct</w:t>
            </w:r>
          </w:p>
        </w:tc>
        <w:tc>
          <w:tcPr>
            <w:tcW w:w="450" w:type="dxa"/>
            <w:shd w:val="clear" w:color="auto" w:fill="142F62"/>
            <w:vAlign w:val="center"/>
          </w:tcPr>
          <w:p w14:paraId="05F1AE5D" w14:textId="77777777" w:rsidR="00A24706" w:rsidRDefault="00A24706" w:rsidP="00DC3589">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Nov</w:t>
            </w:r>
          </w:p>
        </w:tc>
        <w:tc>
          <w:tcPr>
            <w:tcW w:w="1325" w:type="dxa"/>
            <w:shd w:val="clear" w:color="auto" w:fill="142F62"/>
            <w:vAlign w:val="center"/>
          </w:tcPr>
          <w:p w14:paraId="23BAE062"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Dic</w:t>
            </w:r>
          </w:p>
        </w:tc>
        <w:tc>
          <w:tcPr>
            <w:tcW w:w="1325" w:type="dxa"/>
            <w:shd w:val="clear" w:color="auto" w:fill="142F62"/>
            <w:vAlign w:val="center"/>
            <w:hideMark/>
          </w:tcPr>
          <w:p w14:paraId="533EC4BA" w14:textId="77777777" w:rsidR="00A24706" w:rsidRPr="006B03FE" w:rsidRDefault="00A24706" w:rsidP="00DC3589">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Total 202</w:t>
            </w:r>
            <w:r>
              <w:rPr>
                <w:rFonts w:eastAsia="Times New Roman"/>
                <w:b/>
                <w:bCs/>
                <w:color w:val="FFFFFF"/>
                <w:spacing w:val="0"/>
                <w:sz w:val="18"/>
                <w:szCs w:val="18"/>
                <w:lang w:val="es-DO" w:eastAsia="es-DO"/>
              </w:rPr>
              <w:t>5</w:t>
            </w:r>
          </w:p>
        </w:tc>
      </w:tr>
      <w:tr w:rsidR="00A24706" w:rsidRPr="00AE0E74" w14:paraId="13173D5B" w14:textId="77777777" w:rsidTr="00DC3589">
        <w:trPr>
          <w:trHeight w:val="288"/>
          <w:jc w:val="center"/>
        </w:trPr>
        <w:tc>
          <w:tcPr>
            <w:tcW w:w="1705" w:type="dxa"/>
            <w:noWrap/>
            <w:vAlign w:val="center"/>
          </w:tcPr>
          <w:p w14:paraId="721A952B" w14:textId="77777777" w:rsidR="00A24706" w:rsidRPr="006B03FE" w:rsidRDefault="00A24706" w:rsidP="00DC3589">
            <w:pPr>
              <w:spacing w:after="0" w:line="240" w:lineRule="auto"/>
              <w:rPr>
                <w:rFonts w:eastAsia="Times New Roman"/>
                <w:spacing w:val="0"/>
                <w:sz w:val="18"/>
                <w:szCs w:val="18"/>
                <w:lang w:val="es-DO" w:eastAsia="es-DO"/>
              </w:rPr>
            </w:pPr>
            <w:r w:rsidRPr="001755C9">
              <w:rPr>
                <w:rFonts w:eastAsia="Times New Roman"/>
                <w:spacing w:val="0"/>
                <w:sz w:val="18"/>
                <w:szCs w:val="18"/>
                <w:lang w:val="es-DO" w:eastAsia="es-DO"/>
              </w:rPr>
              <w:t>Noche Larga de los Museos</w:t>
            </w:r>
          </w:p>
        </w:tc>
        <w:tc>
          <w:tcPr>
            <w:tcW w:w="450" w:type="dxa"/>
            <w:noWrap/>
            <w:vAlign w:val="center"/>
          </w:tcPr>
          <w:p w14:paraId="00D98F75"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noWrap/>
            <w:vAlign w:val="center"/>
          </w:tcPr>
          <w:p w14:paraId="3561204B"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noWrap/>
            <w:vAlign w:val="center"/>
          </w:tcPr>
          <w:p w14:paraId="6A20BE34"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noWrap/>
            <w:vAlign w:val="center"/>
          </w:tcPr>
          <w:p w14:paraId="052DB7E2"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noWrap/>
            <w:vAlign w:val="center"/>
          </w:tcPr>
          <w:p w14:paraId="45F412F2" w14:textId="77777777" w:rsidR="00A24706" w:rsidRPr="00AE0E74" w:rsidRDefault="00A24706" w:rsidP="00DC3589">
            <w:pPr>
              <w:spacing w:after="0" w:line="240" w:lineRule="auto"/>
              <w:jc w:val="center"/>
              <w:rPr>
                <w:sz w:val="18"/>
                <w:szCs w:val="18"/>
                <w:lang w:val="es-DO"/>
              </w:rPr>
            </w:pPr>
          </w:p>
        </w:tc>
        <w:tc>
          <w:tcPr>
            <w:tcW w:w="912" w:type="dxa"/>
            <w:noWrap/>
            <w:vAlign w:val="center"/>
          </w:tcPr>
          <w:p w14:paraId="3F87B072" w14:textId="77777777" w:rsidR="00A24706" w:rsidRPr="006B03FE"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23,392</w:t>
            </w:r>
          </w:p>
        </w:tc>
        <w:tc>
          <w:tcPr>
            <w:tcW w:w="425" w:type="dxa"/>
            <w:noWrap/>
            <w:vAlign w:val="center"/>
          </w:tcPr>
          <w:p w14:paraId="5388D9C8"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66" w:type="dxa"/>
            <w:noWrap/>
            <w:vAlign w:val="center"/>
          </w:tcPr>
          <w:p w14:paraId="4417BBBA"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98" w:type="dxa"/>
            <w:noWrap/>
            <w:vAlign w:val="center"/>
          </w:tcPr>
          <w:p w14:paraId="5D89A1E4"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noWrap/>
            <w:vAlign w:val="center"/>
          </w:tcPr>
          <w:p w14:paraId="04148112"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Pr>
          <w:p w14:paraId="21A84FD4" w14:textId="77777777" w:rsidR="00A24706" w:rsidRDefault="00A24706" w:rsidP="00DC3589">
            <w:pPr>
              <w:spacing w:after="0" w:line="240" w:lineRule="auto"/>
              <w:jc w:val="center"/>
              <w:rPr>
                <w:rFonts w:eastAsia="Times New Roman"/>
                <w:spacing w:val="0"/>
                <w:sz w:val="18"/>
                <w:szCs w:val="18"/>
                <w:lang w:val="es-DO" w:eastAsia="es-DO"/>
              </w:rPr>
            </w:pPr>
          </w:p>
        </w:tc>
        <w:tc>
          <w:tcPr>
            <w:tcW w:w="1325" w:type="dxa"/>
            <w:vAlign w:val="center"/>
          </w:tcPr>
          <w:p w14:paraId="510B4C02" w14:textId="77777777" w:rsidR="00A24706" w:rsidRDefault="00A24706" w:rsidP="00DC3589">
            <w:pPr>
              <w:spacing w:after="0" w:line="240" w:lineRule="auto"/>
              <w:jc w:val="center"/>
              <w:rPr>
                <w:rFonts w:eastAsia="Times New Roman"/>
                <w:spacing w:val="0"/>
                <w:sz w:val="18"/>
                <w:szCs w:val="18"/>
                <w:lang w:val="es-DO" w:eastAsia="es-DO"/>
              </w:rPr>
            </w:pPr>
          </w:p>
        </w:tc>
        <w:tc>
          <w:tcPr>
            <w:tcW w:w="1325" w:type="dxa"/>
            <w:noWrap/>
            <w:vAlign w:val="center"/>
          </w:tcPr>
          <w:p w14:paraId="396FDA52" w14:textId="77777777" w:rsidR="00A24706" w:rsidRPr="006B03FE"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23,392 visitas</w:t>
            </w:r>
          </w:p>
        </w:tc>
      </w:tr>
      <w:tr w:rsidR="00A24706" w:rsidRPr="006B03FE" w14:paraId="5E8FE5BB" w14:textId="77777777" w:rsidTr="00DC3589">
        <w:trPr>
          <w:trHeight w:val="288"/>
          <w:jc w:val="center"/>
        </w:trPr>
        <w:tc>
          <w:tcPr>
            <w:tcW w:w="1705" w:type="dxa"/>
            <w:shd w:val="clear" w:color="auto" w:fill="D9D9D9"/>
            <w:noWrap/>
            <w:vAlign w:val="center"/>
          </w:tcPr>
          <w:p w14:paraId="7D997D0F" w14:textId="77777777" w:rsidR="00A24706" w:rsidRPr="001755C9" w:rsidRDefault="00A24706" w:rsidP="00DC3589">
            <w:pPr>
              <w:spacing w:after="0" w:line="240" w:lineRule="auto"/>
              <w:rPr>
                <w:rFonts w:eastAsia="Times New Roman"/>
                <w:b/>
                <w:bCs/>
                <w:spacing w:val="0"/>
                <w:sz w:val="18"/>
                <w:szCs w:val="18"/>
                <w:lang w:val="es-DO" w:eastAsia="es-DO"/>
              </w:rPr>
            </w:pPr>
            <w:r w:rsidRPr="001755C9">
              <w:rPr>
                <w:rFonts w:eastAsia="Times New Roman"/>
                <w:b/>
                <w:bCs/>
                <w:spacing w:val="0"/>
                <w:sz w:val="18"/>
                <w:szCs w:val="18"/>
                <w:lang w:val="es-DO" w:eastAsia="es-DO"/>
              </w:rPr>
              <w:t>Inversión producto 1 (en RD$)</w:t>
            </w:r>
          </w:p>
        </w:tc>
        <w:tc>
          <w:tcPr>
            <w:tcW w:w="450" w:type="dxa"/>
            <w:shd w:val="clear" w:color="auto" w:fill="D9D9D9"/>
            <w:noWrap/>
            <w:vAlign w:val="center"/>
          </w:tcPr>
          <w:p w14:paraId="045FA0B7"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430" w:type="dxa"/>
            <w:shd w:val="clear" w:color="auto" w:fill="D9D9D9"/>
            <w:noWrap/>
            <w:vAlign w:val="center"/>
          </w:tcPr>
          <w:p w14:paraId="63A52E1F"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480" w:type="dxa"/>
            <w:shd w:val="clear" w:color="auto" w:fill="D9D9D9"/>
            <w:noWrap/>
            <w:vAlign w:val="center"/>
          </w:tcPr>
          <w:p w14:paraId="52E74A74"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450" w:type="dxa"/>
            <w:shd w:val="clear" w:color="auto" w:fill="D9D9D9"/>
            <w:noWrap/>
            <w:vAlign w:val="center"/>
          </w:tcPr>
          <w:p w14:paraId="0E203343"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530" w:type="dxa"/>
            <w:shd w:val="clear" w:color="auto" w:fill="D9D9D9"/>
            <w:noWrap/>
            <w:vAlign w:val="center"/>
          </w:tcPr>
          <w:p w14:paraId="045B5321" w14:textId="77777777" w:rsidR="00A24706" w:rsidRPr="001755C9" w:rsidRDefault="00A24706" w:rsidP="00DC3589">
            <w:pPr>
              <w:spacing w:after="0" w:line="240" w:lineRule="auto"/>
              <w:jc w:val="center"/>
              <w:rPr>
                <w:sz w:val="18"/>
                <w:szCs w:val="18"/>
              </w:rPr>
            </w:pPr>
          </w:p>
        </w:tc>
        <w:tc>
          <w:tcPr>
            <w:tcW w:w="912" w:type="dxa"/>
            <w:shd w:val="clear" w:color="auto" w:fill="D9D9D9"/>
            <w:noWrap/>
            <w:vAlign w:val="center"/>
          </w:tcPr>
          <w:p w14:paraId="3E90DEE6" w14:textId="77777777" w:rsidR="00A24706" w:rsidRPr="00BA6147" w:rsidRDefault="00A24706" w:rsidP="00DC3589">
            <w:pPr>
              <w:spacing w:after="0" w:line="240" w:lineRule="auto"/>
              <w:jc w:val="center"/>
              <w:rPr>
                <w:rFonts w:eastAsia="Times New Roman"/>
                <w:spacing w:val="0"/>
                <w:sz w:val="18"/>
                <w:szCs w:val="18"/>
                <w:lang w:val="es-DO" w:eastAsia="es-DO"/>
              </w:rPr>
            </w:pPr>
            <w:r w:rsidRPr="00BA6147">
              <w:rPr>
                <w:rFonts w:eastAsia="Times New Roman"/>
                <w:spacing w:val="0"/>
                <w:sz w:val="18"/>
                <w:szCs w:val="18"/>
                <w:lang w:val="es-DO" w:eastAsia="es-DO"/>
              </w:rPr>
              <w:t xml:space="preserve">2,410,500  </w:t>
            </w:r>
          </w:p>
        </w:tc>
        <w:tc>
          <w:tcPr>
            <w:tcW w:w="425" w:type="dxa"/>
            <w:shd w:val="clear" w:color="auto" w:fill="D9D9D9"/>
            <w:noWrap/>
            <w:vAlign w:val="center"/>
          </w:tcPr>
          <w:p w14:paraId="56C3E316"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466" w:type="dxa"/>
            <w:shd w:val="clear" w:color="auto" w:fill="D9D9D9"/>
            <w:noWrap/>
            <w:vAlign w:val="center"/>
          </w:tcPr>
          <w:p w14:paraId="33EBB269"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598" w:type="dxa"/>
            <w:shd w:val="clear" w:color="auto" w:fill="D9D9D9"/>
            <w:noWrap/>
            <w:vAlign w:val="center"/>
          </w:tcPr>
          <w:p w14:paraId="742843CD"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495" w:type="dxa"/>
            <w:shd w:val="clear" w:color="auto" w:fill="D9D9D9"/>
            <w:noWrap/>
            <w:vAlign w:val="center"/>
          </w:tcPr>
          <w:p w14:paraId="47BE119F" w14:textId="77777777" w:rsidR="00A24706" w:rsidRPr="001755C9" w:rsidRDefault="00A24706" w:rsidP="00DC3589">
            <w:pPr>
              <w:spacing w:after="0" w:line="240" w:lineRule="auto"/>
              <w:jc w:val="center"/>
              <w:rPr>
                <w:rFonts w:eastAsia="Times New Roman"/>
                <w:b/>
                <w:bCs/>
                <w:spacing w:val="0"/>
                <w:sz w:val="18"/>
                <w:szCs w:val="18"/>
                <w:lang w:val="es-DO" w:eastAsia="es-DO"/>
              </w:rPr>
            </w:pPr>
          </w:p>
        </w:tc>
        <w:tc>
          <w:tcPr>
            <w:tcW w:w="450" w:type="dxa"/>
            <w:shd w:val="clear" w:color="auto" w:fill="D9D9D9"/>
          </w:tcPr>
          <w:p w14:paraId="61B6EE3B" w14:textId="77777777" w:rsidR="00A24706" w:rsidRPr="001755C9" w:rsidRDefault="00A24706" w:rsidP="00DC3589">
            <w:pPr>
              <w:spacing w:after="0" w:line="240" w:lineRule="auto"/>
              <w:jc w:val="center"/>
              <w:rPr>
                <w:sz w:val="18"/>
                <w:szCs w:val="18"/>
              </w:rPr>
            </w:pPr>
          </w:p>
        </w:tc>
        <w:tc>
          <w:tcPr>
            <w:tcW w:w="1325" w:type="dxa"/>
            <w:shd w:val="clear" w:color="auto" w:fill="D9D9D9"/>
            <w:vAlign w:val="center"/>
          </w:tcPr>
          <w:p w14:paraId="41DE35BC" w14:textId="77777777" w:rsidR="00A24706" w:rsidRPr="001755C9" w:rsidRDefault="00A24706" w:rsidP="00DC3589">
            <w:pPr>
              <w:spacing w:after="0" w:line="240" w:lineRule="auto"/>
              <w:jc w:val="center"/>
              <w:rPr>
                <w:sz w:val="18"/>
                <w:szCs w:val="18"/>
              </w:rPr>
            </w:pPr>
          </w:p>
        </w:tc>
        <w:tc>
          <w:tcPr>
            <w:tcW w:w="1325" w:type="dxa"/>
            <w:shd w:val="clear" w:color="auto" w:fill="D9D9D9"/>
            <w:noWrap/>
            <w:vAlign w:val="center"/>
          </w:tcPr>
          <w:p w14:paraId="04C04125" w14:textId="77777777" w:rsidR="00A24706" w:rsidRPr="00AA7770" w:rsidRDefault="00A24706" w:rsidP="00DC3589">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2,410,500</w:t>
            </w:r>
          </w:p>
        </w:tc>
      </w:tr>
      <w:tr w:rsidR="00A24706" w:rsidRPr="00AE0E74" w14:paraId="3260D1E3" w14:textId="77777777" w:rsidTr="00DC3589">
        <w:trPr>
          <w:trHeight w:val="288"/>
          <w:jc w:val="center"/>
        </w:trPr>
        <w:tc>
          <w:tcPr>
            <w:tcW w:w="1705" w:type="dxa"/>
            <w:noWrap/>
            <w:vAlign w:val="center"/>
          </w:tcPr>
          <w:p w14:paraId="516D271A" w14:textId="77777777" w:rsidR="00A24706" w:rsidRPr="006B03FE" w:rsidRDefault="00A24706" w:rsidP="00DC3589">
            <w:pPr>
              <w:spacing w:after="0" w:line="240" w:lineRule="auto"/>
              <w:rPr>
                <w:rFonts w:eastAsia="Times New Roman"/>
                <w:spacing w:val="0"/>
                <w:sz w:val="18"/>
                <w:szCs w:val="18"/>
                <w:lang w:val="es-DO" w:eastAsia="es-DO"/>
              </w:rPr>
            </w:pPr>
            <w:r>
              <w:rPr>
                <w:rFonts w:eastAsia="Times New Roman"/>
                <w:spacing w:val="0"/>
                <w:sz w:val="18"/>
                <w:szCs w:val="18"/>
                <w:lang w:val="es-DO" w:eastAsia="es-DO"/>
              </w:rPr>
              <w:t>Noches de Navidad en los Museos</w:t>
            </w:r>
          </w:p>
        </w:tc>
        <w:tc>
          <w:tcPr>
            <w:tcW w:w="450" w:type="dxa"/>
            <w:noWrap/>
            <w:vAlign w:val="center"/>
          </w:tcPr>
          <w:p w14:paraId="6381E710"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noWrap/>
            <w:vAlign w:val="center"/>
          </w:tcPr>
          <w:p w14:paraId="098A29C2"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noWrap/>
            <w:vAlign w:val="center"/>
          </w:tcPr>
          <w:p w14:paraId="14709BE5"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noWrap/>
            <w:vAlign w:val="center"/>
          </w:tcPr>
          <w:p w14:paraId="3F195E4F"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noWrap/>
            <w:vAlign w:val="center"/>
          </w:tcPr>
          <w:p w14:paraId="4B43C66E"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noWrap/>
            <w:vAlign w:val="center"/>
          </w:tcPr>
          <w:p w14:paraId="0220399D"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25" w:type="dxa"/>
            <w:noWrap/>
            <w:vAlign w:val="center"/>
          </w:tcPr>
          <w:p w14:paraId="294EF2BC"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66" w:type="dxa"/>
            <w:noWrap/>
            <w:vAlign w:val="center"/>
          </w:tcPr>
          <w:p w14:paraId="54C2E0B4"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98" w:type="dxa"/>
            <w:noWrap/>
            <w:vAlign w:val="center"/>
          </w:tcPr>
          <w:p w14:paraId="53333208"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noWrap/>
            <w:vAlign w:val="center"/>
          </w:tcPr>
          <w:p w14:paraId="6E13322C"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Pr>
          <w:p w14:paraId="7178B6F2" w14:textId="77777777" w:rsidR="00A24706" w:rsidRDefault="00A24706" w:rsidP="00DC3589">
            <w:pPr>
              <w:spacing w:after="0" w:line="240" w:lineRule="auto"/>
              <w:jc w:val="center"/>
              <w:rPr>
                <w:rFonts w:eastAsia="Times New Roman"/>
                <w:spacing w:val="0"/>
                <w:sz w:val="18"/>
                <w:szCs w:val="18"/>
                <w:lang w:val="es-DO" w:eastAsia="es-DO"/>
              </w:rPr>
            </w:pPr>
          </w:p>
        </w:tc>
        <w:tc>
          <w:tcPr>
            <w:tcW w:w="1325" w:type="dxa"/>
            <w:vAlign w:val="center"/>
          </w:tcPr>
          <w:p w14:paraId="3F0F5095" w14:textId="77777777" w:rsidR="00A24706"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15,200</w:t>
            </w:r>
          </w:p>
        </w:tc>
        <w:tc>
          <w:tcPr>
            <w:tcW w:w="1325" w:type="dxa"/>
            <w:noWrap/>
            <w:vAlign w:val="center"/>
          </w:tcPr>
          <w:p w14:paraId="499348E8" w14:textId="77777777" w:rsidR="00A24706" w:rsidRPr="006B03FE" w:rsidRDefault="00A24706" w:rsidP="00DC3589">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15,200</w:t>
            </w:r>
            <w:r>
              <w:rPr>
                <w:rFonts w:eastAsia="Times New Roman"/>
                <w:spacing w:val="0"/>
                <w:sz w:val="18"/>
                <w:szCs w:val="18"/>
                <w:lang w:val="es-DO" w:eastAsia="es-DO"/>
              </w:rPr>
              <w:t xml:space="preserve"> visitas</w:t>
            </w:r>
          </w:p>
        </w:tc>
      </w:tr>
      <w:tr w:rsidR="00A24706" w:rsidRPr="006B03FE" w14:paraId="02C3D968" w14:textId="77777777" w:rsidTr="00DC3589">
        <w:trPr>
          <w:trHeight w:val="288"/>
          <w:jc w:val="center"/>
        </w:trPr>
        <w:tc>
          <w:tcPr>
            <w:tcW w:w="1705" w:type="dxa"/>
            <w:tcBorders>
              <w:bottom w:val="single" w:sz="4" w:space="0" w:color="auto"/>
            </w:tcBorders>
            <w:shd w:val="clear" w:color="auto" w:fill="D9D9D9"/>
            <w:noWrap/>
            <w:vAlign w:val="center"/>
          </w:tcPr>
          <w:p w14:paraId="4760B0A1" w14:textId="77777777" w:rsidR="00A24706" w:rsidRPr="006B03FE" w:rsidRDefault="00A24706" w:rsidP="00DC3589">
            <w:pPr>
              <w:spacing w:after="0" w:line="240" w:lineRule="auto"/>
              <w:rPr>
                <w:rFonts w:eastAsia="Times New Roman"/>
                <w:spacing w:val="0"/>
                <w:sz w:val="18"/>
                <w:szCs w:val="18"/>
                <w:lang w:val="es-DO" w:eastAsia="es-DO"/>
              </w:rPr>
            </w:pPr>
            <w:r w:rsidRPr="001755C9">
              <w:rPr>
                <w:rFonts w:eastAsia="Times New Roman"/>
                <w:b/>
                <w:bCs/>
                <w:spacing w:val="0"/>
                <w:sz w:val="18"/>
                <w:szCs w:val="18"/>
                <w:lang w:val="es-DO" w:eastAsia="es-DO"/>
              </w:rPr>
              <w:t>Inversión producto 2 (en RD$)</w:t>
            </w:r>
          </w:p>
        </w:tc>
        <w:tc>
          <w:tcPr>
            <w:tcW w:w="450" w:type="dxa"/>
            <w:tcBorders>
              <w:bottom w:val="single" w:sz="4" w:space="0" w:color="auto"/>
            </w:tcBorders>
            <w:shd w:val="clear" w:color="auto" w:fill="D9D9D9"/>
            <w:noWrap/>
            <w:vAlign w:val="center"/>
          </w:tcPr>
          <w:p w14:paraId="6364EF0C"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tcBorders>
              <w:bottom w:val="single" w:sz="4" w:space="0" w:color="auto"/>
            </w:tcBorders>
            <w:shd w:val="clear" w:color="auto" w:fill="D9D9D9"/>
            <w:noWrap/>
            <w:vAlign w:val="center"/>
          </w:tcPr>
          <w:p w14:paraId="3233820B"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tcBorders>
              <w:bottom w:val="single" w:sz="4" w:space="0" w:color="auto"/>
            </w:tcBorders>
            <w:shd w:val="clear" w:color="auto" w:fill="D9D9D9"/>
            <w:noWrap/>
            <w:vAlign w:val="center"/>
          </w:tcPr>
          <w:p w14:paraId="7D109BEF"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D9D9D9"/>
            <w:noWrap/>
            <w:vAlign w:val="center"/>
          </w:tcPr>
          <w:p w14:paraId="013B2C05"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tcBorders>
              <w:bottom w:val="single" w:sz="4" w:space="0" w:color="auto"/>
            </w:tcBorders>
            <w:shd w:val="clear" w:color="auto" w:fill="D9D9D9"/>
            <w:noWrap/>
            <w:vAlign w:val="center"/>
          </w:tcPr>
          <w:p w14:paraId="5614699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tcBorders>
              <w:bottom w:val="single" w:sz="4" w:space="0" w:color="auto"/>
            </w:tcBorders>
            <w:shd w:val="clear" w:color="auto" w:fill="D9D9D9"/>
            <w:noWrap/>
            <w:vAlign w:val="center"/>
          </w:tcPr>
          <w:p w14:paraId="6823EBBF"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25" w:type="dxa"/>
            <w:tcBorders>
              <w:bottom w:val="single" w:sz="4" w:space="0" w:color="auto"/>
            </w:tcBorders>
            <w:shd w:val="clear" w:color="auto" w:fill="D9D9D9"/>
            <w:noWrap/>
            <w:vAlign w:val="center"/>
          </w:tcPr>
          <w:p w14:paraId="4517E98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66" w:type="dxa"/>
            <w:tcBorders>
              <w:bottom w:val="single" w:sz="4" w:space="0" w:color="auto"/>
            </w:tcBorders>
            <w:shd w:val="clear" w:color="auto" w:fill="D9D9D9"/>
            <w:noWrap/>
            <w:vAlign w:val="center"/>
          </w:tcPr>
          <w:p w14:paraId="4166FCDE"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98" w:type="dxa"/>
            <w:tcBorders>
              <w:bottom w:val="single" w:sz="4" w:space="0" w:color="auto"/>
            </w:tcBorders>
            <w:shd w:val="clear" w:color="auto" w:fill="D9D9D9"/>
            <w:noWrap/>
            <w:vAlign w:val="center"/>
          </w:tcPr>
          <w:p w14:paraId="26FFB128"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tcBorders>
              <w:bottom w:val="single" w:sz="4" w:space="0" w:color="auto"/>
            </w:tcBorders>
            <w:shd w:val="clear" w:color="auto" w:fill="D9D9D9"/>
            <w:noWrap/>
            <w:vAlign w:val="center"/>
          </w:tcPr>
          <w:p w14:paraId="3A3C2393"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D9D9D9"/>
          </w:tcPr>
          <w:p w14:paraId="302D824A" w14:textId="77777777" w:rsidR="00A24706" w:rsidRDefault="00A24706" w:rsidP="00DC3589">
            <w:pPr>
              <w:spacing w:after="0" w:line="240" w:lineRule="auto"/>
              <w:jc w:val="center"/>
              <w:rPr>
                <w:rFonts w:eastAsia="Times New Roman"/>
                <w:spacing w:val="0"/>
                <w:sz w:val="18"/>
                <w:szCs w:val="18"/>
                <w:lang w:val="es-DO" w:eastAsia="es-DO"/>
              </w:rPr>
            </w:pPr>
          </w:p>
        </w:tc>
        <w:tc>
          <w:tcPr>
            <w:tcW w:w="1325" w:type="dxa"/>
            <w:tcBorders>
              <w:bottom w:val="single" w:sz="4" w:space="0" w:color="auto"/>
            </w:tcBorders>
            <w:shd w:val="clear" w:color="auto" w:fill="D9D9D9"/>
            <w:vAlign w:val="center"/>
          </w:tcPr>
          <w:p w14:paraId="5CEC1A16" w14:textId="77777777" w:rsidR="00A24706" w:rsidRDefault="00A24706" w:rsidP="00DC3589">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1,217,046</w:t>
            </w:r>
          </w:p>
        </w:tc>
        <w:tc>
          <w:tcPr>
            <w:tcW w:w="1325" w:type="dxa"/>
            <w:tcBorders>
              <w:bottom w:val="single" w:sz="4" w:space="0" w:color="auto"/>
            </w:tcBorders>
            <w:shd w:val="clear" w:color="auto" w:fill="D9D9D9"/>
            <w:noWrap/>
            <w:vAlign w:val="center"/>
          </w:tcPr>
          <w:p w14:paraId="68B1A996" w14:textId="77777777" w:rsidR="00A24706" w:rsidRPr="006B03FE" w:rsidRDefault="00A24706" w:rsidP="00DC3589">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1,217,046</w:t>
            </w:r>
          </w:p>
        </w:tc>
      </w:tr>
      <w:tr w:rsidR="00A24706" w:rsidRPr="006B03FE" w14:paraId="3CAC1A2C" w14:textId="77777777" w:rsidTr="00DC3589">
        <w:trPr>
          <w:trHeight w:val="288"/>
          <w:jc w:val="center"/>
        </w:trPr>
        <w:tc>
          <w:tcPr>
            <w:tcW w:w="1705" w:type="dxa"/>
            <w:noWrap/>
            <w:vAlign w:val="center"/>
          </w:tcPr>
          <w:p w14:paraId="2E780C33" w14:textId="77777777" w:rsidR="00A24706" w:rsidRPr="006B03FE" w:rsidRDefault="00A24706" w:rsidP="00DC3589">
            <w:pPr>
              <w:spacing w:after="0" w:line="240" w:lineRule="auto"/>
              <w:rPr>
                <w:rFonts w:eastAsia="Times New Roman"/>
                <w:spacing w:val="0"/>
                <w:sz w:val="18"/>
                <w:szCs w:val="18"/>
                <w:lang w:val="es-DO" w:eastAsia="es-DO"/>
              </w:rPr>
            </w:pPr>
            <w:r w:rsidRPr="001755C9">
              <w:rPr>
                <w:rFonts w:eastAsia="Times New Roman"/>
                <w:spacing w:val="0"/>
                <w:sz w:val="18"/>
                <w:szCs w:val="18"/>
                <w:lang w:val="es-DO" w:eastAsia="es-DO"/>
              </w:rPr>
              <w:t>Talleres de Verano</w:t>
            </w:r>
          </w:p>
        </w:tc>
        <w:tc>
          <w:tcPr>
            <w:tcW w:w="450" w:type="dxa"/>
            <w:noWrap/>
            <w:vAlign w:val="center"/>
          </w:tcPr>
          <w:p w14:paraId="4E78DAD1"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noWrap/>
            <w:vAlign w:val="center"/>
          </w:tcPr>
          <w:p w14:paraId="0D6F700D"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noWrap/>
            <w:vAlign w:val="center"/>
          </w:tcPr>
          <w:p w14:paraId="072A5A53"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noWrap/>
            <w:vAlign w:val="center"/>
          </w:tcPr>
          <w:p w14:paraId="7ED7CD15"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noWrap/>
            <w:vAlign w:val="center"/>
          </w:tcPr>
          <w:p w14:paraId="37E3A1E7"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noWrap/>
            <w:vAlign w:val="center"/>
          </w:tcPr>
          <w:p w14:paraId="32C6FDC0"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25" w:type="dxa"/>
            <w:vAlign w:val="center"/>
          </w:tcPr>
          <w:p w14:paraId="170178A2" w14:textId="77777777" w:rsidR="00A24706" w:rsidRPr="006B03FE"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175</w:t>
            </w:r>
          </w:p>
        </w:tc>
        <w:tc>
          <w:tcPr>
            <w:tcW w:w="466" w:type="dxa"/>
            <w:vAlign w:val="center"/>
          </w:tcPr>
          <w:p w14:paraId="2E7D9613" w14:textId="77777777" w:rsidR="00A24706" w:rsidRPr="006B03FE"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175</w:t>
            </w:r>
          </w:p>
        </w:tc>
        <w:tc>
          <w:tcPr>
            <w:tcW w:w="598" w:type="dxa"/>
            <w:noWrap/>
            <w:vAlign w:val="center"/>
          </w:tcPr>
          <w:p w14:paraId="22F32BB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noWrap/>
            <w:vAlign w:val="center"/>
          </w:tcPr>
          <w:p w14:paraId="65E1235C"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Pr>
          <w:p w14:paraId="09166162" w14:textId="77777777" w:rsidR="00A24706" w:rsidRDefault="00A24706" w:rsidP="00DC3589">
            <w:pPr>
              <w:spacing w:after="0" w:line="240" w:lineRule="auto"/>
              <w:jc w:val="center"/>
              <w:rPr>
                <w:rFonts w:eastAsia="Times New Roman"/>
                <w:spacing w:val="0"/>
                <w:sz w:val="18"/>
                <w:szCs w:val="18"/>
                <w:lang w:val="es-DO" w:eastAsia="es-DO"/>
              </w:rPr>
            </w:pPr>
          </w:p>
        </w:tc>
        <w:tc>
          <w:tcPr>
            <w:tcW w:w="1325" w:type="dxa"/>
            <w:vAlign w:val="center"/>
          </w:tcPr>
          <w:p w14:paraId="3AA2A1BA" w14:textId="77777777" w:rsidR="00A24706" w:rsidRDefault="00A24706" w:rsidP="00DC3589">
            <w:pPr>
              <w:spacing w:after="0" w:line="240" w:lineRule="auto"/>
              <w:jc w:val="center"/>
              <w:rPr>
                <w:rFonts w:eastAsia="Times New Roman"/>
                <w:spacing w:val="0"/>
                <w:sz w:val="18"/>
                <w:szCs w:val="18"/>
                <w:lang w:val="es-DO" w:eastAsia="es-DO"/>
              </w:rPr>
            </w:pPr>
          </w:p>
        </w:tc>
        <w:tc>
          <w:tcPr>
            <w:tcW w:w="1325" w:type="dxa"/>
            <w:noWrap/>
            <w:vAlign w:val="center"/>
          </w:tcPr>
          <w:p w14:paraId="0C232E19" w14:textId="77777777" w:rsidR="00A24706" w:rsidRPr="006B03FE"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350 participantes</w:t>
            </w:r>
          </w:p>
        </w:tc>
      </w:tr>
      <w:tr w:rsidR="00A24706" w:rsidRPr="006B03FE" w14:paraId="787D929F" w14:textId="77777777" w:rsidTr="00DC3589">
        <w:trPr>
          <w:trHeight w:val="288"/>
          <w:jc w:val="center"/>
        </w:trPr>
        <w:tc>
          <w:tcPr>
            <w:tcW w:w="1705" w:type="dxa"/>
            <w:tcBorders>
              <w:bottom w:val="single" w:sz="4" w:space="0" w:color="auto"/>
            </w:tcBorders>
            <w:shd w:val="clear" w:color="auto" w:fill="D9D9D9"/>
            <w:noWrap/>
            <w:vAlign w:val="center"/>
          </w:tcPr>
          <w:p w14:paraId="3174E074" w14:textId="77777777" w:rsidR="00A24706" w:rsidRPr="006B03FE" w:rsidRDefault="00A24706" w:rsidP="00DC3589">
            <w:pPr>
              <w:spacing w:after="0" w:line="240" w:lineRule="auto"/>
              <w:rPr>
                <w:rFonts w:eastAsia="Times New Roman"/>
                <w:spacing w:val="0"/>
                <w:sz w:val="18"/>
                <w:szCs w:val="18"/>
                <w:lang w:val="es-DO" w:eastAsia="es-DO"/>
              </w:rPr>
            </w:pPr>
            <w:r w:rsidRPr="001755C9">
              <w:rPr>
                <w:rFonts w:eastAsia="Times New Roman"/>
                <w:b/>
                <w:bCs/>
                <w:spacing w:val="0"/>
                <w:sz w:val="18"/>
                <w:szCs w:val="18"/>
                <w:lang w:val="es-DO" w:eastAsia="es-DO"/>
              </w:rPr>
              <w:t>Inversión producto 3 (en RD$)</w:t>
            </w:r>
          </w:p>
        </w:tc>
        <w:tc>
          <w:tcPr>
            <w:tcW w:w="450" w:type="dxa"/>
            <w:tcBorders>
              <w:bottom w:val="single" w:sz="4" w:space="0" w:color="auto"/>
            </w:tcBorders>
            <w:shd w:val="clear" w:color="auto" w:fill="D9D9D9"/>
            <w:noWrap/>
            <w:vAlign w:val="center"/>
          </w:tcPr>
          <w:p w14:paraId="6BD38D24"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tcBorders>
              <w:bottom w:val="single" w:sz="4" w:space="0" w:color="auto"/>
            </w:tcBorders>
            <w:shd w:val="clear" w:color="auto" w:fill="D9D9D9"/>
            <w:noWrap/>
            <w:vAlign w:val="center"/>
          </w:tcPr>
          <w:p w14:paraId="2DDA9777"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tcBorders>
              <w:bottom w:val="single" w:sz="4" w:space="0" w:color="auto"/>
            </w:tcBorders>
            <w:shd w:val="clear" w:color="auto" w:fill="D9D9D9"/>
            <w:noWrap/>
            <w:vAlign w:val="center"/>
          </w:tcPr>
          <w:p w14:paraId="35F16D9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D9D9D9"/>
            <w:noWrap/>
            <w:vAlign w:val="center"/>
          </w:tcPr>
          <w:p w14:paraId="0A06575C"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tcBorders>
              <w:bottom w:val="single" w:sz="4" w:space="0" w:color="auto"/>
            </w:tcBorders>
            <w:shd w:val="clear" w:color="auto" w:fill="D9D9D9"/>
            <w:noWrap/>
            <w:vAlign w:val="center"/>
          </w:tcPr>
          <w:p w14:paraId="3052108E"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tcBorders>
              <w:bottom w:val="single" w:sz="4" w:space="0" w:color="auto"/>
            </w:tcBorders>
            <w:shd w:val="clear" w:color="auto" w:fill="D9D9D9"/>
            <w:noWrap/>
            <w:vAlign w:val="center"/>
          </w:tcPr>
          <w:p w14:paraId="5751F0E6" w14:textId="77777777" w:rsidR="00A24706" w:rsidRPr="006B03FE" w:rsidRDefault="00A24706" w:rsidP="00DC3589">
            <w:pPr>
              <w:spacing w:after="0" w:line="240" w:lineRule="auto"/>
              <w:jc w:val="center"/>
              <w:rPr>
                <w:sz w:val="18"/>
                <w:szCs w:val="18"/>
              </w:rPr>
            </w:pPr>
          </w:p>
        </w:tc>
        <w:tc>
          <w:tcPr>
            <w:tcW w:w="891" w:type="dxa"/>
            <w:gridSpan w:val="2"/>
            <w:tcBorders>
              <w:bottom w:val="single" w:sz="4" w:space="0" w:color="auto"/>
            </w:tcBorders>
            <w:shd w:val="clear" w:color="auto" w:fill="D9D9D9"/>
            <w:vAlign w:val="center"/>
          </w:tcPr>
          <w:p w14:paraId="7D93952C" w14:textId="77777777" w:rsidR="00A24706" w:rsidRPr="006B03FE" w:rsidRDefault="00A24706" w:rsidP="00DC3589">
            <w:pPr>
              <w:spacing w:after="0" w:line="240" w:lineRule="auto"/>
              <w:jc w:val="center"/>
              <w:rPr>
                <w:sz w:val="18"/>
                <w:szCs w:val="18"/>
              </w:rPr>
            </w:pPr>
            <w:r w:rsidRPr="00AA7770">
              <w:rPr>
                <w:sz w:val="18"/>
                <w:szCs w:val="18"/>
              </w:rPr>
              <w:t>385,900</w:t>
            </w:r>
          </w:p>
        </w:tc>
        <w:tc>
          <w:tcPr>
            <w:tcW w:w="598" w:type="dxa"/>
            <w:tcBorders>
              <w:bottom w:val="single" w:sz="4" w:space="0" w:color="auto"/>
            </w:tcBorders>
            <w:shd w:val="clear" w:color="auto" w:fill="D9D9D9"/>
            <w:noWrap/>
            <w:vAlign w:val="center"/>
          </w:tcPr>
          <w:p w14:paraId="21CEAF3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tcBorders>
              <w:bottom w:val="single" w:sz="4" w:space="0" w:color="auto"/>
            </w:tcBorders>
            <w:shd w:val="clear" w:color="auto" w:fill="D9D9D9"/>
            <w:noWrap/>
            <w:vAlign w:val="center"/>
          </w:tcPr>
          <w:p w14:paraId="1124E976"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D9D9D9"/>
          </w:tcPr>
          <w:p w14:paraId="501D1FD8" w14:textId="77777777" w:rsidR="00A24706" w:rsidRPr="00CF1CDC" w:rsidRDefault="00A24706" w:rsidP="00DC3589">
            <w:pPr>
              <w:spacing w:after="0" w:line="240" w:lineRule="auto"/>
              <w:jc w:val="center"/>
              <w:rPr>
                <w:sz w:val="18"/>
                <w:szCs w:val="18"/>
              </w:rPr>
            </w:pPr>
          </w:p>
        </w:tc>
        <w:tc>
          <w:tcPr>
            <w:tcW w:w="1325" w:type="dxa"/>
            <w:tcBorders>
              <w:bottom w:val="single" w:sz="4" w:space="0" w:color="auto"/>
            </w:tcBorders>
            <w:shd w:val="clear" w:color="auto" w:fill="D9D9D9"/>
            <w:vAlign w:val="center"/>
          </w:tcPr>
          <w:p w14:paraId="085B825B" w14:textId="77777777" w:rsidR="00A24706" w:rsidRPr="00CF1CDC" w:rsidRDefault="00A24706" w:rsidP="00DC3589">
            <w:pPr>
              <w:spacing w:after="0" w:line="240" w:lineRule="auto"/>
              <w:jc w:val="center"/>
              <w:rPr>
                <w:sz w:val="18"/>
                <w:szCs w:val="18"/>
              </w:rPr>
            </w:pPr>
          </w:p>
        </w:tc>
        <w:tc>
          <w:tcPr>
            <w:tcW w:w="1325" w:type="dxa"/>
            <w:tcBorders>
              <w:bottom w:val="single" w:sz="4" w:space="0" w:color="auto"/>
            </w:tcBorders>
            <w:shd w:val="clear" w:color="auto" w:fill="D9D9D9"/>
            <w:noWrap/>
            <w:vAlign w:val="center"/>
          </w:tcPr>
          <w:p w14:paraId="39A48B37" w14:textId="77777777" w:rsidR="00A24706" w:rsidRPr="006B03FE" w:rsidRDefault="00A24706" w:rsidP="00DC3589">
            <w:pPr>
              <w:spacing w:after="0" w:line="240" w:lineRule="auto"/>
              <w:jc w:val="center"/>
              <w:rPr>
                <w:rFonts w:eastAsia="Times New Roman"/>
                <w:spacing w:val="0"/>
                <w:sz w:val="18"/>
                <w:szCs w:val="18"/>
                <w:lang w:val="es-DO" w:eastAsia="es-DO"/>
              </w:rPr>
            </w:pPr>
            <w:r w:rsidRPr="00AA7770">
              <w:rPr>
                <w:sz w:val="18"/>
                <w:szCs w:val="18"/>
              </w:rPr>
              <w:t>385,900</w:t>
            </w:r>
          </w:p>
        </w:tc>
      </w:tr>
      <w:tr w:rsidR="00A24706" w:rsidRPr="006B03FE" w14:paraId="7DA2E7F4" w14:textId="77777777" w:rsidTr="00DC3589">
        <w:trPr>
          <w:trHeight w:val="288"/>
          <w:jc w:val="center"/>
        </w:trPr>
        <w:tc>
          <w:tcPr>
            <w:tcW w:w="1705" w:type="dxa"/>
            <w:tcBorders>
              <w:bottom w:val="single" w:sz="4" w:space="0" w:color="auto"/>
            </w:tcBorders>
            <w:shd w:val="clear" w:color="auto" w:fill="FFFFFF" w:themeFill="background1"/>
            <w:noWrap/>
            <w:vAlign w:val="center"/>
          </w:tcPr>
          <w:p w14:paraId="046ECF35" w14:textId="77777777" w:rsidR="00A24706" w:rsidRPr="00DE04D5" w:rsidRDefault="00A24706" w:rsidP="00DC3589">
            <w:pPr>
              <w:spacing w:after="0" w:line="240" w:lineRule="auto"/>
              <w:rPr>
                <w:rFonts w:eastAsia="Times New Roman"/>
                <w:spacing w:val="0"/>
                <w:sz w:val="18"/>
                <w:szCs w:val="18"/>
                <w:lang w:val="es-DO" w:eastAsia="es-DO"/>
              </w:rPr>
            </w:pPr>
            <w:r w:rsidRPr="00DE04D5">
              <w:rPr>
                <w:rFonts w:eastAsia="Times New Roman"/>
                <w:spacing w:val="0"/>
                <w:sz w:val="18"/>
                <w:szCs w:val="18"/>
                <w:lang w:val="es-DO" w:eastAsia="es-DO"/>
              </w:rPr>
              <w:t>Mediateca Aquiles Azar</w:t>
            </w:r>
          </w:p>
        </w:tc>
        <w:tc>
          <w:tcPr>
            <w:tcW w:w="450" w:type="dxa"/>
            <w:tcBorders>
              <w:bottom w:val="single" w:sz="4" w:space="0" w:color="auto"/>
            </w:tcBorders>
            <w:shd w:val="clear" w:color="auto" w:fill="FFFFFF" w:themeFill="background1"/>
            <w:noWrap/>
            <w:vAlign w:val="center"/>
          </w:tcPr>
          <w:p w14:paraId="2A0FD808"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tcBorders>
              <w:bottom w:val="single" w:sz="4" w:space="0" w:color="auto"/>
            </w:tcBorders>
            <w:shd w:val="clear" w:color="auto" w:fill="FFFFFF" w:themeFill="background1"/>
            <w:noWrap/>
            <w:vAlign w:val="center"/>
          </w:tcPr>
          <w:p w14:paraId="3CDF7217"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tcBorders>
              <w:bottom w:val="single" w:sz="4" w:space="0" w:color="auto"/>
            </w:tcBorders>
            <w:shd w:val="clear" w:color="auto" w:fill="FFFFFF" w:themeFill="background1"/>
            <w:noWrap/>
            <w:vAlign w:val="center"/>
          </w:tcPr>
          <w:p w14:paraId="6328A542"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FFFFFF" w:themeFill="background1"/>
            <w:noWrap/>
            <w:vAlign w:val="center"/>
          </w:tcPr>
          <w:p w14:paraId="2958CB11"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tcBorders>
              <w:bottom w:val="single" w:sz="4" w:space="0" w:color="auto"/>
            </w:tcBorders>
            <w:shd w:val="clear" w:color="auto" w:fill="FFFFFF" w:themeFill="background1"/>
            <w:noWrap/>
            <w:vAlign w:val="center"/>
          </w:tcPr>
          <w:p w14:paraId="4E7308D7"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tcBorders>
              <w:bottom w:val="single" w:sz="4" w:space="0" w:color="auto"/>
            </w:tcBorders>
            <w:shd w:val="clear" w:color="auto" w:fill="FFFFFF" w:themeFill="background1"/>
            <w:noWrap/>
            <w:vAlign w:val="center"/>
          </w:tcPr>
          <w:p w14:paraId="2E270CC1" w14:textId="77777777" w:rsidR="00A24706" w:rsidRPr="006B03FE" w:rsidRDefault="00A24706" w:rsidP="00DC3589">
            <w:pPr>
              <w:spacing w:after="0" w:line="240" w:lineRule="auto"/>
              <w:jc w:val="center"/>
              <w:rPr>
                <w:sz w:val="18"/>
                <w:szCs w:val="18"/>
              </w:rPr>
            </w:pPr>
          </w:p>
        </w:tc>
        <w:tc>
          <w:tcPr>
            <w:tcW w:w="891" w:type="dxa"/>
            <w:gridSpan w:val="2"/>
            <w:tcBorders>
              <w:bottom w:val="single" w:sz="4" w:space="0" w:color="auto"/>
            </w:tcBorders>
            <w:shd w:val="clear" w:color="auto" w:fill="FFFFFF" w:themeFill="background1"/>
            <w:vAlign w:val="center"/>
          </w:tcPr>
          <w:p w14:paraId="2B210A20" w14:textId="77777777" w:rsidR="00A24706" w:rsidRPr="00AA7770" w:rsidRDefault="00A24706" w:rsidP="00DC3589">
            <w:pPr>
              <w:spacing w:after="0" w:line="240" w:lineRule="auto"/>
              <w:jc w:val="center"/>
              <w:rPr>
                <w:sz w:val="18"/>
                <w:szCs w:val="18"/>
              </w:rPr>
            </w:pPr>
          </w:p>
        </w:tc>
        <w:tc>
          <w:tcPr>
            <w:tcW w:w="598" w:type="dxa"/>
            <w:tcBorders>
              <w:bottom w:val="single" w:sz="4" w:space="0" w:color="auto"/>
            </w:tcBorders>
            <w:shd w:val="clear" w:color="auto" w:fill="FFFFFF" w:themeFill="background1"/>
            <w:noWrap/>
            <w:vAlign w:val="center"/>
          </w:tcPr>
          <w:p w14:paraId="2D8E4871"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tcBorders>
              <w:bottom w:val="single" w:sz="4" w:space="0" w:color="auto"/>
            </w:tcBorders>
            <w:shd w:val="clear" w:color="auto" w:fill="FFFFFF" w:themeFill="background1"/>
            <w:noWrap/>
            <w:vAlign w:val="center"/>
          </w:tcPr>
          <w:p w14:paraId="467DD03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FFFFFF" w:themeFill="background1"/>
          </w:tcPr>
          <w:p w14:paraId="63A9E4E2" w14:textId="77777777" w:rsidR="00A24706" w:rsidRPr="00CF1CDC" w:rsidRDefault="00A24706" w:rsidP="00DC3589">
            <w:pPr>
              <w:spacing w:after="0" w:line="240" w:lineRule="auto"/>
              <w:jc w:val="center"/>
              <w:rPr>
                <w:sz w:val="18"/>
                <w:szCs w:val="18"/>
              </w:rPr>
            </w:pPr>
          </w:p>
        </w:tc>
        <w:tc>
          <w:tcPr>
            <w:tcW w:w="1325" w:type="dxa"/>
            <w:tcBorders>
              <w:bottom w:val="single" w:sz="4" w:space="0" w:color="auto"/>
            </w:tcBorders>
            <w:shd w:val="clear" w:color="auto" w:fill="FFFFFF" w:themeFill="background1"/>
            <w:vAlign w:val="center"/>
          </w:tcPr>
          <w:p w14:paraId="07BEAB90" w14:textId="77777777" w:rsidR="00A24706" w:rsidRPr="00CF1CDC" w:rsidRDefault="00A24706" w:rsidP="00DC3589">
            <w:pPr>
              <w:spacing w:after="0" w:line="240" w:lineRule="auto"/>
              <w:jc w:val="center"/>
              <w:rPr>
                <w:sz w:val="18"/>
                <w:szCs w:val="18"/>
              </w:rPr>
            </w:pPr>
            <w:r>
              <w:rPr>
                <w:sz w:val="18"/>
                <w:szCs w:val="18"/>
              </w:rPr>
              <w:t>1</w:t>
            </w:r>
          </w:p>
        </w:tc>
        <w:tc>
          <w:tcPr>
            <w:tcW w:w="1325" w:type="dxa"/>
            <w:tcBorders>
              <w:bottom w:val="single" w:sz="4" w:space="0" w:color="auto"/>
            </w:tcBorders>
            <w:shd w:val="clear" w:color="auto" w:fill="FFFFFF" w:themeFill="background1"/>
            <w:noWrap/>
            <w:vAlign w:val="center"/>
          </w:tcPr>
          <w:p w14:paraId="38C877A6" w14:textId="77777777" w:rsidR="00A24706" w:rsidRPr="00AA7770" w:rsidRDefault="00A24706" w:rsidP="00DC3589">
            <w:pPr>
              <w:spacing w:after="0" w:line="240" w:lineRule="auto"/>
              <w:jc w:val="center"/>
              <w:rPr>
                <w:sz w:val="18"/>
                <w:szCs w:val="18"/>
              </w:rPr>
            </w:pPr>
            <w:r>
              <w:rPr>
                <w:sz w:val="18"/>
                <w:szCs w:val="18"/>
              </w:rPr>
              <w:t>1</w:t>
            </w:r>
          </w:p>
        </w:tc>
      </w:tr>
      <w:tr w:rsidR="00A24706" w:rsidRPr="006B03FE" w14:paraId="2BD002D5" w14:textId="77777777" w:rsidTr="00DC3589">
        <w:trPr>
          <w:trHeight w:val="288"/>
          <w:jc w:val="center"/>
        </w:trPr>
        <w:tc>
          <w:tcPr>
            <w:tcW w:w="1705" w:type="dxa"/>
            <w:tcBorders>
              <w:bottom w:val="single" w:sz="4" w:space="0" w:color="auto"/>
            </w:tcBorders>
            <w:shd w:val="clear" w:color="auto" w:fill="D9D9D9" w:themeFill="background1" w:themeFillShade="D9"/>
            <w:noWrap/>
            <w:vAlign w:val="center"/>
          </w:tcPr>
          <w:p w14:paraId="6DA974DF" w14:textId="77777777" w:rsidR="00A24706" w:rsidRDefault="00A24706" w:rsidP="00DC3589">
            <w:pPr>
              <w:spacing w:after="0" w:line="240" w:lineRule="auto"/>
              <w:rPr>
                <w:rFonts w:eastAsia="Times New Roman"/>
                <w:b/>
                <w:bCs/>
                <w:spacing w:val="0"/>
                <w:sz w:val="18"/>
                <w:szCs w:val="18"/>
                <w:lang w:val="es-DO" w:eastAsia="es-DO"/>
              </w:rPr>
            </w:pPr>
            <w:r w:rsidRPr="001755C9">
              <w:rPr>
                <w:rFonts w:eastAsia="Times New Roman"/>
                <w:b/>
                <w:bCs/>
                <w:spacing w:val="0"/>
                <w:sz w:val="18"/>
                <w:szCs w:val="18"/>
                <w:lang w:val="es-DO" w:eastAsia="es-DO"/>
              </w:rPr>
              <w:t xml:space="preserve">Inversión producto </w:t>
            </w:r>
            <w:r>
              <w:rPr>
                <w:rFonts w:eastAsia="Times New Roman"/>
                <w:b/>
                <w:bCs/>
                <w:spacing w:val="0"/>
                <w:sz w:val="18"/>
                <w:szCs w:val="18"/>
                <w:lang w:val="es-DO" w:eastAsia="es-DO"/>
              </w:rPr>
              <w:t>4</w:t>
            </w:r>
            <w:r w:rsidRPr="001755C9">
              <w:rPr>
                <w:rFonts w:eastAsia="Times New Roman"/>
                <w:b/>
                <w:bCs/>
                <w:spacing w:val="0"/>
                <w:sz w:val="18"/>
                <w:szCs w:val="18"/>
                <w:lang w:val="es-DO" w:eastAsia="es-DO"/>
              </w:rPr>
              <w:t xml:space="preserve"> (en RD$)</w:t>
            </w:r>
          </w:p>
        </w:tc>
        <w:tc>
          <w:tcPr>
            <w:tcW w:w="450" w:type="dxa"/>
            <w:tcBorders>
              <w:bottom w:val="single" w:sz="4" w:space="0" w:color="auto"/>
            </w:tcBorders>
            <w:shd w:val="clear" w:color="auto" w:fill="D9D9D9" w:themeFill="background1" w:themeFillShade="D9"/>
            <w:noWrap/>
            <w:vAlign w:val="center"/>
          </w:tcPr>
          <w:p w14:paraId="18F58B52"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tcBorders>
              <w:bottom w:val="single" w:sz="4" w:space="0" w:color="auto"/>
            </w:tcBorders>
            <w:shd w:val="clear" w:color="auto" w:fill="D9D9D9" w:themeFill="background1" w:themeFillShade="D9"/>
            <w:noWrap/>
            <w:vAlign w:val="center"/>
          </w:tcPr>
          <w:p w14:paraId="1EEE8974"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tcBorders>
              <w:bottom w:val="single" w:sz="4" w:space="0" w:color="auto"/>
            </w:tcBorders>
            <w:shd w:val="clear" w:color="auto" w:fill="D9D9D9" w:themeFill="background1" w:themeFillShade="D9"/>
            <w:noWrap/>
            <w:vAlign w:val="center"/>
          </w:tcPr>
          <w:p w14:paraId="401BF79D"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D9D9D9" w:themeFill="background1" w:themeFillShade="D9"/>
            <w:noWrap/>
            <w:vAlign w:val="center"/>
          </w:tcPr>
          <w:p w14:paraId="0BF71F06"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tcBorders>
              <w:bottom w:val="single" w:sz="4" w:space="0" w:color="auto"/>
            </w:tcBorders>
            <w:shd w:val="clear" w:color="auto" w:fill="D9D9D9" w:themeFill="background1" w:themeFillShade="D9"/>
            <w:noWrap/>
            <w:vAlign w:val="center"/>
          </w:tcPr>
          <w:p w14:paraId="226DEC9E"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tcBorders>
              <w:bottom w:val="single" w:sz="4" w:space="0" w:color="auto"/>
            </w:tcBorders>
            <w:shd w:val="clear" w:color="auto" w:fill="D9D9D9" w:themeFill="background1" w:themeFillShade="D9"/>
            <w:noWrap/>
            <w:vAlign w:val="center"/>
          </w:tcPr>
          <w:p w14:paraId="6E1B2F27" w14:textId="77777777" w:rsidR="00A24706" w:rsidRPr="006B03FE" w:rsidRDefault="00A24706" w:rsidP="00DC3589">
            <w:pPr>
              <w:spacing w:after="0" w:line="240" w:lineRule="auto"/>
              <w:jc w:val="center"/>
              <w:rPr>
                <w:sz w:val="18"/>
                <w:szCs w:val="18"/>
              </w:rPr>
            </w:pPr>
          </w:p>
        </w:tc>
        <w:tc>
          <w:tcPr>
            <w:tcW w:w="891" w:type="dxa"/>
            <w:gridSpan w:val="2"/>
            <w:tcBorders>
              <w:bottom w:val="single" w:sz="4" w:space="0" w:color="auto"/>
            </w:tcBorders>
            <w:shd w:val="clear" w:color="auto" w:fill="D9D9D9" w:themeFill="background1" w:themeFillShade="D9"/>
            <w:vAlign w:val="center"/>
          </w:tcPr>
          <w:p w14:paraId="23ECEF7E" w14:textId="77777777" w:rsidR="00A24706" w:rsidRPr="00AA7770" w:rsidRDefault="00A24706" w:rsidP="00DC3589">
            <w:pPr>
              <w:spacing w:after="0" w:line="240" w:lineRule="auto"/>
              <w:jc w:val="center"/>
              <w:rPr>
                <w:sz w:val="18"/>
                <w:szCs w:val="18"/>
              </w:rPr>
            </w:pPr>
          </w:p>
        </w:tc>
        <w:tc>
          <w:tcPr>
            <w:tcW w:w="598" w:type="dxa"/>
            <w:tcBorders>
              <w:bottom w:val="single" w:sz="4" w:space="0" w:color="auto"/>
            </w:tcBorders>
            <w:shd w:val="clear" w:color="auto" w:fill="D9D9D9" w:themeFill="background1" w:themeFillShade="D9"/>
            <w:noWrap/>
            <w:vAlign w:val="center"/>
          </w:tcPr>
          <w:p w14:paraId="53AC8638"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tcBorders>
              <w:bottom w:val="single" w:sz="4" w:space="0" w:color="auto"/>
            </w:tcBorders>
            <w:shd w:val="clear" w:color="auto" w:fill="D9D9D9" w:themeFill="background1" w:themeFillShade="D9"/>
            <w:noWrap/>
            <w:vAlign w:val="center"/>
          </w:tcPr>
          <w:p w14:paraId="1CA5FD32"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D9D9D9" w:themeFill="background1" w:themeFillShade="D9"/>
          </w:tcPr>
          <w:p w14:paraId="26EF1B64" w14:textId="77777777" w:rsidR="00A24706" w:rsidRPr="00CF1CDC" w:rsidRDefault="00A24706" w:rsidP="00DC3589">
            <w:pPr>
              <w:spacing w:after="0" w:line="240" w:lineRule="auto"/>
              <w:jc w:val="center"/>
              <w:rPr>
                <w:sz w:val="18"/>
                <w:szCs w:val="18"/>
              </w:rPr>
            </w:pPr>
          </w:p>
        </w:tc>
        <w:tc>
          <w:tcPr>
            <w:tcW w:w="1325" w:type="dxa"/>
            <w:tcBorders>
              <w:bottom w:val="single" w:sz="4" w:space="0" w:color="auto"/>
            </w:tcBorders>
            <w:shd w:val="clear" w:color="auto" w:fill="D9D9D9" w:themeFill="background1" w:themeFillShade="D9"/>
            <w:vAlign w:val="center"/>
          </w:tcPr>
          <w:p w14:paraId="3DFA95F5" w14:textId="77777777" w:rsidR="00A24706" w:rsidRDefault="00A24706" w:rsidP="00DC3589">
            <w:pPr>
              <w:spacing w:after="0" w:line="240" w:lineRule="auto"/>
              <w:jc w:val="center"/>
              <w:rPr>
                <w:sz w:val="18"/>
                <w:szCs w:val="18"/>
              </w:rPr>
            </w:pPr>
            <w:r w:rsidRPr="00285551">
              <w:rPr>
                <w:sz w:val="18"/>
                <w:szCs w:val="18"/>
              </w:rPr>
              <w:t>1,500,000</w:t>
            </w:r>
          </w:p>
        </w:tc>
        <w:tc>
          <w:tcPr>
            <w:tcW w:w="1325" w:type="dxa"/>
            <w:tcBorders>
              <w:bottom w:val="single" w:sz="4" w:space="0" w:color="auto"/>
            </w:tcBorders>
            <w:shd w:val="clear" w:color="auto" w:fill="D9D9D9" w:themeFill="background1" w:themeFillShade="D9"/>
            <w:noWrap/>
            <w:vAlign w:val="center"/>
          </w:tcPr>
          <w:p w14:paraId="5157AE8C" w14:textId="77777777" w:rsidR="00A24706" w:rsidRDefault="00A24706" w:rsidP="00DC3589">
            <w:pPr>
              <w:spacing w:after="0" w:line="240" w:lineRule="auto"/>
              <w:jc w:val="center"/>
              <w:rPr>
                <w:sz w:val="18"/>
                <w:szCs w:val="18"/>
              </w:rPr>
            </w:pPr>
            <w:r w:rsidRPr="00285551">
              <w:rPr>
                <w:sz w:val="18"/>
                <w:szCs w:val="18"/>
              </w:rPr>
              <w:t>1,500,000</w:t>
            </w:r>
          </w:p>
        </w:tc>
      </w:tr>
      <w:tr w:rsidR="00A24706" w:rsidRPr="00953F98" w14:paraId="7C1B9AE2" w14:textId="77777777" w:rsidTr="00DC3589">
        <w:trPr>
          <w:trHeight w:val="288"/>
          <w:jc w:val="center"/>
        </w:trPr>
        <w:tc>
          <w:tcPr>
            <w:tcW w:w="1705" w:type="dxa"/>
            <w:tcBorders>
              <w:bottom w:val="single" w:sz="4" w:space="0" w:color="auto"/>
            </w:tcBorders>
            <w:shd w:val="clear" w:color="auto" w:fill="FFFFFF" w:themeFill="background1"/>
            <w:noWrap/>
            <w:vAlign w:val="center"/>
          </w:tcPr>
          <w:p w14:paraId="66097447" w14:textId="77777777" w:rsidR="00A24706" w:rsidRPr="00DE04D5" w:rsidRDefault="00A24706" w:rsidP="00DC3589">
            <w:pPr>
              <w:spacing w:after="0" w:line="240" w:lineRule="auto"/>
              <w:rPr>
                <w:rFonts w:eastAsia="Times New Roman"/>
                <w:spacing w:val="0"/>
                <w:sz w:val="18"/>
                <w:szCs w:val="18"/>
                <w:lang w:val="es-DO" w:eastAsia="es-DO"/>
              </w:rPr>
            </w:pPr>
            <w:r w:rsidRPr="00DE04D5">
              <w:rPr>
                <w:rFonts w:eastAsia="Times New Roman"/>
                <w:spacing w:val="0"/>
                <w:sz w:val="18"/>
                <w:szCs w:val="18"/>
                <w:lang w:val="es-DO" w:eastAsia="es-DO"/>
              </w:rPr>
              <w:t>Congreso Mujer y Derecho a la Cultura</w:t>
            </w:r>
          </w:p>
        </w:tc>
        <w:tc>
          <w:tcPr>
            <w:tcW w:w="450" w:type="dxa"/>
            <w:tcBorders>
              <w:bottom w:val="single" w:sz="4" w:space="0" w:color="auto"/>
            </w:tcBorders>
            <w:shd w:val="clear" w:color="auto" w:fill="FFFFFF" w:themeFill="background1"/>
            <w:noWrap/>
            <w:vAlign w:val="center"/>
          </w:tcPr>
          <w:p w14:paraId="13BEABE6"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tcBorders>
              <w:bottom w:val="single" w:sz="4" w:space="0" w:color="auto"/>
            </w:tcBorders>
            <w:shd w:val="clear" w:color="auto" w:fill="FFFFFF" w:themeFill="background1"/>
            <w:noWrap/>
            <w:vAlign w:val="center"/>
          </w:tcPr>
          <w:p w14:paraId="14D563CF"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tcBorders>
              <w:bottom w:val="single" w:sz="4" w:space="0" w:color="auto"/>
            </w:tcBorders>
            <w:shd w:val="clear" w:color="auto" w:fill="FFFFFF" w:themeFill="background1"/>
            <w:noWrap/>
            <w:vAlign w:val="center"/>
          </w:tcPr>
          <w:p w14:paraId="5962BA17" w14:textId="77777777" w:rsidR="00A24706" w:rsidRPr="006B03FE"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117</w:t>
            </w:r>
          </w:p>
        </w:tc>
        <w:tc>
          <w:tcPr>
            <w:tcW w:w="450" w:type="dxa"/>
            <w:tcBorders>
              <w:bottom w:val="single" w:sz="4" w:space="0" w:color="auto"/>
            </w:tcBorders>
            <w:shd w:val="clear" w:color="auto" w:fill="FFFFFF" w:themeFill="background1"/>
            <w:noWrap/>
            <w:vAlign w:val="center"/>
          </w:tcPr>
          <w:p w14:paraId="3B89DF8B"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tcBorders>
              <w:bottom w:val="single" w:sz="4" w:space="0" w:color="auto"/>
            </w:tcBorders>
            <w:shd w:val="clear" w:color="auto" w:fill="FFFFFF" w:themeFill="background1"/>
            <w:noWrap/>
            <w:vAlign w:val="center"/>
          </w:tcPr>
          <w:p w14:paraId="3351B382"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tcBorders>
              <w:bottom w:val="single" w:sz="4" w:space="0" w:color="auto"/>
            </w:tcBorders>
            <w:shd w:val="clear" w:color="auto" w:fill="FFFFFF" w:themeFill="background1"/>
            <w:noWrap/>
            <w:vAlign w:val="center"/>
          </w:tcPr>
          <w:p w14:paraId="60605E29" w14:textId="77777777" w:rsidR="00A24706" w:rsidRPr="00953F98" w:rsidRDefault="00A24706" w:rsidP="00DC3589">
            <w:pPr>
              <w:spacing w:after="0" w:line="240" w:lineRule="auto"/>
              <w:jc w:val="center"/>
              <w:rPr>
                <w:sz w:val="18"/>
                <w:szCs w:val="18"/>
                <w:lang w:val="es-MX"/>
              </w:rPr>
            </w:pPr>
          </w:p>
        </w:tc>
        <w:tc>
          <w:tcPr>
            <w:tcW w:w="891" w:type="dxa"/>
            <w:gridSpan w:val="2"/>
            <w:tcBorders>
              <w:bottom w:val="single" w:sz="4" w:space="0" w:color="auto"/>
            </w:tcBorders>
            <w:shd w:val="clear" w:color="auto" w:fill="FFFFFF" w:themeFill="background1"/>
            <w:vAlign w:val="center"/>
          </w:tcPr>
          <w:p w14:paraId="6C094639" w14:textId="77777777" w:rsidR="00A24706" w:rsidRPr="00953F98" w:rsidRDefault="00A24706" w:rsidP="00DC3589">
            <w:pPr>
              <w:spacing w:after="0" w:line="240" w:lineRule="auto"/>
              <w:jc w:val="center"/>
              <w:rPr>
                <w:sz w:val="18"/>
                <w:szCs w:val="18"/>
                <w:lang w:val="es-MX"/>
              </w:rPr>
            </w:pPr>
          </w:p>
        </w:tc>
        <w:tc>
          <w:tcPr>
            <w:tcW w:w="598" w:type="dxa"/>
            <w:tcBorders>
              <w:bottom w:val="single" w:sz="4" w:space="0" w:color="auto"/>
            </w:tcBorders>
            <w:shd w:val="clear" w:color="auto" w:fill="FFFFFF" w:themeFill="background1"/>
            <w:noWrap/>
            <w:vAlign w:val="center"/>
          </w:tcPr>
          <w:p w14:paraId="3AD7F82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tcBorders>
              <w:bottom w:val="single" w:sz="4" w:space="0" w:color="auto"/>
            </w:tcBorders>
            <w:shd w:val="clear" w:color="auto" w:fill="FFFFFF" w:themeFill="background1"/>
            <w:noWrap/>
            <w:vAlign w:val="center"/>
          </w:tcPr>
          <w:p w14:paraId="0A5815B0"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FFFFFF" w:themeFill="background1"/>
          </w:tcPr>
          <w:p w14:paraId="7044BDC7" w14:textId="77777777" w:rsidR="00A24706" w:rsidRPr="00953F98" w:rsidRDefault="00A24706" w:rsidP="00DC3589">
            <w:pPr>
              <w:spacing w:after="0" w:line="240" w:lineRule="auto"/>
              <w:jc w:val="center"/>
              <w:rPr>
                <w:sz w:val="18"/>
                <w:szCs w:val="18"/>
                <w:lang w:val="es-MX"/>
              </w:rPr>
            </w:pPr>
          </w:p>
        </w:tc>
        <w:tc>
          <w:tcPr>
            <w:tcW w:w="1325" w:type="dxa"/>
            <w:tcBorders>
              <w:bottom w:val="single" w:sz="4" w:space="0" w:color="auto"/>
            </w:tcBorders>
            <w:shd w:val="clear" w:color="auto" w:fill="FFFFFF" w:themeFill="background1"/>
            <w:vAlign w:val="center"/>
          </w:tcPr>
          <w:p w14:paraId="18316804" w14:textId="77777777" w:rsidR="00A24706" w:rsidRPr="00953F98" w:rsidRDefault="00A24706" w:rsidP="00DC3589">
            <w:pPr>
              <w:spacing w:after="0" w:line="240" w:lineRule="auto"/>
              <w:jc w:val="center"/>
              <w:rPr>
                <w:sz w:val="18"/>
                <w:szCs w:val="18"/>
                <w:lang w:val="es-MX"/>
              </w:rPr>
            </w:pPr>
          </w:p>
        </w:tc>
        <w:tc>
          <w:tcPr>
            <w:tcW w:w="1325" w:type="dxa"/>
            <w:tcBorders>
              <w:bottom w:val="single" w:sz="4" w:space="0" w:color="auto"/>
            </w:tcBorders>
            <w:shd w:val="clear" w:color="auto" w:fill="FFFFFF" w:themeFill="background1"/>
            <w:noWrap/>
            <w:vAlign w:val="center"/>
          </w:tcPr>
          <w:p w14:paraId="3A702A82" w14:textId="77777777" w:rsidR="00A24706" w:rsidRPr="00953F98" w:rsidRDefault="00A24706" w:rsidP="00DC3589">
            <w:pPr>
              <w:spacing w:after="0" w:line="240" w:lineRule="auto"/>
              <w:jc w:val="center"/>
              <w:rPr>
                <w:sz w:val="18"/>
                <w:szCs w:val="18"/>
                <w:lang w:val="es-MX"/>
              </w:rPr>
            </w:pPr>
            <w:r>
              <w:rPr>
                <w:sz w:val="18"/>
                <w:szCs w:val="18"/>
                <w:lang w:val="es-MX"/>
              </w:rPr>
              <w:t>117 participantes</w:t>
            </w:r>
          </w:p>
        </w:tc>
      </w:tr>
      <w:tr w:rsidR="00A24706" w:rsidRPr="00953F98" w14:paraId="2EA2BECD" w14:textId="77777777" w:rsidTr="00DC3589">
        <w:trPr>
          <w:trHeight w:val="288"/>
          <w:jc w:val="center"/>
        </w:trPr>
        <w:tc>
          <w:tcPr>
            <w:tcW w:w="1705" w:type="dxa"/>
            <w:tcBorders>
              <w:bottom w:val="single" w:sz="4" w:space="0" w:color="auto"/>
            </w:tcBorders>
            <w:shd w:val="clear" w:color="auto" w:fill="D9D9D9" w:themeFill="background1" w:themeFillShade="D9"/>
            <w:noWrap/>
            <w:vAlign w:val="center"/>
          </w:tcPr>
          <w:p w14:paraId="4A11D240" w14:textId="77777777" w:rsidR="00A24706" w:rsidRPr="001755C9" w:rsidRDefault="00A24706" w:rsidP="00DC3589">
            <w:pPr>
              <w:spacing w:after="0" w:line="240" w:lineRule="auto"/>
              <w:rPr>
                <w:rFonts w:eastAsia="Times New Roman"/>
                <w:b/>
                <w:bCs/>
                <w:spacing w:val="0"/>
                <w:sz w:val="18"/>
                <w:szCs w:val="18"/>
                <w:lang w:val="es-DO" w:eastAsia="es-DO"/>
              </w:rPr>
            </w:pPr>
            <w:r w:rsidRPr="001755C9">
              <w:rPr>
                <w:rFonts w:eastAsia="Times New Roman"/>
                <w:b/>
                <w:bCs/>
                <w:spacing w:val="0"/>
                <w:sz w:val="18"/>
                <w:szCs w:val="18"/>
                <w:lang w:val="es-DO" w:eastAsia="es-DO"/>
              </w:rPr>
              <w:t xml:space="preserve">Inversión producto </w:t>
            </w:r>
            <w:r>
              <w:rPr>
                <w:rFonts w:eastAsia="Times New Roman"/>
                <w:b/>
                <w:bCs/>
                <w:spacing w:val="0"/>
                <w:sz w:val="18"/>
                <w:szCs w:val="18"/>
                <w:lang w:val="es-DO" w:eastAsia="es-DO"/>
              </w:rPr>
              <w:t>5</w:t>
            </w:r>
            <w:r w:rsidRPr="001755C9">
              <w:rPr>
                <w:rFonts w:eastAsia="Times New Roman"/>
                <w:b/>
                <w:bCs/>
                <w:spacing w:val="0"/>
                <w:sz w:val="18"/>
                <w:szCs w:val="18"/>
                <w:lang w:val="es-DO" w:eastAsia="es-DO"/>
              </w:rPr>
              <w:t xml:space="preserve"> (en RD$)</w:t>
            </w:r>
          </w:p>
        </w:tc>
        <w:tc>
          <w:tcPr>
            <w:tcW w:w="450" w:type="dxa"/>
            <w:tcBorders>
              <w:bottom w:val="single" w:sz="4" w:space="0" w:color="auto"/>
            </w:tcBorders>
            <w:shd w:val="clear" w:color="auto" w:fill="D9D9D9" w:themeFill="background1" w:themeFillShade="D9"/>
            <w:noWrap/>
            <w:vAlign w:val="center"/>
          </w:tcPr>
          <w:p w14:paraId="28BBCEB9"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30" w:type="dxa"/>
            <w:tcBorders>
              <w:bottom w:val="single" w:sz="4" w:space="0" w:color="auto"/>
            </w:tcBorders>
            <w:shd w:val="clear" w:color="auto" w:fill="D9D9D9" w:themeFill="background1" w:themeFillShade="D9"/>
            <w:noWrap/>
            <w:vAlign w:val="center"/>
          </w:tcPr>
          <w:p w14:paraId="47F65125"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80" w:type="dxa"/>
            <w:tcBorders>
              <w:bottom w:val="single" w:sz="4" w:space="0" w:color="auto"/>
            </w:tcBorders>
            <w:shd w:val="clear" w:color="auto" w:fill="D9D9D9" w:themeFill="background1" w:themeFillShade="D9"/>
            <w:noWrap/>
            <w:vAlign w:val="center"/>
          </w:tcPr>
          <w:p w14:paraId="4F93CC49" w14:textId="77777777" w:rsidR="00A24706" w:rsidRPr="006B03FE" w:rsidRDefault="00A24706" w:rsidP="00DC3589">
            <w:pPr>
              <w:spacing w:after="0" w:line="240" w:lineRule="auto"/>
              <w:jc w:val="center"/>
              <w:rPr>
                <w:rFonts w:eastAsia="Times New Roman"/>
                <w:spacing w:val="0"/>
                <w:sz w:val="18"/>
                <w:szCs w:val="18"/>
                <w:lang w:val="es-DO" w:eastAsia="es-DO"/>
              </w:rPr>
            </w:pPr>
            <w:r w:rsidRPr="00DE04D5">
              <w:rPr>
                <w:rFonts w:eastAsia="Times New Roman"/>
                <w:spacing w:val="0"/>
                <w:sz w:val="18"/>
                <w:szCs w:val="18"/>
                <w:lang w:val="es-DO" w:eastAsia="es-DO"/>
              </w:rPr>
              <w:t>305,311.77</w:t>
            </w:r>
          </w:p>
        </w:tc>
        <w:tc>
          <w:tcPr>
            <w:tcW w:w="450" w:type="dxa"/>
            <w:tcBorders>
              <w:bottom w:val="single" w:sz="4" w:space="0" w:color="auto"/>
            </w:tcBorders>
            <w:shd w:val="clear" w:color="auto" w:fill="D9D9D9" w:themeFill="background1" w:themeFillShade="D9"/>
            <w:noWrap/>
            <w:vAlign w:val="center"/>
          </w:tcPr>
          <w:p w14:paraId="7410F02C"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530" w:type="dxa"/>
            <w:tcBorders>
              <w:bottom w:val="single" w:sz="4" w:space="0" w:color="auto"/>
            </w:tcBorders>
            <w:shd w:val="clear" w:color="auto" w:fill="D9D9D9" w:themeFill="background1" w:themeFillShade="D9"/>
            <w:noWrap/>
            <w:vAlign w:val="center"/>
          </w:tcPr>
          <w:p w14:paraId="48DAB827"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912" w:type="dxa"/>
            <w:tcBorders>
              <w:bottom w:val="single" w:sz="4" w:space="0" w:color="auto"/>
            </w:tcBorders>
            <w:shd w:val="clear" w:color="auto" w:fill="D9D9D9" w:themeFill="background1" w:themeFillShade="D9"/>
            <w:noWrap/>
            <w:vAlign w:val="center"/>
          </w:tcPr>
          <w:p w14:paraId="09D786DD" w14:textId="77777777" w:rsidR="00A24706" w:rsidRPr="00953F98" w:rsidRDefault="00A24706" w:rsidP="00DC3589">
            <w:pPr>
              <w:spacing w:after="0" w:line="240" w:lineRule="auto"/>
              <w:jc w:val="center"/>
              <w:rPr>
                <w:sz w:val="18"/>
                <w:szCs w:val="18"/>
                <w:lang w:val="es-MX"/>
              </w:rPr>
            </w:pPr>
          </w:p>
        </w:tc>
        <w:tc>
          <w:tcPr>
            <w:tcW w:w="891" w:type="dxa"/>
            <w:gridSpan w:val="2"/>
            <w:tcBorders>
              <w:bottom w:val="single" w:sz="4" w:space="0" w:color="auto"/>
            </w:tcBorders>
            <w:shd w:val="clear" w:color="auto" w:fill="D9D9D9" w:themeFill="background1" w:themeFillShade="D9"/>
            <w:vAlign w:val="center"/>
          </w:tcPr>
          <w:p w14:paraId="2C5D85D5" w14:textId="77777777" w:rsidR="00A24706" w:rsidRPr="00953F98" w:rsidRDefault="00A24706" w:rsidP="00DC3589">
            <w:pPr>
              <w:spacing w:after="0" w:line="240" w:lineRule="auto"/>
              <w:jc w:val="center"/>
              <w:rPr>
                <w:sz w:val="18"/>
                <w:szCs w:val="18"/>
                <w:lang w:val="es-MX"/>
              </w:rPr>
            </w:pPr>
          </w:p>
        </w:tc>
        <w:tc>
          <w:tcPr>
            <w:tcW w:w="598" w:type="dxa"/>
            <w:tcBorders>
              <w:bottom w:val="single" w:sz="4" w:space="0" w:color="auto"/>
            </w:tcBorders>
            <w:shd w:val="clear" w:color="auto" w:fill="D9D9D9" w:themeFill="background1" w:themeFillShade="D9"/>
            <w:noWrap/>
            <w:vAlign w:val="center"/>
          </w:tcPr>
          <w:p w14:paraId="1AE4030A"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95" w:type="dxa"/>
            <w:tcBorders>
              <w:bottom w:val="single" w:sz="4" w:space="0" w:color="auto"/>
            </w:tcBorders>
            <w:shd w:val="clear" w:color="auto" w:fill="D9D9D9" w:themeFill="background1" w:themeFillShade="D9"/>
            <w:noWrap/>
            <w:vAlign w:val="center"/>
          </w:tcPr>
          <w:p w14:paraId="38555520" w14:textId="77777777" w:rsidR="00A24706" w:rsidRPr="006B03FE" w:rsidRDefault="00A24706" w:rsidP="00DC3589">
            <w:pPr>
              <w:spacing w:after="0" w:line="240" w:lineRule="auto"/>
              <w:jc w:val="center"/>
              <w:rPr>
                <w:rFonts w:eastAsia="Times New Roman"/>
                <w:spacing w:val="0"/>
                <w:sz w:val="18"/>
                <w:szCs w:val="18"/>
                <w:lang w:val="es-DO" w:eastAsia="es-DO"/>
              </w:rPr>
            </w:pPr>
          </w:p>
        </w:tc>
        <w:tc>
          <w:tcPr>
            <w:tcW w:w="450" w:type="dxa"/>
            <w:tcBorders>
              <w:bottom w:val="single" w:sz="4" w:space="0" w:color="auto"/>
            </w:tcBorders>
            <w:shd w:val="clear" w:color="auto" w:fill="D9D9D9" w:themeFill="background1" w:themeFillShade="D9"/>
          </w:tcPr>
          <w:p w14:paraId="3CAF72D5" w14:textId="77777777" w:rsidR="00A24706" w:rsidRPr="00953F98" w:rsidRDefault="00A24706" w:rsidP="00DC3589">
            <w:pPr>
              <w:spacing w:after="0" w:line="240" w:lineRule="auto"/>
              <w:jc w:val="center"/>
              <w:rPr>
                <w:sz w:val="18"/>
                <w:szCs w:val="18"/>
                <w:lang w:val="es-MX"/>
              </w:rPr>
            </w:pPr>
          </w:p>
        </w:tc>
        <w:tc>
          <w:tcPr>
            <w:tcW w:w="1325" w:type="dxa"/>
            <w:tcBorders>
              <w:bottom w:val="single" w:sz="4" w:space="0" w:color="auto"/>
            </w:tcBorders>
            <w:shd w:val="clear" w:color="auto" w:fill="D9D9D9" w:themeFill="background1" w:themeFillShade="D9"/>
            <w:vAlign w:val="center"/>
          </w:tcPr>
          <w:p w14:paraId="31D536C9" w14:textId="77777777" w:rsidR="00A24706" w:rsidRPr="00953F98" w:rsidRDefault="00A24706" w:rsidP="00DC3589">
            <w:pPr>
              <w:spacing w:after="0" w:line="240" w:lineRule="auto"/>
              <w:jc w:val="center"/>
              <w:rPr>
                <w:sz w:val="18"/>
                <w:szCs w:val="18"/>
                <w:lang w:val="es-MX"/>
              </w:rPr>
            </w:pPr>
          </w:p>
        </w:tc>
        <w:tc>
          <w:tcPr>
            <w:tcW w:w="1325" w:type="dxa"/>
            <w:tcBorders>
              <w:bottom w:val="single" w:sz="4" w:space="0" w:color="auto"/>
            </w:tcBorders>
            <w:shd w:val="clear" w:color="auto" w:fill="D9D9D9" w:themeFill="background1" w:themeFillShade="D9"/>
            <w:noWrap/>
            <w:vAlign w:val="center"/>
          </w:tcPr>
          <w:p w14:paraId="5BA39BF4" w14:textId="77777777" w:rsidR="00A24706" w:rsidRPr="00953F98" w:rsidRDefault="00A24706" w:rsidP="00DC3589">
            <w:pPr>
              <w:spacing w:after="0" w:line="240" w:lineRule="auto"/>
              <w:jc w:val="center"/>
              <w:rPr>
                <w:sz w:val="18"/>
                <w:szCs w:val="18"/>
                <w:lang w:val="es-MX"/>
              </w:rPr>
            </w:pPr>
            <w:r w:rsidRPr="00DE04D5">
              <w:rPr>
                <w:sz w:val="18"/>
                <w:szCs w:val="18"/>
                <w:lang w:val="es-MX"/>
              </w:rPr>
              <w:t>305,311.77</w:t>
            </w:r>
          </w:p>
        </w:tc>
      </w:tr>
      <w:tr w:rsidR="00A24706" w:rsidRPr="00EE47D5" w14:paraId="75D45BAF" w14:textId="77777777" w:rsidTr="00DC3589">
        <w:trPr>
          <w:trHeight w:val="288"/>
          <w:jc w:val="center"/>
        </w:trPr>
        <w:tc>
          <w:tcPr>
            <w:tcW w:w="10050" w:type="dxa"/>
            <w:gridSpan w:val="14"/>
            <w:tcBorders>
              <w:top w:val="single" w:sz="4" w:space="0" w:color="auto"/>
              <w:left w:val="nil"/>
              <w:bottom w:val="nil"/>
              <w:right w:val="nil"/>
            </w:tcBorders>
            <w:shd w:val="clear" w:color="auto" w:fill="FFFFFF" w:themeFill="background1"/>
            <w:noWrap/>
            <w:vAlign w:val="center"/>
          </w:tcPr>
          <w:p w14:paraId="347E8C2D" w14:textId="77777777" w:rsidR="00A24706" w:rsidRPr="00285551" w:rsidRDefault="00A24706" w:rsidP="00DC3589">
            <w:pPr>
              <w:spacing w:after="0" w:line="240" w:lineRule="auto"/>
              <w:rPr>
                <w:i/>
                <w:iCs/>
                <w:sz w:val="18"/>
                <w:szCs w:val="18"/>
                <w:lang w:val="es-MX"/>
              </w:rPr>
            </w:pPr>
            <w:r w:rsidRPr="00285551">
              <w:rPr>
                <w:i/>
                <w:iCs/>
                <w:sz w:val="18"/>
                <w:szCs w:val="18"/>
                <w:lang w:val="es-MX"/>
              </w:rPr>
              <w:t>Nota aclaratoria: estas actividades solo se realizan una vez al año</w:t>
            </w:r>
          </w:p>
        </w:tc>
      </w:tr>
    </w:tbl>
    <w:p w14:paraId="6ECE3165" w14:textId="77777777" w:rsidR="00A24706" w:rsidRDefault="00A24706" w:rsidP="00A24706">
      <w:pPr>
        <w:spacing w:line="360" w:lineRule="auto"/>
        <w:jc w:val="both"/>
        <w:rPr>
          <w:color w:val="4C4747"/>
          <w:lang w:val="es-MX"/>
        </w:rPr>
      </w:pPr>
    </w:p>
    <w:p w14:paraId="464C25F1" w14:textId="280ADF2C" w:rsidR="000C5160" w:rsidRPr="003F1A47" w:rsidRDefault="00A24706" w:rsidP="000C5160">
      <w:pPr>
        <w:spacing w:line="360" w:lineRule="auto"/>
        <w:jc w:val="center"/>
        <w:rPr>
          <w:rFonts w:eastAsia="Calibri"/>
          <w:b/>
          <w:bCs/>
          <w:sz w:val="28"/>
          <w:szCs w:val="28"/>
          <w:lang w:val="es-DO"/>
        </w:rPr>
      </w:pPr>
      <w:r>
        <w:rPr>
          <w:b/>
          <w:bCs/>
          <w:sz w:val="28"/>
          <w:szCs w:val="28"/>
          <w:lang w:val="es-DO"/>
        </w:rPr>
        <w:t>Anexo B.</w:t>
      </w:r>
      <w:r w:rsidR="000C5160" w:rsidRPr="003F1A47">
        <w:rPr>
          <w:b/>
          <w:bCs/>
          <w:sz w:val="28"/>
          <w:szCs w:val="28"/>
          <w:lang w:val="es-DO"/>
        </w:rPr>
        <w:t xml:space="preserve"> Matriz Índice de Gestión Presupuestaria Anual (IGP</w:t>
      </w:r>
      <w:r w:rsidR="000C5160">
        <w:rPr>
          <w:b/>
          <w:bCs/>
          <w:sz w:val="28"/>
          <w:szCs w:val="28"/>
          <w:lang w:val="es-DO"/>
        </w:rPr>
        <w:t>)</w:t>
      </w:r>
    </w:p>
    <w:tbl>
      <w:tblPr>
        <w:tblW w:w="9170" w:type="dxa"/>
        <w:jc w:val="center"/>
        <w:tblCellMar>
          <w:left w:w="70" w:type="dxa"/>
          <w:right w:w="70" w:type="dxa"/>
        </w:tblCellMar>
        <w:tblLook w:val="04A0" w:firstRow="1" w:lastRow="0" w:firstColumn="1" w:lastColumn="0" w:noHBand="0" w:noVBand="1"/>
      </w:tblPr>
      <w:tblGrid>
        <w:gridCol w:w="1493"/>
        <w:gridCol w:w="1342"/>
        <w:gridCol w:w="1440"/>
        <w:gridCol w:w="1390"/>
        <w:gridCol w:w="1345"/>
        <w:gridCol w:w="900"/>
        <w:gridCol w:w="1260"/>
      </w:tblGrid>
      <w:tr w:rsidR="000C5160" w:rsidRPr="00FF4418" w14:paraId="7460220D" w14:textId="77777777" w:rsidTr="006946C0">
        <w:trPr>
          <w:trHeight w:val="912"/>
          <w:jc w:val="center"/>
        </w:trPr>
        <w:tc>
          <w:tcPr>
            <w:tcW w:w="1493" w:type="dxa"/>
            <w:tcBorders>
              <w:top w:val="single" w:sz="8" w:space="0" w:color="auto"/>
              <w:left w:val="single" w:sz="8" w:space="0" w:color="auto"/>
              <w:bottom w:val="nil"/>
              <w:right w:val="single" w:sz="8" w:space="0" w:color="auto"/>
            </w:tcBorders>
            <w:shd w:val="clear" w:color="auto" w:fill="142F62"/>
            <w:vAlign w:val="center"/>
            <w:hideMark/>
          </w:tcPr>
          <w:p w14:paraId="725867DD" w14:textId="77777777" w:rsidR="000C5160" w:rsidRPr="00FF4418" w:rsidRDefault="000C5160">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Código Programa / Subprograma</w:t>
            </w:r>
          </w:p>
        </w:tc>
        <w:tc>
          <w:tcPr>
            <w:tcW w:w="1342" w:type="dxa"/>
            <w:tcBorders>
              <w:top w:val="single" w:sz="8" w:space="0" w:color="auto"/>
              <w:left w:val="nil"/>
              <w:bottom w:val="nil"/>
              <w:right w:val="single" w:sz="8" w:space="0" w:color="auto"/>
            </w:tcBorders>
            <w:shd w:val="clear" w:color="auto" w:fill="142F62"/>
            <w:vAlign w:val="center"/>
            <w:hideMark/>
          </w:tcPr>
          <w:p w14:paraId="449576E8" w14:textId="77777777" w:rsidR="000C5160" w:rsidRPr="00FF4418" w:rsidRDefault="000C5160">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Nombre del Programa</w:t>
            </w:r>
          </w:p>
        </w:tc>
        <w:tc>
          <w:tcPr>
            <w:tcW w:w="1440" w:type="dxa"/>
            <w:tcBorders>
              <w:top w:val="single" w:sz="8" w:space="0" w:color="auto"/>
              <w:left w:val="nil"/>
              <w:bottom w:val="nil"/>
              <w:right w:val="single" w:sz="8" w:space="0" w:color="auto"/>
            </w:tcBorders>
            <w:shd w:val="clear" w:color="auto" w:fill="142F62"/>
            <w:vAlign w:val="center"/>
            <w:hideMark/>
          </w:tcPr>
          <w:p w14:paraId="34FF723B" w14:textId="4D829A9B" w:rsidR="000C5160" w:rsidRPr="00FF4418" w:rsidRDefault="000C5160">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Asignación presupuestaria 202</w:t>
            </w:r>
            <w:r w:rsidR="00C56226">
              <w:rPr>
                <w:rFonts w:eastAsia="Times New Roman"/>
                <w:b/>
                <w:bCs/>
                <w:color w:val="FFFFFF"/>
                <w:spacing w:val="0"/>
                <w:sz w:val="18"/>
                <w:szCs w:val="18"/>
                <w:lang w:val="es-DO" w:eastAsia="es-DO"/>
              </w:rPr>
              <w:t>5</w:t>
            </w:r>
            <w:r w:rsidR="009F04CF">
              <w:rPr>
                <w:rFonts w:eastAsia="Times New Roman"/>
                <w:b/>
                <w:bCs/>
                <w:color w:val="FFFFFF"/>
                <w:spacing w:val="0"/>
                <w:sz w:val="18"/>
                <w:szCs w:val="18"/>
                <w:lang w:val="es-DO" w:eastAsia="es-DO"/>
              </w:rPr>
              <w:t xml:space="preserve"> </w:t>
            </w:r>
            <w:r w:rsidRPr="00FF4418">
              <w:rPr>
                <w:rFonts w:eastAsia="Times New Roman"/>
                <w:b/>
                <w:bCs/>
                <w:color w:val="FFFFFF"/>
                <w:spacing w:val="0"/>
                <w:sz w:val="18"/>
                <w:szCs w:val="18"/>
                <w:lang w:val="es-DO" w:eastAsia="es-DO"/>
              </w:rPr>
              <w:t>(</w:t>
            </w:r>
            <w:r w:rsidR="009F04CF">
              <w:rPr>
                <w:rFonts w:eastAsia="Times New Roman"/>
                <w:b/>
                <w:bCs/>
                <w:color w:val="FFFFFF"/>
                <w:spacing w:val="0"/>
                <w:sz w:val="18"/>
                <w:szCs w:val="18"/>
                <w:lang w:val="es-DO" w:eastAsia="es-DO"/>
              </w:rPr>
              <w:t>DOP)</w:t>
            </w:r>
          </w:p>
        </w:tc>
        <w:tc>
          <w:tcPr>
            <w:tcW w:w="1390" w:type="dxa"/>
            <w:tcBorders>
              <w:top w:val="single" w:sz="8" w:space="0" w:color="auto"/>
              <w:left w:val="nil"/>
              <w:bottom w:val="nil"/>
              <w:right w:val="single" w:sz="8" w:space="0" w:color="auto"/>
            </w:tcBorders>
            <w:shd w:val="clear" w:color="auto" w:fill="142F62"/>
            <w:vAlign w:val="center"/>
            <w:hideMark/>
          </w:tcPr>
          <w:p w14:paraId="46CE1401" w14:textId="7DA245A6" w:rsidR="000C5160" w:rsidRPr="00FF4418" w:rsidRDefault="000C5160">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Ejecución 202</w:t>
            </w:r>
            <w:r w:rsidR="00C56226">
              <w:rPr>
                <w:rFonts w:eastAsia="Times New Roman"/>
                <w:b/>
                <w:bCs/>
                <w:color w:val="FFFFFF"/>
                <w:spacing w:val="0"/>
                <w:sz w:val="18"/>
                <w:szCs w:val="18"/>
                <w:lang w:val="es-DO" w:eastAsia="es-DO"/>
              </w:rPr>
              <w:t>5</w:t>
            </w:r>
            <w:r w:rsidRPr="00FF4418">
              <w:rPr>
                <w:rFonts w:eastAsia="Times New Roman"/>
                <w:b/>
                <w:bCs/>
                <w:color w:val="FFFFFF"/>
                <w:spacing w:val="0"/>
                <w:sz w:val="18"/>
                <w:szCs w:val="18"/>
                <w:lang w:val="es-DO" w:eastAsia="es-DO"/>
              </w:rPr>
              <w:t xml:space="preserve"> (</w:t>
            </w:r>
            <w:r w:rsidR="009F04CF">
              <w:rPr>
                <w:rFonts w:eastAsia="Times New Roman"/>
                <w:b/>
                <w:bCs/>
                <w:color w:val="FFFFFF"/>
                <w:spacing w:val="0"/>
                <w:sz w:val="18"/>
                <w:szCs w:val="18"/>
                <w:lang w:val="es-DO" w:eastAsia="es-DO"/>
              </w:rPr>
              <w:t>DOP</w:t>
            </w:r>
            <w:r w:rsidRPr="00FF4418">
              <w:rPr>
                <w:rFonts w:eastAsia="Times New Roman"/>
                <w:b/>
                <w:bCs/>
                <w:color w:val="FFFFFF"/>
                <w:spacing w:val="0"/>
                <w:sz w:val="18"/>
                <w:szCs w:val="18"/>
                <w:lang w:val="es-DO" w:eastAsia="es-DO"/>
              </w:rPr>
              <w:t>)</w:t>
            </w:r>
          </w:p>
        </w:tc>
        <w:tc>
          <w:tcPr>
            <w:tcW w:w="1345" w:type="dxa"/>
            <w:tcBorders>
              <w:top w:val="single" w:sz="8" w:space="0" w:color="auto"/>
              <w:left w:val="nil"/>
              <w:bottom w:val="nil"/>
              <w:right w:val="single" w:sz="8" w:space="0" w:color="auto"/>
            </w:tcBorders>
            <w:shd w:val="clear" w:color="auto" w:fill="142F62"/>
            <w:vAlign w:val="center"/>
            <w:hideMark/>
          </w:tcPr>
          <w:p w14:paraId="6AE24AA5" w14:textId="77777777" w:rsidR="000C5160" w:rsidRPr="00FF4418" w:rsidRDefault="000C5160">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Cantidad de Productos Generados por Programa</w:t>
            </w:r>
          </w:p>
        </w:tc>
        <w:tc>
          <w:tcPr>
            <w:tcW w:w="900" w:type="dxa"/>
            <w:tcBorders>
              <w:top w:val="single" w:sz="8" w:space="0" w:color="auto"/>
              <w:left w:val="nil"/>
              <w:bottom w:val="nil"/>
              <w:right w:val="single" w:sz="8" w:space="0" w:color="auto"/>
            </w:tcBorders>
            <w:shd w:val="clear" w:color="auto" w:fill="142F62"/>
            <w:vAlign w:val="center"/>
            <w:hideMark/>
          </w:tcPr>
          <w:p w14:paraId="06568572" w14:textId="77777777" w:rsidR="000C5160" w:rsidRPr="00FF4418" w:rsidRDefault="000C5160">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Índice de Ejecución %</w:t>
            </w:r>
          </w:p>
        </w:tc>
        <w:tc>
          <w:tcPr>
            <w:tcW w:w="1260" w:type="dxa"/>
            <w:tcBorders>
              <w:top w:val="single" w:sz="8" w:space="0" w:color="auto"/>
              <w:left w:val="nil"/>
              <w:bottom w:val="nil"/>
              <w:right w:val="single" w:sz="8" w:space="0" w:color="auto"/>
            </w:tcBorders>
            <w:shd w:val="clear" w:color="auto" w:fill="142F62"/>
            <w:vAlign w:val="center"/>
            <w:hideMark/>
          </w:tcPr>
          <w:p w14:paraId="404A104D" w14:textId="77777777" w:rsidR="000C5160" w:rsidRPr="00FF4418" w:rsidRDefault="000C5160">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Participación ejecución por programa (%)</w:t>
            </w:r>
          </w:p>
        </w:tc>
      </w:tr>
      <w:tr w:rsidR="000C5160" w:rsidRPr="00FF4418" w14:paraId="2A9A7A7E" w14:textId="77777777" w:rsidTr="006946C0">
        <w:trPr>
          <w:trHeight w:val="764"/>
          <w:jc w:val="center"/>
        </w:trPr>
        <w:tc>
          <w:tcPr>
            <w:tcW w:w="1493" w:type="dxa"/>
            <w:tcBorders>
              <w:top w:val="single" w:sz="4" w:space="0" w:color="auto"/>
              <w:left w:val="single" w:sz="4" w:space="0" w:color="auto"/>
              <w:bottom w:val="single" w:sz="4" w:space="0" w:color="auto"/>
              <w:right w:val="single" w:sz="4" w:space="0" w:color="auto"/>
            </w:tcBorders>
            <w:vAlign w:val="center"/>
            <w:hideMark/>
          </w:tcPr>
          <w:p w14:paraId="270742E3" w14:textId="77777777" w:rsidR="000C5160" w:rsidRDefault="000C5160" w:rsidP="00CD6031">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12</w:t>
            </w:r>
          </w:p>
          <w:p w14:paraId="5C9DC32C" w14:textId="77777777" w:rsidR="000C5160" w:rsidRDefault="000C5160" w:rsidP="00CD6031">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0216</w:t>
            </w:r>
          </w:p>
          <w:p w14:paraId="2B555E7B" w14:textId="77777777" w:rsidR="000C5160" w:rsidRPr="00FF4418" w:rsidRDefault="000C5160" w:rsidP="00CD6031">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001</w:t>
            </w:r>
            <w:r>
              <w:rPr>
                <w:rFonts w:eastAsia="Times New Roman"/>
                <w:spacing w:val="0"/>
                <w:sz w:val="18"/>
                <w:szCs w:val="18"/>
                <w:lang w:val="es-DO" w:eastAsia="es-DO"/>
              </w:rPr>
              <w:t>.0</w:t>
            </w:r>
            <w:r w:rsidRPr="00FF4418">
              <w:rPr>
                <w:rFonts w:eastAsia="Times New Roman"/>
                <w:spacing w:val="0"/>
                <w:sz w:val="18"/>
                <w:szCs w:val="18"/>
                <w:lang w:val="es-DO" w:eastAsia="es-DO"/>
              </w:rPr>
              <w:t>006</w:t>
            </w:r>
          </w:p>
        </w:tc>
        <w:tc>
          <w:tcPr>
            <w:tcW w:w="1342" w:type="dxa"/>
            <w:tcBorders>
              <w:top w:val="single" w:sz="4" w:space="0" w:color="auto"/>
              <w:left w:val="nil"/>
              <w:bottom w:val="single" w:sz="4" w:space="0" w:color="auto"/>
              <w:right w:val="single" w:sz="4" w:space="0" w:color="auto"/>
            </w:tcBorders>
            <w:vAlign w:val="center"/>
            <w:hideMark/>
          </w:tcPr>
          <w:p w14:paraId="051652F4" w14:textId="77777777" w:rsidR="000C5160" w:rsidRPr="00FF4418" w:rsidRDefault="000C5160" w:rsidP="00CD6031">
            <w:pPr>
              <w:spacing w:after="0" w:line="240" w:lineRule="auto"/>
              <w:rPr>
                <w:rFonts w:eastAsia="Times New Roman"/>
                <w:spacing w:val="0"/>
                <w:sz w:val="18"/>
                <w:szCs w:val="18"/>
                <w:lang w:val="es-DO" w:eastAsia="es-DO"/>
              </w:rPr>
            </w:pPr>
            <w:r w:rsidRPr="00FF4418">
              <w:rPr>
                <w:rFonts w:eastAsia="Times New Roman"/>
                <w:spacing w:val="0"/>
                <w:sz w:val="18"/>
                <w:szCs w:val="18"/>
                <w:lang w:val="es-DO" w:eastAsia="es-DO"/>
              </w:rPr>
              <w:t>Difusión del patrimonio cultural material e inmaterial</w:t>
            </w:r>
          </w:p>
        </w:tc>
        <w:tc>
          <w:tcPr>
            <w:tcW w:w="1440" w:type="dxa"/>
            <w:tcBorders>
              <w:top w:val="single" w:sz="4" w:space="0" w:color="auto"/>
              <w:left w:val="nil"/>
              <w:bottom w:val="single" w:sz="4" w:space="0" w:color="auto"/>
              <w:right w:val="single" w:sz="4" w:space="0" w:color="auto"/>
            </w:tcBorders>
            <w:noWrap/>
            <w:vAlign w:val="center"/>
          </w:tcPr>
          <w:p w14:paraId="44790BF2" w14:textId="10CFD60D" w:rsidR="000C5160" w:rsidRPr="00FF4418" w:rsidRDefault="006946C0" w:rsidP="00CD6031">
            <w:pPr>
              <w:spacing w:after="0" w:line="240" w:lineRule="auto"/>
              <w:jc w:val="right"/>
              <w:rPr>
                <w:rFonts w:eastAsia="Times New Roman"/>
                <w:spacing w:val="0"/>
                <w:sz w:val="18"/>
                <w:szCs w:val="18"/>
                <w:lang w:val="es-DO" w:eastAsia="es-DO"/>
              </w:rPr>
            </w:pPr>
            <w:r>
              <w:rPr>
                <w:rFonts w:eastAsia="Times New Roman"/>
                <w:spacing w:val="0"/>
                <w:sz w:val="20"/>
                <w:szCs w:val="20"/>
                <w:lang w:val="es-DO" w:eastAsia="es-DO"/>
              </w:rPr>
              <w:t>348,799,992.00</w:t>
            </w:r>
          </w:p>
        </w:tc>
        <w:tc>
          <w:tcPr>
            <w:tcW w:w="1390" w:type="dxa"/>
            <w:tcBorders>
              <w:top w:val="single" w:sz="4" w:space="0" w:color="auto"/>
              <w:left w:val="nil"/>
              <w:bottom w:val="single" w:sz="4" w:space="0" w:color="auto"/>
              <w:right w:val="single" w:sz="4" w:space="0" w:color="auto"/>
            </w:tcBorders>
            <w:noWrap/>
            <w:vAlign w:val="center"/>
          </w:tcPr>
          <w:p w14:paraId="72CC0A51" w14:textId="1AE2C868" w:rsidR="000C5160" w:rsidRPr="00FF4418" w:rsidRDefault="006946C0" w:rsidP="00CD6031">
            <w:pPr>
              <w:spacing w:after="0" w:line="240" w:lineRule="auto"/>
              <w:jc w:val="right"/>
              <w:rPr>
                <w:rFonts w:eastAsia="Times New Roman"/>
                <w:spacing w:val="0"/>
                <w:sz w:val="18"/>
                <w:szCs w:val="18"/>
                <w:lang w:val="es-DO" w:eastAsia="es-DO"/>
              </w:rPr>
            </w:pPr>
            <w:r w:rsidRPr="00EE4850">
              <w:rPr>
                <w:rFonts w:eastAsia="Times New Roman"/>
                <w:spacing w:val="0"/>
                <w:sz w:val="20"/>
                <w:szCs w:val="20"/>
                <w:lang w:val="es-DO" w:eastAsia="es-DO"/>
              </w:rPr>
              <w:t>281,079,713.56</w:t>
            </w:r>
          </w:p>
        </w:tc>
        <w:tc>
          <w:tcPr>
            <w:tcW w:w="1345" w:type="dxa"/>
            <w:tcBorders>
              <w:top w:val="single" w:sz="4" w:space="0" w:color="auto"/>
              <w:left w:val="nil"/>
              <w:bottom w:val="single" w:sz="4" w:space="0" w:color="auto"/>
              <w:right w:val="single" w:sz="4" w:space="0" w:color="auto"/>
            </w:tcBorders>
            <w:noWrap/>
            <w:vAlign w:val="center"/>
            <w:hideMark/>
          </w:tcPr>
          <w:p w14:paraId="18B4C99A" w14:textId="21519CB2" w:rsidR="000C5160" w:rsidRPr="00FF4418" w:rsidRDefault="00285551" w:rsidP="00CD6031">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8</w:t>
            </w:r>
          </w:p>
        </w:tc>
        <w:tc>
          <w:tcPr>
            <w:tcW w:w="900" w:type="dxa"/>
            <w:tcBorders>
              <w:top w:val="single" w:sz="4" w:space="0" w:color="auto"/>
              <w:left w:val="nil"/>
              <w:bottom w:val="single" w:sz="4" w:space="0" w:color="auto"/>
              <w:right w:val="single" w:sz="4" w:space="0" w:color="auto"/>
            </w:tcBorders>
            <w:noWrap/>
            <w:vAlign w:val="center"/>
          </w:tcPr>
          <w:p w14:paraId="6AA6DC4E" w14:textId="2C21DA1F" w:rsidR="000C5160" w:rsidRPr="00FF4418" w:rsidRDefault="006946C0" w:rsidP="00CD6031">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100</w:t>
            </w:r>
            <w:r w:rsidR="007E3B58" w:rsidRPr="007E3B58">
              <w:rPr>
                <w:rFonts w:eastAsia="Times New Roman"/>
                <w:spacing w:val="0"/>
                <w:sz w:val="18"/>
                <w:szCs w:val="18"/>
                <w:lang w:val="es-DO" w:eastAsia="es-DO"/>
              </w:rPr>
              <w:t>%</w:t>
            </w:r>
          </w:p>
        </w:tc>
        <w:tc>
          <w:tcPr>
            <w:tcW w:w="1260" w:type="dxa"/>
            <w:tcBorders>
              <w:top w:val="single" w:sz="4" w:space="0" w:color="auto"/>
              <w:left w:val="nil"/>
              <w:bottom w:val="single" w:sz="4" w:space="0" w:color="auto"/>
              <w:right w:val="single" w:sz="4" w:space="0" w:color="auto"/>
            </w:tcBorders>
            <w:noWrap/>
            <w:vAlign w:val="center"/>
          </w:tcPr>
          <w:p w14:paraId="1E5E817E" w14:textId="3610F229" w:rsidR="000C5160" w:rsidRPr="00CD6031" w:rsidRDefault="006946C0" w:rsidP="00CD6031">
            <w:pPr>
              <w:spacing w:after="0" w:line="240" w:lineRule="auto"/>
              <w:jc w:val="center"/>
              <w:rPr>
                <w:sz w:val="20"/>
                <w:szCs w:val="20"/>
              </w:rPr>
            </w:pPr>
            <w:r w:rsidRPr="00EE4850">
              <w:rPr>
                <w:rFonts w:eastAsia="Times New Roman"/>
                <w:spacing w:val="0"/>
                <w:sz w:val="20"/>
                <w:szCs w:val="20"/>
                <w:lang w:val="es-DO" w:eastAsia="es-DO"/>
              </w:rPr>
              <w:t>80.59</w:t>
            </w:r>
            <w:r>
              <w:rPr>
                <w:rFonts w:eastAsia="Times New Roman"/>
                <w:spacing w:val="0"/>
                <w:sz w:val="20"/>
                <w:szCs w:val="20"/>
                <w:lang w:val="es-DO" w:eastAsia="es-DO"/>
              </w:rPr>
              <w:t>%</w:t>
            </w:r>
          </w:p>
        </w:tc>
      </w:tr>
    </w:tbl>
    <w:p w14:paraId="035A04B3" w14:textId="77777777" w:rsidR="000C5160" w:rsidRDefault="000C5160" w:rsidP="000C5160">
      <w:pPr>
        <w:spacing w:line="360" w:lineRule="auto"/>
        <w:jc w:val="both"/>
        <w:rPr>
          <w:b/>
          <w:bCs/>
          <w:sz w:val="28"/>
          <w:szCs w:val="28"/>
          <w:lang w:val="es-DO"/>
        </w:rPr>
      </w:pPr>
    </w:p>
    <w:p w14:paraId="26CAE968" w14:textId="77777777" w:rsidR="00A24706" w:rsidRDefault="00A24706" w:rsidP="000C5160">
      <w:pPr>
        <w:spacing w:line="360" w:lineRule="auto"/>
        <w:jc w:val="both"/>
        <w:rPr>
          <w:b/>
          <w:bCs/>
          <w:sz w:val="28"/>
          <w:szCs w:val="28"/>
          <w:lang w:val="es-DO"/>
        </w:rPr>
      </w:pPr>
    </w:p>
    <w:p w14:paraId="4357F6D4" w14:textId="77777777" w:rsidR="00A24706" w:rsidRPr="00BE2C16" w:rsidRDefault="00A24706" w:rsidP="000C5160">
      <w:pPr>
        <w:spacing w:line="360" w:lineRule="auto"/>
        <w:jc w:val="both"/>
        <w:rPr>
          <w:b/>
          <w:bCs/>
          <w:sz w:val="28"/>
          <w:szCs w:val="28"/>
          <w:lang w:val="es-DO"/>
        </w:rPr>
      </w:pPr>
    </w:p>
    <w:p w14:paraId="633C3547" w14:textId="24E13DDC" w:rsidR="00A24706" w:rsidRPr="008008F5" w:rsidRDefault="00A24706" w:rsidP="00A24706">
      <w:pPr>
        <w:spacing w:line="360" w:lineRule="auto"/>
        <w:jc w:val="both"/>
        <w:rPr>
          <w:rFonts w:eastAsia="Calibri"/>
          <w:b/>
          <w:bCs/>
          <w:noProof/>
          <w:sz w:val="26"/>
          <w:szCs w:val="26"/>
          <w:lang w:val="es-DO"/>
        </w:rPr>
      </w:pPr>
      <w:r>
        <w:rPr>
          <w:rFonts w:eastAsia="Calibri"/>
          <w:b/>
          <w:bCs/>
          <w:noProof/>
          <w:sz w:val="26"/>
          <w:szCs w:val="26"/>
          <w:lang w:val="es-DO"/>
        </w:rPr>
        <w:lastRenderedPageBreak/>
        <w:t>Anexo C.</w:t>
      </w:r>
      <w:r w:rsidRPr="008008F5">
        <w:rPr>
          <w:rFonts w:eastAsia="Calibri"/>
          <w:b/>
          <w:bCs/>
          <w:noProof/>
          <w:sz w:val="26"/>
          <w:szCs w:val="26"/>
          <w:lang w:val="es-DO"/>
        </w:rPr>
        <w:t xml:space="preserve"> Matriz de Principales Indicadores </w:t>
      </w:r>
      <w:r>
        <w:rPr>
          <w:rFonts w:eastAsia="Calibri"/>
          <w:b/>
          <w:bCs/>
          <w:noProof/>
          <w:sz w:val="26"/>
          <w:szCs w:val="26"/>
          <w:lang w:val="es-DO"/>
        </w:rPr>
        <w:t>del POA</w:t>
      </w:r>
    </w:p>
    <w:tbl>
      <w:tblPr>
        <w:tblW w:w="9966" w:type="dxa"/>
        <w:jc w:val="center"/>
        <w:tblCellMar>
          <w:left w:w="70" w:type="dxa"/>
          <w:right w:w="70" w:type="dxa"/>
        </w:tblCellMar>
        <w:tblLook w:val="04A0" w:firstRow="1" w:lastRow="0" w:firstColumn="1" w:lastColumn="0" w:noHBand="0" w:noVBand="1"/>
      </w:tblPr>
      <w:tblGrid>
        <w:gridCol w:w="405"/>
        <w:gridCol w:w="1210"/>
        <w:gridCol w:w="1883"/>
        <w:gridCol w:w="1520"/>
        <w:gridCol w:w="990"/>
        <w:gridCol w:w="1241"/>
        <w:gridCol w:w="814"/>
        <w:gridCol w:w="911"/>
        <w:gridCol w:w="992"/>
      </w:tblGrid>
      <w:tr w:rsidR="00A24706" w:rsidRPr="00EB444A" w14:paraId="7A7A1ED8" w14:textId="77777777" w:rsidTr="00A24706">
        <w:trPr>
          <w:trHeight w:val="552"/>
          <w:jc w:val="center"/>
        </w:trPr>
        <w:tc>
          <w:tcPr>
            <w:tcW w:w="40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7D4D676"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No.</w:t>
            </w:r>
          </w:p>
        </w:tc>
        <w:tc>
          <w:tcPr>
            <w:tcW w:w="1210" w:type="dxa"/>
            <w:tcBorders>
              <w:top w:val="single" w:sz="4" w:space="0" w:color="auto"/>
              <w:left w:val="nil"/>
              <w:bottom w:val="single" w:sz="4" w:space="0" w:color="auto"/>
              <w:right w:val="single" w:sz="4" w:space="0" w:color="auto"/>
            </w:tcBorders>
            <w:shd w:val="clear" w:color="auto" w:fill="002060"/>
            <w:vAlign w:val="center"/>
            <w:hideMark/>
          </w:tcPr>
          <w:p w14:paraId="5B343565"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Área</w:t>
            </w:r>
          </w:p>
        </w:tc>
        <w:tc>
          <w:tcPr>
            <w:tcW w:w="1883" w:type="dxa"/>
            <w:tcBorders>
              <w:top w:val="single" w:sz="4" w:space="0" w:color="auto"/>
              <w:left w:val="nil"/>
              <w:bottom w:val="single" w:sz="4" w:space="0" w:color="auto"/>
              <w:right w:val="single" w:sz="4" w:space="0" w:color="auto"/>
            </w:tcBorders>
            <w:shd w:val="clear" w:color="auto" w:fill="002060"/>
            <w:vAlign w:val="center"/>
            <w:hideMark/>
          </w:tcPr>
          <w:p w14:paraId="7CF15D4C"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Producto</w:t>
            </w:r>
          </w:p>
        </w:tc>
        <w:tc>
          <w:tcPr>
            <w:tcW w:w="1520" w:type="dxa"/>
            <w:tcBorders>
              <w:top w:val="single" w:sz="4" w:space="0" w:color="auto"/>
              <w:left w:val="nil"/>
              <w:bottom w:val="single" w:sz="4" w:space="0" w:color="auto"/>
              <w:right w:val="single" w:sz="4" w:space="0" w:color="auto"/>
            </w:tcBorders>
            <w:shd w:val="clear" w:color="auto" w:fill="002060"/>
            <w:vAlign w:val="center"/>
            <w:hideMark/>
          </w:tcPr>
          <w:p w14:paraId="5295253E"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Nombre Del Indicador</w:t>
            </w:r>
          </w:p>
        </w:tc>
        <w:tc>
          <w:tcPr>
            <w:tcW w:w="990" w:type="dxa"/>
            <w:tcBorders>
              <w:top w:val="single" w:sz="4" w:space="0" w:color="auto"/>
              <w:left w:val="nil"/>
              <w:bottom w:val="single" w:sz="4" w:space="0" w:color="auto"/>
              <w:right w:val="single" w:sz="4" w:space="0" w:color="auto"/>
            </w:tcBorders>
            <w:shd w:val="clear" w:color="auto" w:fill="002060"/>
            <w:vAlign w:val="center"/>
            <w:hideMark/>
          </w:tcPr>
          <w:p w14:paraId="3EC2A672"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Frecuencia</w:t>
            </w:r>
          </w:p>
        </w:tc>
        <w:tc>
          <w:tcPr>
            <w:tcW w:w="1241" w:type="dxa"/>
            <w:tcBorders>
              <w:top w:val="single" w:sz="4" w:space="0" w:color="auto"/>
              <w:left w:val="nil"/>
              <w:bottom w:val="single" w:sz="4" w:space="0" w:color="auto"/>
              <w:right w:val="single" w:sz="4" w:space="0" w:color="auto"/>
            </w:tcBorders>
            <w:shd w:val="clear" w:color="auto" w:fill="002060"/>
            <w:vAlign w:val="center"/>
            <w:hideMark/>
          </w:tcPr>
          <w:p w14:paraId="4C7844F8"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Línea Base</w:t>
            </w:r>
          </w:p>
        </w:tc>
        <w:tc>
          <w:tcPr>
            <w:tcW w:w="814" w:type="dxa"/>
            <w:tcBorders>
              <w:top w:val="single" w:sz="4" w:space="0" w:color="auto"/>
              <w:left w:val="nil"/>
              <w:bottom w:val="single" w:sz="4" w:space="0" w:color="auto"/>
              <w:right w:val="single" w:sz="4" w:space="0" w:color="auto"/>
            </w:tcBorders>
            <w:shd w:val="clear" w:color="auto" w:fill="002060"/>
            <w:vAlign w:val="center"/>
            <w:hideMark/>
          </w:tcPr>
          <w:p w14:paraId="3CFACAF7"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Meta 202</w:t>
            </w:r>
            <w:r>
              <w:rPr>
                <w:rFonts w:eastAsia="Times New Roman"/>
                <w:b/>
                <w:bCs/>
                <w:color w:val="FFFFFF"/>
                <w:spacing w:val="0"/>
                <w:sz w:val="18"/>
                <w:szCs w:val="18"/>
                <w:lang w:val="es-DO" w:eastAsia="es-DO"/>
              </w:rPr>
              <w:t>5</w:t>
            </w:r>
          </w:p>
        </w:tc>
        <w:tc>
          <w:tcPr>
            <w:tcW w:w="911" w:type="dxa"/>
            <w:tcBorders>
              <w:top w:val="single" w:sz="4" w:space="0" w:color="auto"/>
              <w:left w:val="nil"/>
              <w:bottom w:val="single" w:sz="4" w:space="0" w:color="auto"/>
              <w:right w:val="single" w:sz="4" w:space="0" w:color="auto"/>
            </w:tcBorders>
            <w:shd w:val="clear" w:color="auto" w:fill="002060"/>
            <w:vAlign w:val="center"/>
            <w:hideMark/>
          </w:tcPr>
          <w:p w14:paraId="7C493CA5"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Resultado 202</w:t>
            </w:r>
            <w:r>
              <w:rPr>
                <w:rFonts w:eastAsia="Times New Roman"/>
                <w:b/>
                <w:bCs/>
                <w:color w:val="FFFFFF"/>
                <w:spacing w:val="0"/>
                <w:sz w:val="18"/>
                <w:szCs w:val="18"/>
                <w:lang w:val="es-DO" w:eastAsia="es-DO"/>
              </w:rPr>
              <w:t>5</w:t>
            </w:r>
          </w:p>
        </w:tc>
        <w:tc>
          <w:tcPr>
            <w:tcW w:w="992" w:type="dxa"/>
            <w:tcBorders>
              <w:top w:val="single" w:sz="4" w:space="0" w:color="auto"/>
              <w:left w:val="nil"/>
              <w:bottom w:val="single" w:sz="4" w:space="0" w:color="auto"/>
              <w:right w:val="single" w:sz="4" w:space="0" w:color="auto"/>
            </w:tcBorders>
            <w:shd w:val="clear" w:color="auto" w:fill="002060"/>
            <w:vAlign w:val="center"/>
            <w:hideMark/>
          </w:tcPr>
          <w:p w14:paraId="20A87AC2" w14:textId="77777777" w:rsidR="00A24706" w:rsidRPr="00EB444A" w:rsidRDefault="00A24706" w:rsidP="00DC3589">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 xml:space="preserve">Porcentaje </w:t>
            </w:r>
            <w:r>
              <w:rPr>
                <w:rFonts w:eastAsia="Times New Roman"/>
                <w:b/>
                <w:bCs/>
                <w:color w:val="FFFFFF"/>
                <w:spacing w:val="0"/>
                <w:sz w:val="18"/>
                <w:szCs w:val="18"/>
                <w:lang w:val="es-DO" w:eastAsia="es-DO"/>
              </w:rPr>
              <w:t>d</w:t>
            </w:r>
            <w:r w:rsidRPr="00EB444A">
              <w:rPr>
                <w:rFonts w:eastAsia="Times New Roman"/>
                <w:b/>
                <w:bCs/>
                <w:color w:val="FFFFFF"/>
                <w:spacing w:val="0"/>
                <w:sz w:val="18"/>
                <w:szCs w:val="18"/>
                <w:lang w:val="es-DO" w:eastAsia="es-DO"/>
              </w:rPr>
              <w:t xml:space="preserve">e Avance </w:t>
            </w:r>
          </w:p>
        </w:tc>
      </w:tr>
      <w:tr w:rsidR="00A24706" w:rsidRPr="00EB444A" w14:paraId="202E2EE0" w14:textId="77777777" w:rsidTr="00DC3589">
        <w:trPr>
          <w:trHeight w:val="1331"/>
          <w:jc w:val="center"/>
        </w:trPr>
        <w:tc>
          <w:tcPr>
            <w:tcW w:w="405" w:type="dxa"/>
            <w:tcBorders>
              <w:top w:val="single" w:sz="4" w:space="0" w:color="auto"/>
              <w:left w:val="single" w:sz="4" w:space="0" w:color="auto"/>
              <w:bottom w:val="single" w:sz="4" w:space="0" w:color="auto"/>
              <w:right w:val="single" w:sz="4" w:space="0" w:color="auto"/>
            </w:tcBorders>
            <w:vAlign w:val="center"/>
            <w:hideMark/>
          </w:tcPr>
          <w:p w14:paraId="39FE316A"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1210" w:type="dxa"/>
            <w:tcBorders>
              <w:top w:val="single" w:sz="4" w:space="0" w:color="auto"/>
              <w:left w:val="nil"/>
              <w:bottom w:val="single" w:sz="4" w:space="0" w:color="auto"/>
              <w:right w:val="single" w:sz="4" w:space="0" w:color="auto"/>
            </w:tcBorders>
            <w:vAlign w:val="center"/>
            <w:hideMark/>
          </w:tcPr>
          <w:p w14:paraId="67BA8D8A"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Departamento de Proyectos Museográficos</w:t>
            </w:r>
          </w:p>
        </w:tc>
        <w:tc>
          <w:tcPr>
            <w:tcW w:w="1883" w:type="dxa"/>
            <w:tcBorders>
              <w:top w:val="single" w:sz="4" w:space="0" w:color="auto"/>
              <w:left w:val="nil"/>
              <w:bottom w:val="single" w:sz="4" w:space="0" w:color="auto"/>
              <w:right w:val="single" w:sz="4" w:space="0" w:color="auto"/>
            </w:tcBorders>
            <w:vAlign w:val="center"/>
            <w:hideMark/>
          </w:tcPr>
          <w:p w14:paraId="7AD4E5C2"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Habilitación de nuevos espacios museográficos y promoción de monumentos, sitios relativos al Patrimonio Cultural del país.</w:t>
            </w:r>
          </w:p>
        </w:tc>
        <w:tc>
          <w:tcPr>
            <w:tcW w:w="1520" w:type="dxa"/>
            <w:tcBorders>
              <w:top w:val="single" w:sz="4" w:space="0" w:color="auto"/>
              <w:left w:val="nil"/>
              <w:bottom w:val="single" w:sz="4" w:space="0" w:color="auto"/>
              <w:right w:val="single" w:sz="4" w:space="0" w:color="auto"/>
            </w:tcBorders>
            <w:vAlign w:val="center"/>
            <w:hideMark/>
          </w:tcPr>
          <w:p w14:paraId="547F42A1"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nuevos espacios museográficos habilitados</w:t>
            </w:r>
          </w:p>
        </w:tc>
        <w:tc>
          <w:tcPr>
            <w:tcW w:w="990" w:type="dxa"/>
            <w:tcBorders>
              <w:top w:val="single" w:sz="4" w:space="0" w:color="auto"/>
              <w:left w:val="nil"/>
              <w:bottom w:val="single" w:sz="4" w:space="0" w:color="auto"/>
              <w:right w:val="single" w:sz="4" w:space="0" w:color="auto"/>
            </w:tcBorders>
            <w:vAlign w:val="center"/>
            <w:hideMark/>
          </w:tcPr>
          <w:p w14:paraId="312BFDC5"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val="restart"/>
            <w:tcBorders>
              <w:top w:val="single" w:sz="4" w:space="0" w:color="auto"/>
              <w:left w:val="single" w:sz="4" w:space="0" w:color="auto"/>
              <w:bottom w:val="single" w:sz="4" w:space="0" w:color="auto"/>
              <w:right w:val="single" w:sz="4" w:space="0" w:color="auto"/>
            </w:tcBorders>
            <w:vAlign w:val="center"/>
            <w:hideMark/>
          </w:tcPr>
          <w:p w14:paraId="7FB33BE4"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La línea base para el PEI se tomó generalizada en función del indicador "número de visitas", conforme al reporte del año 2019</w:t>
            </w:r>
          </w:p>
        </w:tc>
        <w:tc>
          <w:tcPr>
            <w:tcW w:w="814" w:type="dxa"/>
            <w:tcBorders>
              <w:top w:val="single" w:sz="4" w:space="0" w:color="auto"/>
              <w:left w:val="nil"/>
              <w:bottom w:val="single" w:sz="4" w:space="0" w:color="auto"/>
              <w:right w:val="single" w:sz="4" w:space="0" w:color="auto"/>
            </w:tcBorders>
            <w:vAlign w:val="center"/>
            <w:hideMark/>
          </w:tcPr>
          <w:p w14:paraId="1A0D850E"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911" w:type="dxa"/>
            <w:tcBorders>
              <w:top w:val="single" w:sz="4" w:space="0" w:color="auto"/>
              <w:left w:val="nil"/>
              <w:bottom w:val="single" w:sz="4" w:space="0" w:color="auto"/>
              <w:right w:val="single" w:sz="4" w:space="0" w:color="auto"/>
            </w:tcBorders>
            <w:vAlign w:val="center"/>
            <w:hideMark/>
          </w:tcPr>
          <w:p w14:paraId="13B61ADE" w14:textId="77777777" w:rsidR="00A24706" w:rsidRPr="00355D52"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w:t>
            </w:r>
          </w:p>
        </w:tc>
        <w:tc>
          <w:tcPr>
            <w:tcW w:w="992" w:type="dxa"/>
            <w:tcBorders>
              <w:top w:val="single" w:sz="4" w:space="0" w:color="auto"/>
              <w:left w:val="nil"/>
              <w:bottom w:val="single" w:sz="4" w:space="0" w:color="auto"/>
              <w:right w:val="single" w:sz="4" w:space="0" w:color="auto"/>
            </w:tcBorders>
            <w:vAlign w:val="center"/>
            <w:hideMark/>
          </w:tcPr>
          <w:p w14:paraId="4C3173A4" w14:textId="77777777" w:rsidR="00A24706" w:rsidRPr="00355D52"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100</w:t>
            </w:r>
            <w:r w:rsidRPr="00355D52">
              <w:rPr>
                <w:rFonts w:eastAsia="Times New Roman"/>
                <w:spacing w:val="0"/>
                <w:sz w:val="18"/>
                <w:szCs w:val="18"/>
                <w:lang w:val="es-DO" w:eastAsia="es-DO"/>
              </w:rPr>
              <w:t>%</w:t>
            </w:r>
          </w:p>
        </w:tc>
      </w:tr>
      <w:tr w:rsidR="00A24706" w:rsidRPr="00EB444A" w14:paraId="3654F179" w14:textId="77777777" w:rsidTr="00DC3589">
        <w:trPr>
          <w:trHeight w:val="1520"/>
          <w:jc w:val="center"/>
        </w:trPr>
        <w:tc>
          <w:tcPr>
            <w:tcW w:w="405" w:type="dxa"/>
            <w:tcBorders>
              <w:top w:val="single" w:sz="4" w:space="0" w:color="auto"/>
              <w:left w:val="single" w:sz="4" w:space="0" w:color="auto"/>
              <w:bottom w:val="single" w:sz="4" w:space="0" w:color="auto"/>
              <w:right w:val="single" w:sz="4" w:space="0" w:color="auto"/>
            </w:tcBorders>
            <w:vAlign w:val="center"/>
            <w:hideMark/>
          </w:tcPr>
          <w:p w14:paraId="26C9081D"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2</w:t>
            </w:r>
          </w:p>
        </w:tc>
        <w:tc>
          <w:tcPr>
            <w:tcW w:w="1210" w:type="dxa"/>
            <w:tcBorders>
              <w:top w:val="single" w:sz="4" w:space="0" w:color="auto"/>
              <w:left w:val="nil"/>
              <w:bottom w:val="single" w:sz="4" w:space="0" w:color="auto"/>
              <w:right w:val="single" w:sz="4" w:space="0" w:color="auto"/>
            </w:tcBorders>
            <w:vAlign w:val="center"/>
            <w:hideMark/>
          </w:tcPr>
          <w:p w14:paraId="094917FB"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División Legal</w:t>
            </w:r>
          </w:p>
        </w:tc>
        <w:tc>
          <w:tcPr>
            <w:tcW w:w="1883" w:type="dxa"/>
            <w:tcBorders>
              <w:top w:val="single" w:sz="4" w:space="0" w:color="auto"/>
              <w:left w:val="nil"/>
              <w:bottom w:val="single" w:sz="4" w:space="0" w:color="auto"/>
              <w:right w:val="single" w:sz="4" w:space="0" w:color="auto"/>
            </w:tcBorders>
            <w:vAlign w:val="center"/>
            <w:hideMark/>
          </w:tcPr>
          <w:p w14:paraId="5429AAAF"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Establecimiento de acuerdos interinstitucionales para promover las visitas de turistas y estudiantes a monumentos, sitios y museos del PCM</w:t>
            </w:r>
          </w:p>
        </w:tc>
        <w:tc>
          <w:tcPr>
            <w:tcW w:w="1520" w:type="dxa"/>
            <w:tcBorders>
              <w:top w:val="single" w:sz="4" w:space="0" w:color="auto"/>
              <w:left w:val="nil"/>
              <w:bottom w:val="single" w:sz="4" w:space="0" w:color="auto"/>
              <w:right w:val="single" w:sz="4" w:space="0" w:color="auto"/>
            </w:tcBorders>
            <w:vAlign w:val="center"/>
            <w:hideMark/>
          </w:tcPr>
          <w:p w14:paraId="5D85E5BF"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Acuerdos Interinstitucionales realizados</w:t>
            </w:r>
          </w:p>
        </w:tc>
        <w:tc>
          <w:tcPr>
            <w:tcW w:w="990" w:type="dxa"/>
            <w:tcBorders>
              <w:top w:val="single" w:sz="4" w:space="0" w:color="auto"/>
              <w:left w:val="nil"/>
              <w:bottom w:val="single" w:sz="4" w:space="0" w:color="auto"/>
              <w:right w:val="single" w:sz="4" w:space="0" w:color="auto"/>
            </w:tcBorders>
            <w:vAlign w:val="center"/>
            <w:hideMark/>
          </w:tcPr>
          <w:p w14:paraId="74CBB8FC"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46848B44" w14:textId="77777777" w:rsidR="00A24706" w:rsidRPr="00355D52" w:rsidRDefault="00A24706" w:rsidP="00DC3589">
            <w:pPr>
              <w:spacing w:after="0" w:line="240" w:lineRule="auto"/>
              <w:rPr>
                <w:rFonts w:eastAsia="Times New Roman"/>
                <w:spacing w:val="0"/>
                <w:sz w:val="18"/>
                <w:szCs w:val="18"/>
                <w:lang w:val="es-DO" w:eastAsia="es-DO"/>
              </w:rPr>
            </w:pPr>
          </w:p>
        </w:tc>
        <w:tc>
          <w:tcPr>
            <w:tcW w:w="814" w:type="dxa"/>
            <w:tcBorders>
              <w:top w:val="single" w:sz="4" w:space="0" w:color="auto"/>
              <w:left w:val="nil"/>
              <w:bottom w:val="single" w:sz="4" w:space="0" w:color="auto"/>
              <w:right w:val="single" w:sz="4" w:space="0" w:color="auto"/>
            </w:tcBorders>
            <w:vAlign w:val="center"/>
            <w:hideMark/>
          </w:tcPr>
          <w:p w14:paraId="65DF82F2"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0</w:t>
            </w:r>
          </w:p>
        </w:tc>
        <w:tc>
          <w:tcPr>
            <w:tcW w:w="911" w:type="dxa"/>
            <w:tcBorders>
              <w:top w:val="single" w:sz="4" w:space="0" w:color="auto"/>
              <w:left w:val="nil"/>
              <w:bottom w:val="single" w:sz="4" w:space="0" w:color="auto"/>
              <w:right w:val="single" w:sz="4" w:space="0" w:color="auto"/>
            </w:tcBorders>
            <w:vAlign w:val="center"/>
            <w:hideMark/>
          </w:tcPr>
          <w:p w14:paraId="4AAF768C"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w:t>
            </w:r>
          </w:p>
        </w:tc>
        <w:tc>
          <w:tcPr>
            <w:tcW w:w="992" w:type="dxa"/>
            <w:tcBorders>
              <w:top w:val="single" w:sz="4" w:space="0" w:color="auto"/>
              <w:left w:val="nil"/>
              <w:bottom w:val="single" w:sz="4" w:space="0" w:color="auto"/>
              <w:right w:val="single" w:sz="4" w:space="0" w:color="auto"/>
            </w:tcBorders>
            <w:vAlign w:val="center"/>
            <w:hideMark/>
          </w:tcPr>
          <w:p w14:paraId="4863C3A2"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400%</w:t>
            </w:r>
          </w:p>
        </w:tc>
      </w:tr>
      <w:tr w:rsidR="00A24706" w:rsidRPr="00EB444A" w14:paraId="4BCF1B16" w14:textId="77777777" w:rsidTr="00DC3589">
        <w:trPr>
          <w:trHeight w:val="947"/>
          <w:jc w:val="center"/>
        </w:trPr>
        <w:tc>
          <w:tcPr>
            <w:tcW w:w="405" w:type="dxa"/>
            <w:tcBorders>
              <w:top w:val="single" w:sz="4" w:space="0" w:color="auto"/>
              <w:left w:val="single" w:sz="4" w:space="0" w:color="auto"/>
              <w:bottom w:val="single" w:sz="4" w:space="0" w:color="auto"/>
              <w:right w:val="single" w:sz="4" w:space="0" w:color="auto"/>
            </w:tcBorders>
            <w:vAlign w:val="center"/>
            <w:hideMark/>
          </w:tcPr>
          <w:p w14:paraId="73C07DB4"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3</w:t>
            </w:r>
          </w:p>
        </w:tc>
        <w:tc>
          <w:tcPr>
            <w:tcW w:w="1210" w:type="dxa"/>
            <w:tcBorders>
              <w:top w:val="single" w:sz="4" w:space="0" w:color="auto"/>
              <w:left w:val="nil"/>
              <w:bottom w:val="single" w:sz="4" w:space="0" w:color="auto"/>
              <w:right w:val="single" w:sz="4" w:space="0" w:color="auto"/>
            </w:tcBorders>
            <w:vAlign w:val="center"/>
            <w:hideMark/>
          </w:tcPr>
          <w:p w14:paraId="3AA35EEC" w14:textId="77777777" w:rsidR="00A24706" w:rsidRPr="00355D52"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 xml:space="preserve">Despacho </w:t>
            </w:r>
            <w:proofErr w:type="gramStart"/>
            <w:r>
              <w:rPr>
                <w:rFonts w:eastAsia="Times New Roman"/>
                <w:spacing w:val="0"/>
                <w:sz w:val="18"/>
                <w:szCs w:val="18"/>
                <w:lang w:val="es-DO" w:eastAsia="es-DO"/>
              </w:rPr>
              <w:t>Director General</w:t>
            </w:r>
            <w:proofErr w:type="gramEnd"/>
          </w:p>
        </w:tc>
        <w:tc>
          <w:tcPr>
            <w:tcW w:w="1883" w:type="dxa"/>
            <w:tcBorders>
              <w:top w:val="single" w:sz="4" w:space="0" w:color="auto"/>
              <w:left w:val="nil"/>
              <w:bottom w:val="single" w:sz="4" w:space="0" w:color="auto"/>
              <w:right w:val="single" w:sz="4" w:space="0" w:color="auto"/>
            </w:tcBorders>
            <w:vAlign w:val="center"/>
            <w:hideMark/>
          </w:tcPr>
          <w:p w14:paraId="287D5961"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Noche Larga de los Museos</w:t>
            </w:r>
          </w:p>
        </w:tc>
        <w:tc>
          <w:tcPr>
            <w:tcW w:w="1520" w:type="dxa"/>
            <w:tcBorders>
              <w:top w:val="single" w:sz="4" w:space="0" w:color="auto"/>
              <w:left w:val="nil"/>
              <w:bottom w:val="single" w:sz="4" w:space="0" w:color="auto"/>
              <w:right w:val="single" w:sz="4" w:space="0" w:color="auto"/>
            </w:tcBorders>
            <w:vAlign w:val="center"/>
            <w:hideMark/>
          </w:tcPr>
          <w:p w14:paraId="6BDAA950"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personas impactadas</w:t>
            </w:r>
          </w:p>
        </w:tc>
        <w:tc>
          <w:tcPr>
            <w:tcW w:w="990" w:type="dxa"/>
            <w:tcBorders>
              <w:top w:val="single" w:sz="4" w:space="0" w:color="auto"/>
              <w:left w:val="nil"/>
              <w:bottom w:val="single" w:sz="4" w:space="0" w:color="auto"/>
              <w:right w:val="single" w:sz="4" w:space="0" w:color="auto"/>
            </w:tcBorders>
            <w:vAlign w:val="center"/>
            <w:hideMark/>
          </w:tcPr>
          <w:p w14:paraId="3E9E626A"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5D325C31" w14:textId="77777777" w:rsidR="00A24706" w:rsidRPr="00355D52" w:rsidRDefault="00A24706" w:rsidP="00DC3589">
            <w:pPr>
              <w:spacing w:after="0" w:line="240" w:lineRule="auto"/>
              <w:rPr>
                <w:rFonts w:eastAsia="Times New Roman"/>
                <w:spacing w:val="0"/>
                <w:sz w:val="18"/>
                <w:szCs w:val="18"/>
                <w:lang w:val="es-DO" w:eastAsia="es-DO"/>
              </w:rPr>
            </w:pPr>
          </w:p>
        </w:tc>
        <w:tc>
          <w:tcPr>
            <w:tcW w:w="814" w:type="dxa"/>
            <w:tcBorders>
              <w:top w:val="single" w:sz="4" w:space="0" w:color="auto"/>
              <w:left w:val="nil"/>
              <w:bottom w:val="single" w:sz="4" w:space="0" w:color="auto"/>
              <w:right w:val="single" w:sz="4" w:space="0" w:color="auto"/>
            </w:tcBorders>
            <w:vAlign w:val="center"/>
            <w:hideMark/>
          </w:tcPr>
          <w:p w14:paraId="70079BEA"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18,000</w:t>
            </w:r>
          </w:p>
        </w:tc>
        <w:tc>
          <w:tcPr>
            <w:tcW w:w="911" w:type="dxa"/>
            <w:tcBorders>
              <w:top w:val="single" w:sz="4" w:space="0" w:color="auto"/>
              <w:left w:val="nil"/>
              <w:bottom w:val="single" w:sz="4" w:space="0" w:color="auto"/>
              <w:right w:val="single" w:sz="4" w:space="0" w:color="auto"/>
            </w:tcBorders>
            <w:vAlign w:val="center"/>
            <w:hideMark/>
          </w:tcPr>
          <w:p w14:paraId="6EF55139" w14:textId="77777777" w:rsidR="00A24706" w:rsidRPr="00355D52"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23.392</w:t>
            </w:r>
          </w:p>
        </w:tc>
        <w:tc>
          <w:tcPr>
            <w:tcW w:w="992" w:type="dxa"/>
            <w:tcBorders>
              <w:top w:val="single" w:sz="4" w:space="0" w:color="auto"/>
              <w:left w:val="nil"/>
              <w:bottom w:val="single" w:sz="4" w:space="0" w:color="auto"/>
              <w:right w:val="single" w:sz="4" w:space="0" w:color="auto"/>
            </w:tcBorders>
            <w:vAlign w:val="center"/>
            <w:hideMark/>
          </w:tcPr>
          <w:p w14:paraId="5439E33A" w14:textId="77777777" w:rsidR="00A24706" w:rsidRPr="00355D52" w:rsidRDefault="00A24706" w:rsidP="00DC3589">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130</w:t>
            </w:r>
            <w:r w:rsidRPr="00355D52">
              <w:rPr>
                <w:rFonts w:eastAsia="Times New Roman"/>
                <w:spacing w:val="0"/>
                <w:sz w:val="18"/>
                <w:szCs w:val="18"/>
                <w:lang w:val="es-DO" w:eastAsia="es-DO"/>
              </w:rPr>
              <w:t>%</w:t>
            </w:r>
          </w:p>
        </w:tc>
      </w:tr>
      <w:tr w:rsidR="00A24706" w:rsidRPr="00EB444A" w14:paraId="18181078" w14:textId="77777777" w:rsidTr="00DC3589">
        <w:trPr>
          <w:trHeight w:val="584"/>
          <w:jc w:val="center"/>
        </w:trPr>
        <w:tc>
          <w:tcPr>
            <w:tcW w:w="405" w:type="dxa"/>
            <w:tcBorders>
              <w:top w:val="single" w:sz="4" w:space="0" w:color="auto"/>
              <w:left w:val="single" w:sz="4" w:space="0" w:color="auto"/>
              <w:bottom w:val="single" w:sz="4" w:space="0" w:color="auto"/>
              <w:right w:val="single" w:sz="4" w:space="0" w:color="auto"/>
            </w:tcBorders>
            <w:vAlign w:val="center"/>
            <w:hideMark/>
          </w:tcPr>
          <w:p w14:paraId="634EEDDC"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w:t>
            </w:r>
          </w:p>
        </w:tc>
        <w:tc>
          <w:tcPr>
            <w:tcW w:w="1210" w:type="dxa"/>
            <w:tcBorders>
              <w:top w:val="single" w:sz="4" w:space="0" w:color="auto"/>
              <w:left w:val="nil"/>
              <w:bottom w:val="single" w:sz="4" w:space="0" w:color="auto"/>
              <w:right w:val="single" w:sz="4" w:space="0" w:color="auto"/>
            </w:tcBorders>
            <w:vAlign w:val="center"/>
            <w:hideMark/>
          </w:tcPr>
          <w:p w14:paraId="66080D13"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Museo de Arte Moderno</w:t>
            </w:r>
          </w:p>
        </w:tc>
        <w:tc>
          <w:tcPr>
            <w:tcW w:w="1883" w:type="dxa"/>
            <w:tcBorders>
              <w:top w:val="single" w:sz="4" w:space="0" w:color="auto"/>
              <w:left w:val="nil"/>
              <w:bottom w:val="single" w:sz="4" w:space="0" w:color="auto"/>
              <w:right w:val="single" w:sz="4" w:space="0" w:color="auto"/>
            </w:tcBorders>
            <w:vAlign w:val="center"/>
            <w:hideMark/>
          </w:tcPr>
          <w:p w14:paraId="5DEA9147"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Exposición Colección Permanente del MAM</w:t>
            </w:r>
          </w:p>
        </w:tc>
        <w:tc>
          <w:tcPr>
            <w:tcW w:w="1520" w:type="dxa"/>
            <w:tcBorders>
              <w:top w:val="single" w:sz="4" w:space="0" w:color="auto"/>
              <w:left w:val="nil"/>
              <w:bottom w:val="single" w:sz="4" w:space="0" w:color="auto"/>
              <w:right w:val="single" w:sz="4" w:space="0" w:color="auto"/>
            </w:tcBorders>
            <w:vAlign w:val="center"/>
            <w:hideMark/>
          </w:tcPr>
          <w:p w14:paraId="0AD448E8"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 xml:space="preserve">Cantidad promedio de exposiciones </w:t>
            </w:r>
          </w:p>
        </w:tc>
        <w:tc>
          <w:tcPr>
            <w:tcW w:w="990" w:type="dxa"/>
            <w:tcBorders>
              <w:top w:val="single" w:sz="4" w:space="0" w:color="auto"/>
              <w:left w:val="nil"/>
              <w:bottom w:val="single" w:sz="4" w:space="0" w:color="auto"/>
              <w:right w:val="single" w:sz="4" w:space="0" w:color="auto"/>
            </w:tcBorders>
            <w:vAlign w:val="center"/>
            <w:hideMark/>
          </w:tcPr>
          <w:p w14:paraId="0CFDA647"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79E0BBE5" w14:textId="77777777" w:rsidR="00A24706" w:rsidRPr="00355D52" w:rsidRDefault="00A24706" w:rsidP="00DC3589">
            <w:pPr>
              <w:spacing w:after="0" w:line="240" w:lineRule="auto"/>
              <w:rPr>
                <w:rFonts w:eastAsia="Times New Roman"/>
                <w:spacing w:val="0"/>
                <w:sz w:val="18"/>
                <w:szCs w:val="18"/>
                <w:lang w:val="es-DO" w:eastAsia="es-DO"/>
              </w:rPr>
            </w:pPr>
          </w:p>
        </w:tc>
        <w:tc>
          <w:tcPr>
            <w:tcW w:w="814" w:type="dxa"/>
            <w:tcBorders>
              <w:top w:val="single" w:sz="4" w:space="0" w:color="auto"/>
              <w:left w:val="nil"/>
              <w:bottom w:val="single" w:sz="4" w:space="0" w:color="auto"/>
              <w:right w:val="single" w:sz="4" w:space="0" w:color="auto"/>
            </w:tcBorders>
            <w:vAlign w:val="center"/>
            <w:hideMark/>
          </w:tcPr>
          <w:p w14:paraId="3D9532AF"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911" w:type="dxa"/>
            <w:tcBorders>
              <w:top w:val="single" w:sz="4" w:space="0" w:color="auto"/>
              <w:left w:val="nil"/>
              <w:bottom w:val="single" w:sz="4" w:space="0" w:color="auto"/>
              <w:right w:val="single" w:sz="4" w:space="0" w:color="auto"/>
            </w:tcBorders>
            <w:vAlign w:val="center"/>
            <w:hideMark/>
          </w:tcPr>
          <w:p w14:paraId="1FC62C08"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992" w:type="dxa"/>
            <w:tcBorders>
              <w:top w:val="single" w:sz="4" w:space="0" w:color="auto"/>
              <w:left w:val="nil"/>
              <w:bottom w:val="single" w:sz="4" w:space="0" w:color="auto"/>
              <w:right w:val="single" w:sz="4" w:space="0" w:color="auto"/>
            </w:tcBorders>
            <w:vAlign w:val="center"/>
            <w:hideMark/>
          </w:tcPr>
          <w:p w14:paraId="1093FB30"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100%</w:t>
            </w:r>
          </w:p>
        </w:tc>
      </w:tr>
      <w:tr w:rsidR="00A24706" w:rsidRPr="00EB444A" w14:paraId="72304273" w14:textId="77777777" w:rsidTr="00DC3589">
        <w:trPr>
          <w:trHeight w:val="584"/>
          <w:jc w:val="center"/>
        </w:trPr>
        <w:tc>
          <w:tcPr>
            <w:tcW w:w="405" w:type="dxa"/>
            <w:tcBorders>
              <w:top w:val="nil"/>
              <w:left w:val="single" w:sz="4" w:space="0" w:color="auto"/>
              <w:bottom w:val="single" w:sz="4" w:space="0" w:color="auto"/>
              <w:right w:val="single" w:sz="4" w:space="0" w:color="auto"/>
            </w:tcBorders>
            <w:vAlign w:val="center"/>
            <w:hideMark/>
          </w:tcPr>
          <w:p w14:paraId="6E3C8FA0"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5</w:t>
            </w:r>
          </w:p>
        </w:tc>
        <w:tc>
          <w:tcPr>
            <w:tcW w:w="1210" w:type="dxa"/>
            <w:tcBorders>
              <w:top w:val="nil"/>
              <w:left w:val="nil"/>
              <w:bottom w:val="single" w:sz="4" w:space="0" w:color="auto"/>
              <w:right w:val="single" w:sz="4" w:space="0" w:color="auto"/>
            </w:tcBorders>
            <w:vAlign w:val="center"/>
            <w:hideMark/>
          </w:tcPr>
          <w:p w14:paraId="245EEAA2"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Departamento de Recursos Humanos</w:t>
            </w:r>
          </w:p>
        </w:tc>
        <w:tc>
          <w:tcPr>
            <w:tcW w:w="1883" w:type="dxa"/>
            <w:tcBorders>
              <w:top w:val="nil"/>
              <w:left w:val="nil"/>
              <w:bottom w:val="single" w:sz="4" w:space="0" w:color="auto"/>
              <w:right w:val="single" w:sz="4" w:space="0" w:color="auto"/>
            </w:tcBorders>
            <w:vAlign w:val="center"/>
            <w:hideMark/>
          </w:tcPr>
          <w:p w14:paraId="685C05EA"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Personal Capacitado</w:t>
            </w:r>
          </w:p>
        </w:tc>
        <w:tc>
          <w:tcPr>
            <w:tcW w:w="1520" w:type="dxa"/>
            <w:tcBorders>
              <w:top w:val="nil"/>
              <w:left w:val="nil"/>
              <w:bottom w:val="single" w:sz="4" w:space="0" w:color="auto"/>
              <w:right w:val="single" w:sz="4" w:space="0" w:color="auto"/>
            </w:tcBorders>
            <w:vAlign w:val="center"/>
            <w:hideMark/>
          </w:tcPr>
          <w:p w14:paraId="2D5BE3A3"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 xml:space="preserve">Cantidad de colaboradores capacitados </w:t>
            </w:r>
          </w:p>
        </w:tc>
        <w:tc>
          <w:tcPr>
            <w:tcW w:w="990" w:type="dxa"/>
            <w:tcBorders>
              <w:top w:val="nil"/>
              <w:left w:val="nil"/>
              <w:bottom w:val="single" w:sz="4" w:space="0" w:color="auto"/>
              <w:right w:val="single" w:sz="4" w:space="0" w:color="auto"/>
            </w:tcBorders>
            <w:vAlign w:val="center"/>
            <w:hideMark/>
          </w:tcPr>
          <w:p w14:paraId="3938A0D5"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tcBorders>
              <w:top w:val="single" w:sz="4" w:space="0" w:color="auto"/>
              <w:left w:val="nil"/>
              <w:bottom w:val="single" w:sz="4" w:space="0" w:color="auto"/>
              <w:right w:val="nil"/>
            </w:tcBorders>
            <w:vAlign w:val="center"/>
            <w:hideMark/>
          </w:tcPr>
          <w:p w14:paraId="4C7EE332"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No levantada</w:t>
            </w:r>
          </w:p>
        </w:tc>
        <w:tc>
          <w:tcPr>
            <w:tcW w:w="814" w:type="dxa"/>
            <w:tcBorders>
              <w:top w:val="single" w:sz="4" w:space="0" w:color="auto"/>
              <w:left w:val="single" w:sz="4" w:space="0" w:color="auto"/>
              <w:bottom w:val="single" w:sz="4" w:space="0" w:color="auto"/>
              <w:right w:val="single" w:sz="4" w:space="0" w:color="auto"/>
            </w:tcBorders>
            <w:vAlign w:val="center"/>
          </w:tcPr>
          <w:p w14:paraId="3ADECA82"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350</w:t>
            </w:r>
          </w:p>
        </w:tc>
        <w:tc>
          <w:tcPr>
            <w:tcW w:w="911" w:type="dxa"/>
            <w:tcBorders>
              <w:top w:val="single" w:sz="4" w:space="0" w:color="auto"/>
              <w:left w:val="nil"/>
              <w:bottom w:val="single" w:sz="4" w:space="0" w:color="auto"/>
              <w:right w:val="single" w:sz="4" w:space="0" w:color="auto"/>
            </w:tcBorders>
            <w:vAlign w:val="center"/>
          </w:tcPr>
          <w:p w14:paraId="100BB2CC"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410</w:t>
            </w:r>
          </w:p>
        </w:tc>
        <w:tc>
          <w:tcPr>
            <w:tcW w:w="992" w:type="dxa"/>
            <w:tcBorders>
              <w:top w:val="single" w:sz="4" w:space="0" w:color="auto"/>
              <w:left w:val="nil"/>
              <w:bottom w:val="single" w:sz="4" w:space="0" w:color="auto"/>
              <w:right w:val="single" w:sz="4" w:space="0" w:color="auto"/>
            </w:tcBorders>
            <w:vAlign w:val="center"/>
            <w:hideMark/>
          </w:tcPr>
          <w:p w14:paraId="2BD70039"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117%</w:t>
            </w:r>
          </w:p>
        </w:tc>
      </w:tr>
      <w:tr w:rsidR="00A24706" w:rsidRPr="00EB444A" w14:paraId="1A57BAD9" w14:textId="77777777" w:rsidTr="00DC3589">
        <w:trPr>
          <w:trHeight w:val="404"/>
          <w:jc w:val="center"/>
        </w:trPr>
        <w:tc>
          <w:tcPr>
            <w:tcW w:w="405" w:type="dxa"/>
            <w:tcBorders>
              <w:top w:val="nil"/>
              <w:left w:val="single" w:sz="4" w:space="0" w:color="auto"/>
              <w:bottom w:val="single" w:sz="4" w:space="0" w:color="auto"/>
              <w:right w:val="single" w:sz="4" w:space="0" w:color="auto"/>
            </w:tcBorders>
            <w:vAlign w:val="center"/>
            <w:hideMark/>
          </w:tcPr>
          <w:p w14:paraId="40723B60"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6</w:t>
            </w:r>
          </w:p>
        </w:tc>
        <w:tc>
          <w:tcPr>
            <w:tcW w:w="1210" w:type="dxa"/>
            <w:tcBorders>
              <w:top w:val="nil"/>
              <w:left w:val="nil"/>
              <w:bottom w:val="single" w:sz="4" w:space="0" w:color="auto"/>
              <w:right w:val="single" w:sz="4" w:space="0" w:color="auto"/>
            </w:tcBorders>
            <w:vAlign w:val="center"/>
            <w:hideMark/>
          </w:tcPr>
          <w:p w14:paraId="795CA69E"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Museos</w:t>
            </w:r>
          </w:p>
        </w:tc>
        <w:tc>
          <w:tcPr>
            <w:tcW w:w="1883" w:type="dxa"/>
            <w:tcBorders>
              <w:top w:val="nil"/>
              <w:left w:val="nil"/>
              <w:bottom w:val="single" w:sz="4" w:space="0" w:color="auto"/>
              <w:right w:val="single" w:sz="4" w:space="0" w:color="auto"/>
            </w:tcBorders>
            <w:vAlign w:val="center"/>
            <w:hideMark/>
          </w:tcPr>
          <w:p w14:paraId="7270E5F2"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Actividades Educativas de Difusión Cultural</w:t>
            </w:r>
          </w:p>
        </w:tc>
        <w:tc>
          <w:tcPr>
            <w:tcW w:w="1520" w:type="dxa"/>
            <w:tcBorders>
              <w:top w:val="nil"/>
              <w:left w:val="nil"/>
              <w:bottom w:val="single" w:sz="4" w:space="0" w:color="auto"/>
              <w:right w:val="single" w:sz="4" w:space="0" w:color="auto"/>
            </w:tcBorders>
            <w:vAlign w:val="center"/>
            <w:hideMark/>
          </w:tcPr>
          <w:p w14:paraId="70325A24"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Actividades</w:t>
            </w:r>
          </w:p>
        </w:tc>
        <w:tc>
          <w:tcPr>
            <w:tcW w:w="990" w:type="dxa"/>
            <w:tcBorders>
              <w:top w:val="nil"/>
              <w:left w:val="nil"/>
              <w:bottom w:val="single" w:sz="4" w:space="0" w:color="auto"/>
              <w:right w:val="single" w:sz="4" w:space="0" w:color="auto"/>
            </w:tcBorders>
            <w:vAlign w:val="center"/>
            <w:hideMark/>
          </w:tcPr>
          <w:p w14:paraId="56B90034"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tcBorders>
              <w:top w:val="nil"/>
              <w:left w:val="nil"/>
              <w:bottom w:val="single" w:sz="4" w:space="0" w:color="auto"/>
              <w:right w:val="single" w:sz="4" w:space="0" w:color="auto"/>
            </w:tcBorders>
            <w:vAlign w:val="center"/>
            <w:hideMark/>
          </w:tcPr>
          <w:p w14:paraId="12499EBD"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No levantada</w:t>
            </w:r>
          </w:p>
        </w:tc>
        <w:tc>
          <w:tcPr>
            <w:tcW w:w="814" w:type="dxa"/>
            <w:tcBorders>
              <w:top w:val="nil"/>
              <w:left w:val="nil"/>
              <w:bottom w:val="single" w:sz="4" w:space="0" w:color="auto"/>
              <w:right w:val="single" w:sz="4" w:space="0" w:color="auto"/>
            </w:tcBorders>
            <w:vAlign w:val="center"/>
          </w:tcPr>
          <w:p w14:paraId="2D5B75F4"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125</w:t>
            </w:r>
          </w:p>
        </w:tc>
        <w:tc>
          <w:tcPr>
            <w:tcW w:w="911" w:type="dxa"/>
            <w:tcBorders>
              <w:top w:val="nil"/>
              <w:left w:val="nil"/>
              <w:bottom w:val="single" w:sz="4" w:space="0" w:color="auto"/>
              <w:right w:val="single" w:sz="4" w:space="0" w:color="auto"/>
            </w:tcBorders>
            <w:vAlign w:val="center"/>
          </w:tcPr>
          <w:p w14:paraId="28C8DB72"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114</w:t>
            </w:r>
          </w:p>
        </w:tc>
        <w:tc>
          <w:tcPr>
            <w:tcW w:w="992" w:type="dxa"/>
            <w:tcBorders>
              <w:top w:val="nil"/>
              <w:left w:val="nil"/>
              <w:bottom w:val="single" w:sz="4" w:space="0" w:color="auto"/>
              <w:right w:val="single" w:sz="4" w:space="0" w:color="auto"/>
            </w:tcBorders>
            <w:vAlign w:val="center"/>
            <w:hideMark/>
          </w:tcPr>
          <w:p w14:paraId="3C977B08"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92%</w:t>
            </w:r>
          </w:p>
        </w:tc>
      </w:tr>
      <w:tr w:rsidR="00A24706" w:rsidRPr="00EB444A" w14:paraId="6863972D" w14:textId="77777777" w:rsidTr="00DC3589">
        <w:trPr>
          <w:trHeight w:val="350"/>
          <w:jc w:val="center"/>
        </w:trPr>
        <w:tc>
          <w:tcPr>
            <w:tcW w:w="405" w:type="dxa"/>
            <w:tcBorders>
              <w:top w:val="nil"/>
              <w:left w:val="single" w:sz="4" w:space="0" w:color="auto"/>
              <w:bottom w:val="single" w:sz="4" w:space="0" w:color="auto"/>
              <w:right w:val="single" w:sz="4" w:space="0" w:color="auto"/>
            </w:tcBorders>
            <w:vAlign w:val="center"/>
            <w:hideMark/>
          </w:tcPr>
          <w:p w14:paraId="32A7E19D"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7</w:t>
            </w:r>
          </w:p>
        </w:tc>
        <w:tc>
          <w:tcPr>
            <w:tcW w:w="1210" w:type="dxa"/>
            <w:tcBorders>
              <w:top w:val="nil"/>
              <w:left w:val="nil"/>
              <w:bottom w:val="single" w:sz="4" w:space="0" w:color="auto"/>
              <w:right w:val="single" w:sz="4" w:space="0" w:color="auto"/>
            </w:tcBorders>
            <w:vAlign w:val="center"/>
            <w:hideMark/>
          </w:tcPr>
          <w:p w14:paraId="6D870226"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Museos</w:t>
            </w:r>
          </w:p>
        </w:tc>
        <w:tc>
          <w:tcPr>
            <w:tcW w:w="1883" w:type="dxa"/>
            <w:tcBorders>
              <w:top w:val="nil"/>
              <w:left w:val="nil"/>
              <w:bottom w:val="single" w:sz="4" w:space="0" w:color="auto"/>
              <w:right w:val="single" w:sz="4" w:space="0" w:color="auto"/>
            </w:tcBorders>
            <w:vAlign w:val="center"/>
            <w:hideMark/>
          </w:tcPr>
          <w:p w14:paraId="6F6A5BE5"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Exposiciones Temporales</w:t>
            </w:r>
          </w:p>
        </w:tc>
        <w:tc>
          <w:tcPr>
            <w:tcW w:w="1520" w:type="dxa"/>
            <w:tcBorders>
              <w:top w:val="nil"/>
              <w:left w:val="nil"/>
              <w:bottom w:val="single" w:sz="4" w:space="0" w:color="auto"/>
              <w:right w:val="single" w:sz="4" w:space="0" w:color="auto"/>
            </w:tcBorders>
            <w:vAlign w:val="center"/>
            <w:hideMark/>
          </w:tcPr>
          <w:p w14:paraId="5E545634"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Exposiciones</w:t>
            </w:r>
          </w:p>
        </w:tc>
        <w:tc>
          <w:tcPr>
            <w:tcW w:w="990" w:type="dxa"/>
            <w:tcBorders>
              <w:top w:val="nil"/>
              <w:left w:val="nil"/>
              <w:bottom w:val="single" w:sz="4" w:space="0" w:color="auto"/>
              <w:right w:val="single" w:sz="4" w:space="0" w:color="auto"/>
            </w:tcBorders>
            <w:vAlign w:val="center"/>
            <w:hideMark/>
          </w:tcPr>
          <w:p w14:paraId="647BE606"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tcBorders>
              <w:top w:val="nil"/>
              <w:left w:val="nil"/>
              <w:bottom w:val="single" w:sz="4" w:space="0" w:color="auto"/>
              <w:right w:val="single" w:sz="4" w:space="0" w:color="auto"/>
            </w:tcBorders>
            <w:vAlign w:val="center"/>
            <w:hideMark/>
          </w:tcPr>
          <w:p w14:paraId="00346BEB"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No levantada</w:t>
            </w:r>
          </w:p>
        </w:tc>
        <w:tc>
          <w:tcPr>
            <w:tcW w:w="814" w:type="dxa"/>
            <w:tcBorders>
              <w:top w:val="nil"/>
              <w:left w:val="nil"/>
              <w:bottom w:val="single" w:sz="4" w:space="0" w:color="auto"/>
              <w:right w:val="single" w:sz="4" w:space="0" w:color="auto"/>
            </w:tcBorders>
            <w:vAlign w:val="center"/>
          </w:tcPr>
          <w:p w14:paraId="761CD3E2"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40</w:t>
            </w:r>
          </w:p>
        </w:tc>
        <w:tc>
          <w:tcPr>
            <w:tcW w:w="911" w:type="dxa"/>
            <w:tcBorders>
              <w:top w:val="nil"/>
              <w:left w:val="nil"/>
              <w:bottom w:val="single" w:sz="4" w:space="0" w:color="auto"/>
              <w:right w:val="single" w:sz="4" w:space="0" w:color="auto"/>
            </w:tcBorders>
            <w:vAlign w:val="center"/>
          </w:tcPr>
          <w:p w14:paraId="4AF98A2D"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46</w:t>
            </w:r>
          </w:p>
        </w:tc>
        <w:tc>
          <w:tcPr>
            <w:tcW w:w="992" w:type="dxa"/>
            <w:tcBorders>
              <w:top w:val="nil"/>
              <w:left w:val="nil"/>
              <w:bottom w:val="single" w:sz="4" w:space="0" w:color="auto"/>
              <w:right w:val="single" w:sz="4" w:space="0" w:color="auto"/>
            </w:tcBorders>
            <w:vAlign w:val="center"/>
            <w:hideMark/>
          </w:tcPr>
          <w:p w14:paraId="6236B8FC" w14:textId="77777777" w:rsidR="00A24706" w:rsidRPr="00355D52" w:rsidRDefault="00A24706" w:rsidP="00DC3589">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115%</w:t>
            </w:r>
          </w:p>
        </w:tc>
      </w:tr>
      <w:tr w:rsidR="00A24706" w:rsidRPr="00EB444A" w14:paraId="037F5B4C" w14:textId="77777777" w:rsidTr="00DC3589">
        <w:trPr>
          <w:trHeight w:val="312"/>
          <w:jc w:val="center"/>
        </w:trPr>
        <w:tc>
          <w:tcPr>
            <w:tcW w:w="9966" w:type="dxa"/>
            <w:gridSpan w:val="9"/>
            <w:tcBorders>
              <w:top w:val="single" w:sz="4" w:space="0" w:color="auto"/>
              <w:left w:val="single" w:sz="4" w:space="0" w:color="auto"/>
              <w:bottom w:val="nil"/>
              <w:right w:val="single" w:sz="4" w:space="0" w:color="auto"/>
            </w:tcBorders>
            <w:vAlign w:val="center"/>
            <w:hideMark/>
          </w:tcPr>
          <w:p w14:paraId="4FAB8E4F" w14:textId="77777777" w:rsidR="00A24706" w:rsidRPr="00355D52" w:rsidRDefault="00A24706" w:rsidP="00DC3589">
            <w:pPr>
              <w:spacing w:after="0" w:line="240" w:lineRule="auto"/>
              <w:rPr>
                <w:rFonts w:eastAsia="Times New Roman"/>
                <w:b/>
                <w:bCs/>
                <w:spacing w:val="0"/>
                <w:sz w:val="18"/>
                <w:szCs w:val="18"/>
                <w:lang w:val="es-DO" w:eastAsia="es-DO"/>
              </w:rPr>
            </w:pPr>
            <w:r w:rsidRPr="00355D52">
              <w:rPr>
                <w:rFonts w:eastAsia="Times New Roman"/>
                <w:b/>
                <w:bCs/>
                <w:spacing w:val="0"/>
                <w:sz w:val="18"/>
                <w:szCs w:val="18"/>
                <w:lang w:val="es-DO" w:eastAsia="es-DO"/>
              </w:rPr>
              <w:t>Observaciones:</w:t>
            </w:r>
          </w:p>
        </w:tc>
      </w:tr>
      <w:tr w:rsidR="00A24706" w:rsidRPr="00EE47D5" w14:paraId="30FD64F1" w14:textId="77777777" w:rsidTr="00DC3589">
        <w:trPr>
          <w:trHeight w:val="312"/>
          <w:jc w:val="center"/>
        </w:trPr>
        <w:tc>
          <w:tcPr>
            <w:tcW w:w="9966" w:type="dxa"/>
            <w:gridSpan w:val="9"/>
            <w:tcBorders>
              <w:top w:val="nil"/>
              <w:left w:val="single" w:sz="4" w:space="0" w:color="auto"/>
              <w:bottom w:val="nil"/>
              <w:right w:val="single" w:sz="4" w:space="0" w:color="auto"/>
            </w:tcBorders>
            <w:vAlign w:val="center"/>
            <w:hideMark/>
          </w:tcPr>
          <w:p w14:paraId="47DE29FB" w14:textId="77777777" w:rsidR="00A24706" w:rsidRPr="00355D52" w:rsidRDefault="00A24706" w:rsidP="00DC3589">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 xml:space="preserve">Los productos 1, 2, 3 y 4 están contemplados en el PEI del MINC 2021-2024.  Los productos 5, 6 y 7 fueron incorporados en el PEI DGM 2022-2024, a raíz de la desconcentración, por lo que no se tiene línea base disponible.  </w:t>
            </w:r>
          </w:p>
        </w:tc>
      </w:tr>
      <w:tr w:rsidR="00A24706" w:rsidRPr="00EE47D5" w14:paraId="62E77492" w14:textId="77777777" w:rsidTr="00DC3589">
        <w:trPr>
          <w:trHeight w:val="312"/>
          <w:jc w:val="center"/>
        </w:trPr>
        <w:tc>
          <w:tcPr>
            <w:tcW w:w="9966" w:type="dxa"/>
            <w:gridSpan w:val="9"/>
            <w:tcBorders>
              <w:top w:val="nil"/>
              <w:left w:val="single" w:sz="4" w:space="0" w:color="auto"/>
              <w:bottom w:val="single" w:sz="4" w:space="0" w:color="auto"/>
              <w:right w:val="single" w:sz="4" w:space="0" w:color="auto"/>
            </w:tcBorders>
            <w:vAlign w:val="center"/>
            <w:hideMark/>
          </w:tcPr>
          <w:p w14:paraId="04163477" w14:textId="77777777" w:rsidR="00A24706" w:rsidRPr="00EB444A" w:rsidRDefault="00A24706" w:rsidP="00DC3589">
            <w:pPr>
              <w:spacing w:after="0" w:line="240" w:lineRule="auto"/>
              <w:rPr>
                <w:rFonts w:eastAsia="Times New Roman"/>
                <w:color w:val="000000"/>
                <w:spacing w:val="0"/>
                <w:sz w:val="18"/>
                <w:szCs w:val="18"/>
                <w:lang w:val="es-DO" w:eastAsia="es-DO"/>
              </w:rPr>
            </w:pPr>
          </w:p>
        </w:tc>
      </w:tr>
    </w:tbl>
    <w:p w14:paraId="646FFFD8" w14:textId="77777777" w:rsidR="00A24706" w:rsidRPr="00E23D9E" w:rsidRDefault="00A24706" w:rsidP="00A24706">
      <w:pPr>
        <w:spacing w:line="360" w:lineRule="auto"/>
        <w:jc w:val="both"/>
        <w:rPr>
          <w:rFonts w:eastAsia="Calibri"/>
          <w:lang w:val="es-DO"/>
        </w:rPr>
      </w:pPr>
    </w:p>
    <w:p w14:paraId="3A93331A" w14:textId="77777777" w:rsidR="000B27B8" w:rsidRPr="00A24706" w:rsidRDefault="000B27B8" w:rsidP="00AA7770">
      <w:pPr>
        <w:spacing w:line="360" w:lineRule="auto"/>
        <w:jc w:val="both"/>
        <w:rPr>
          <w:color w:val="4C4747"/>
          <w:lang w:val="es-DO"/>
        </w:rPr>
      </w:pPr>
    </w:p>
    <w:p w14:paraId="20DB918F" w14:textId="77777777" w:rsidR="000B27B8" w:rsidRDefault="000B27B8" w:rsidP="00AA7770">
      <w:pPr>
        <w:spacing w:line="360" w:lineRule="auto"/>
        <w:jc w:val="both"/>
        <w:rPr>
          <w:color w:val="4C4747"/>
          <w:lang w:val="es-MX"/>
        </w:rPr>
      </w:pPr>
    </w:p>
    <w:p w14:paraId="20E5CEB7" w14:textId="77777777" w:rsidR="000B27B8" w:rsidRDefault="000B27B8" w:rsidP="00AA7770">
      <w:pPr>
        <w:spacing w:line="360" w:lineRule="auto"/>
        <w:jc w:val="both"/>
        <w:rPr>
          <w:color w:val="4C4747"/>
          <w:lang w:val="es-MX"/>
        </w:rPr>
      </w:pPr>
    </w:p>
    <w:p w14:paraId="0779003C" w14:textId="11088835" w:rsidR="009C7BFB" w:rsidRPr="00285551" w:rsidRDefault="009C7BFB" w:rsidP="00AA7770">
      <w:pPr>
        <w:spacing w:line="360" w:lineRule="auto"/>
        <w:jc w:val="both"/>
        <w:rPr>
          <w:color w:val="4C4747"/>
          <w:lang w:val="es-MX"/>
        </w:rPr>
      </w:pPr>
    </w:p>
    <w:p w14:paraId="307A77E0" w14:textId="0FDE55A4" w:rsidR="00654164" w:rsidRPr="00C52FE6" w:rsidRDefault="00654164" w:rsidP="000B27B8">
      <w:pPr>
        <w:spacing w:line="360" w:lineRule="auto"/>
        <w:rPr>
          <w:rStyle w:val="normaltextrun"/>
          <w:b/>
          <w:bCs/>
          <w:sz w:val="28"/>
          <w:szCs w:val="28"/>
          <w:shd w:val="clear" w:color="auto" w:fill="FFFFFF"/>
          <w:lang w:val="es-MX"/>
        </w:rPr>
      </w:pPr>
    </w:p>
    <w:tbl>
      <w:tblPr>
        <w:tblpPr w:leftFromText="180" w:rightFromText="180" w:vertAnchor="page" w:horzAnchor="margin" w:tblpXSpec="center" w:tblpY="1658"/>
        <w:tblW w:w="8622" w:type="dxa"/>
        <w:tblBorders>
          <w:top w:val="single" w:sz="6" w:space="0" w:color="98A7BD" w:themeColor="text2" w:themeTint="80"/>
          <w:left w:val="single" w:sz="6" w:space="0" w:color="98A7BD" w:themeColor="text2" w:themeTint="80"/>
          <w:bottom w:val="single" w:sz="6" w:space="0" w:color="98A7BD" w:themeColor="text2" w:themeTint="80"/>
          <w:right w:val="single" w:sz="6" w:space="0" w:color="98A7BD" w:themeColor="text2" w:themeTint="80"/>
          <w:insideH w:val="single" w:sz="6" w:space="0" w:color="98A7BD" w:themeColor="text2" w:themeTint="80"/>
          <w:insideV w:val="single" w:sz="6" w:space="0" w:color="98A7BD" w:themeColor="text2" w:themeTint="80"/>
        </w:tblBorders>
        <w:tblCellMar>
          <w:left w:w="70" w:type="dxa"/>
          <w:right w:w="70" w:type="dxa"/>
        </w:tblCellMar>
        <w:tblLook w:val="04A0" w:firstRow="1" w:lastRow="0" w:firstColumn="1" w:lastColumn="0" w:noHBand="0" w:noVBand="1"/>
      </w:tblPr>
      <w:tblGrid>
        <w:gridCol w:w="4962"/>
        <w:gridCol w:w="1980"/>
        <w:gridCol w:w="1670"/>
        <w:gridCol w:w="10"/>
      </w:tblGrid>
      <w:tr w:rsidR="000B27B8" w:rsidRPr="00EE47D5" w14:paraId="73B66D6E" w14:textId="77777777" w:rsidTr="000B27B8">
        <w:trPr>
          <w:trHeight w:val="285"/>
        </w:trPr>
        <w:tc>
          <w:tcPr>
            <w:tcW w:w="8622" w:type="dxa"/>
            <w:gridSpan w:val="4"/>
            <w:tcBorders>
              <w:top w:val="nil"/>
              <w:left w:val="nil"/>
              <w:bottom w:val="nil"/>
              <w:right w:val="nil"/>
            </w:tcBorders>
            <w:noWrap/>
            <w:vAlign w:val="center"/>
          </w:tcPr>
          <w:p w14:paraId="35BC709B" w14:textId="0E5B357E" w:rsidR="000B27B8" w:rsidRDefault="00A24706" w:rsidP="000B27B8">
            <w:pPr>
              <w:spacing w:after="0" w:line="240" w:lineRule="auto"/>
              <w:rPr>
                <w:rStyle w:val="normaltextrun"/>
                <w:b/>
                <w:bCs/>
                <w:sz w:val="28"/>
                <w:szCs w:val="28"/>
                <w:shd w:val="clear" w:color="auto" w:fill="FFFFFF"/>
                <w:lang w:val="es-MX"/>
              </w:rPr>
            </w:pPr>
            <w:r>
              <w:rPr>
                <w:rStyle w:val="normaltextrun"/>
                <w:b/>
                <w:bCs/>
                <w:sz w:val="28"/>
                <w:szCs w:val="28"/>
                <w:shd w:val="clear" w:color="auto" w:fill="FFFFFF"/>
                <w:lang w:val="es-MX"/>
              </w:rPr>
              <w:lastRenderedPageBreak/>
              <w:t>Anexo D.</w:t>
            </w:r>
            <w:r w:rsidR="000B27B8" w:rsidRPr="000B27B8">
              <w:rPr>
                <w:rStyle w:val="normaltextrun"/>
                <w:b/>
                <w:bCs/>
                <w:sz w:val="28"/>
                <w:szCs w:val="28"/>
                <w:shd w:val="clear" w:color="auto" w:fill="FFFFFF"/>
                <w:lang w:val="es-MX"/>
              </w:rPr>
              <w:t xml:space="preserve"> Resumen del Plan de Compra</w:t>
            </w:r>
          </w:p>
          <w:p w14:paraId="6EEF7708" w14:textId="05DE8138" w:rsidR="000B27B8" w:rsidRPr="000B27B8" w:rsidRDefault="000B27B8" w:rsidP="000B27B8">
            <w:pPr>
              <w:spacing w:after="0" w:line="240" w:lineRule="auto"/>
              <w:rPr>
                <w:rFonts w:eastAsia="Times New Roman"/>
                <w:b/>
                <w:bCs/>
                <w:color w:val="FFFFFF"/>
                <w:spacing w:val="0"/>
                <w:sz w:val="20"/>
                <w:szCs w:val="20"/>
                <w:lang w:val="es-MX" w:eastAsia="es-DO"/>
              </w:rPr>
            </w:pPr>
          </w:p>
        </w:tc>
      </w:tr>
      <w:tr w:rsidR="000B27B8" w:rsidRPr="006C2A50" w14:paraId="68A87F40" w14:textId="77777777" w:rsidTr="000B27B8">
        <w:trPr>
          <w:trHeight w:val="285"/>
        </w:trPr>
        <w:tc>
          <w:tcPr>
            <w:tcW w:w="8622" w:type="dxa"/>
            <w:gridSpan w:val="4"/>
            <w:tcBorders>
              <w:top w:val="nil"/>
            </w:tcBorders>
            <w:shd w:val="clear" w:color="000000" w:fill="142F62"/>
            <w:noWrap/>
            <w:vAlign w:val="center"/>
            <w:hideMark/>
          </w:tcPr>
          <w:p w14:paraId="58CDC26C" w14:textId="77777777" w:rsidR="000B27B8" w:rsidRPr="006C2A50" w:rsidRDefault="000B27B8" w:rsidP="00DC3589">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Datos De Cabecera PACC</w:t>
            </w:r>
          </w:p>
        </w:tc>
      </w:tr>
      <w:tr w:rsidR="000B27B8" w:rsidRPr="006C2A50" w14:paraId="4C53A8A1" w14:textId="77777777" w:rsidTr="000B27B8">
        <w:trPr>
          <w:gridAfter w:val="1"/>
          <w:wAfter w:w="10" w:type="dxa"/>
          <w:trHeight w:val="285"/>
        </w:trPr>
        <w:tc>
          <w:tcPr>
            <w:tcW w:w="4962" w:type="dxa"/>
            <w:noWrap/>
            <w:vAlign w:val="center"/>
            <w:hideMark/>
          </w:tcPr>
          <w:p w14:paraId="2326A82C"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Monto estimado total</w:t>
            </w:r>
          </w:p>
        </w:tc>
        <w:tc>
          <w:tcPr>
            <w:tcW w:w="3650" w:type="dxa"/>
            <w:gridSpan w:val="2"/>
            <w:noWrap/>
            <w:vAlign w:val="center"/>
            <w:hideMark/>
          </w:tcPr>
          <w:p w14:paraId="1D0E655F"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RD$31,287,723.56</w:t>
            </w:r>
          </w:p>
        </w:tc>
      </w:tr>
      <w:tr w:rsidR="000B27B8" w:rsidRPr="006C2A50" w14:paraId="0683FD3A" w14:textId="77777777" w:rsidTr="000B27B8">
        <w:trPr>
          <w:gridAfter w:val="1"/>
          <w:wAfter w:w="10" w:type="dxa"/>
          <w:trHeight w:val="285"/>
        </w:trPr>
        <w:tc>
          <w:tcPr>
            <w:tcW w:w="4962" w:type="dxa"/>
            <w:noWrap/>
            <w:vAlign w:val="center"/>
            <w:hideMark/>
          </w:tcPr>
          <w:p w14:paraId="40790E64"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Monto total contratado</w:t>
            </w:r>
          </w:p>
        </w:tc>
        <w:tc>
          <w:tcPr>
            <w:tcW w:w="3650" w:type="dxa"/>
            <w:gridSpan w:val="2"/>
            <w:noWrap/>
            <w:vAlign w:val="center"/>
            <w:hideMark/>
          </w:tcPr>
          <w:p w14:paraId="7F29ED5D"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RD$26,020715.62</w:t>
            </w:r>
          </w:p>
        </w:tc>
      </w:tr>
      <w:tr w:rsidR="000B27B8" w:rsidRPr="006C2A50" w14:paraId="390DB47D" w14:textId="77777777" w:rsidTr="000B27B8">
        <w:trPr>
          <w:gridAfter w:val="1"/>
          <w:wAfter w:w="10" w:type="dxa"/>
          <w:trHeight w:val="285"/>
        </w:trPr>
        <w:tc>
          <w:tcPr>
            <w:tcW w:w="4962" w:type="dxa"/>
            <w:noWrap/>
            <w:vAlign w:val="center"/>
            <w:hideMark/>
          </w:tcPr>
          <w:p w14:paraId="1096580A"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Cantidad de procesos registrados</w:t>
            </w:r>
          </w:p>
        </w:tc>
        <w:tc>
          <w:tcPr>
            <w:tcW w:w="3650" w:type="dxa"/>
            <w:gridSpan w:val="2"/>
            <w:noWrap/>
            <w:vAlign w:val="center"/>
            <w:hideMark/>
          </w:tcPr>
          <w:p w14:paraId="72BC336C"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47</w:t>
            </w:r>
          </w:p>
        </w:tc>
      </w:tr>
      <w:tr w:rsidR="000B27B8" w:rsidRPr="006C2A50" w14:paraId="60CF9068" w14:textId="77777777" w:rsidTr="000B27B8">
        <w:trPr>
          <w:gridAfter w:val="1"/>
          <w:wAfter w:w="10" w:type="dxa"/>
          <w:trHeight w:val="285"/>
        </w:trPr>
        <w:tc>
          <w:tcPr>
            <w:tcW w:w="4962" w:type="dxa"/>
            <w:noWrap/>
            <w:vAlign w:val="center"/>
            <w:hideMark/>
          </w:tcPr>
          <w:p w14:paraId="5DD1FBCC"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Capítulo</w:t>
            </w:r>
          </w:p>
        </w:tc>
        <w:tc>
          <w:tcPr>
            <w:tcW w:w="3650" w:type="dxa"/>
            <w:gridSpan w:val="2"/>
            <w:noWrap/>
            <w:vAlign w:val="center"/>
            <w:hideMark/>
          </w:tcPr>
          <w:p w14:paraId="5BB59986"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216</w:t>
            </w:r>
          </w:p>
        </w:tc>
      </w:tr>
      <w:tr w:rsidR="000B27B8" w:rsidRPr="006C2A50" w14:paraId="32DF9813" w14:textId="77777777" w:rsidTr="000B27B8">
        <w:trPr>
          <w:gridAfter w:val="1"/>
          <w:wAfter w:w="10" w:type="dxa"/>
          <w:trHeight w:val="285"/>
        </w:trPr>
        <w:tc>
          <w:tcPr>
            <w:tcW w:w="4962" w:type="dxa"/>
            <w:noWrap/>
            <w:vAlign w:val="center"/>
            <w:hideMark/>
          </w:tcPr>
          <w:p w14:paraId="15E3C0BF"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Subcapítulo</w:t>
            </w:r>
          </w:p>
        </w:tc>
        <w:tc>
          <w:tcPr>
            <w:tcW w:w="3650" w:type="dxa"/>
            <w:gridSpan w:val="2"/>
            <w:noWrap/>
            <w:vAlign w:val="center"/>
            <w:hideMark/>
          </w:tcPr>
          <w:p w14:paraId="5D66267E"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1</w:t>
            </w:r>
          </w:p>
        </w:tc>
      </w:tr>
      <w:tr w:rsidR="000B27B8" w:rsidRPr="006C2A50" w14:paraId="3CFD0ACD" w14:textId="77777777" w:rsidTr="000B27B8">
        <w:trPr>
          <w:gridAfter w:val="1"/>
          <w:wAfter w:w="10" w:type="dxa"/>
          <w:trHeight w:val="285"/>
        </w:trPr>
        <w:tc>
          <w:tcPr>
            <w:tcW w:w="4962" w:type="dxa"/>
            <w:noWrap/>
            <w:vAlign w:val="center"/>
            <w:hideMark/>
          </w:tcPr>
          <w:p w14:paraId="46D9E4BF"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Unidad ejecutora</w:t>
            </w:r>
          </w:p>
        </w:tc>
        <w:tc>
          <w:tcPr>
            <w:tcW w:w="3650" w:type="dxa"/>
            <w:gridSpan w:val="2"/>
            <w:noWrap/>
            <w:vAlign w:val="center"/>
            <w:hideMark/>
          </w:tcPr>
          <w:p w14:paraId="3029570B"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6</w:t>
            </w:r>
          </w:p>
        </w:tc>
      </w:tr>
      <w:tr w:rsidR="000B27B8" w:rsidRPr="006C2A50" w14:paraId="28ACE664" w14:textId="77777777" w:rsidTr="000B27B8">
        <w:trPr>
          <w:gridAfter w:val="1"/>
          <w:wAfter w:w="10" w:type="dxa"/>
          <w:trHeight w:val="285"/>
        </w:trPr>
        <w:tc>
          <w:tcPr>
            <w:tcW w:w="4962" w:type="dxa"/>
            <w:noWrap/>
            <w:vAlign w:val="center"/>
            <w:hideMark/>
          </w:tcPr>
          <w:p w14:paraId="52943117"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Unidad de compra</w:t>
            </w:r>
          </w:p>
        </w:tc>
        <w:tc>
          <w:tcPr>
            <w:tcW w:w="3650" w:type="dxa"/>
            <w:gridSpan w:val="2"/>
            <w:noWrap/>
            <w:vAlign w:val="center"/>
            <w:hideMark/>
          </w:tcPr>
          <w:p w14:paraId="1A2C184C"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Dirección General de Museos</w:t>
            </w:r>
          </w:p>
        </w:tc>
      </w:tr>
      <w:tr w:rsidR="000B27B8" w:rsidRPr="006C2A50" w14:paraId="5C2DE617" w14:textId="77777777" w:rsidTr="000B27B8">
        <w:trPr>
          <w:gridAfter w:val="1"/>
          <w:wAfter w:w="10" w:type="dxa"/>
          <w:trHeight w:val="285"/>
        </w:trPr>
        <w:tc>
          <w:tcPr>
            <w:tcW w:w="4962" w:type="dxa"/>
            <w:noWrap/>
            <w:vAlign w:val="center"/>
            <w:hideMark/>
          </w:tcPr>
          <w:p w14:paraId="0C0F4872"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Año fiscal</w:t>
            </w:r>
          </w:p>
        </w:tc>
        <w:tc>
          <w:tcPr>
            <w:tcW w:w="3650" w:type="dxa"/>
            <w:gridSpan w:val="2"/>
            <w:noWrap/>
            <w:vAlign w:val="center"/>
            <w:hideMark/>
          </w:tcPr>
          <w:p w14:paraId="415B0725"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2025</w:t>
            </w:r>
          </w:p>
        </w:tc>
      </w:tr>
      <w:tr w:rsidR="000B27B8" w:rsidRPr="006C2A50" w14:paraId="3198916E" w14:textId="77777777" w:rsidTr="000B27B8">
        <w:trPr>
          <w:gridAfter w:val="1"/>
          <w:wAfter w:w="10" w:type="dxa"/>
          <w:trHeight w:val="285"/>
        </w:trPr>
        <w:tc>
          <w:tcPr>
            <w:tcW w:w="4962" w:type="dxa"/>
            <w:noWrap/>
            <w:vAlign w:val="center"/>
            <w:hideMark/>
          </w:tcPr>
          <w:p w14:paraId="67E0DD6A"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Fecha aprobación</w:t>
            </w:r>
          </w:p>
        </w:tc>
        <w:tc>
          <w:tcPr>
            <w:tcW w:w="3650" w:type="dxa"/>
            <w:gridSpan w:val="2"/>
            <w:noWrap/>
            <w:vAlign w:val="center"/>
            <w:hideMark/>
          </w:tcPr>
          <w:p w14:paraId="389B1C47" w14:textId="77777777" w:rsidR="000B27B8" w:rsidRPr="006C2A50" w:rsidRDefault="000B27B8" w:rsidP="00DC3589">
            <w:pPr>
              <w:spacing w:after="0" w:line="240" w:lineRule="auto"/>
              <w:jc w:val="center"/>
              <w:rPr>
                <w:rFonts w:eastAsia="Times New Roman"/>
                <w:spacing w:val="0"/>
                <w:sz w:val="20"/>
                <w:szCs w:val="20"/>
                <w:lang w:val="es-DO" w:eastAsia="es-DO"/>
              </w:rPr>
            </w:pPr>
            <w:r w:rsidRPr="006C2A50">
              <w:rPr>
                <w:rFonts w:eastAsia="Times New Roman"/>
                <w:spacing w:val="0"/>
                <w:sz w:val="20"/>
                <w:szCs w:val="20"/>
                <w:lang w:val="es-DO" w:eastAsia="es-DO"/>
              </w:rPr>
              <w:t>Enero-2025</w:t>
            </w:r>
          </w:p>
        </w:tc>
      </w:tr>
      <w:tr w:rsidR="000B27B8" w:rsidRPr="00EE47D5" w14:paraId="12F4BC63" w14:textId="77777777" w:rsidTr="000B27B8">
        <w:trPr>
          <w:trHeight w:val="285"/>
        </w:trPr>
        <w:tc>
          <w:tcPr>
            <w:tcW w:w="8622" w:type="dxa"/>
            <w:gridSpan w:val="4"/>
            <w:shd w:val="clear" w:color="000000" w:fill="142F62"/>
            <w:noWrap/>
            <w:vAlign w:val="center"/>
            <w:hideMark/>
          </w:tcPr>
          <w:p w14:paraId="4510074C" w14:textId="77777777" w:rsidR="000B27B8" w:rsidRPr="006C2A50" w:rsidRDefault="000B27B8" w:rsidP="00DC3589">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Montos Estimados Según Objeto De Contratación</w:t>
            </w:r>
          </w:p>
        </w:tc>
      </w:tr>
      <w:tr w:rsidR="000B27B8" w:rsidRPr="006C2A50" w14:paraId="7B8AC72C" w14:textId="77777777" w:rsidTr="000B27B8">
        <w:trPr>
          <w:gridAfter w:val="1"/>
          <w:wAfter w:w="10" w:type="dxa"/>
          <w:trHeight w:val="285"/>
        </w:trPr>
        <w:tc>
          <w:tcPr>
            <w:tcW w:w="4962" w:type="dxa"/>
            <w:shd w:val="clear" w:color="000000" w:fill="D9D9D9"/>
            <w:vAlign w:val="center"/>
            <w:hideMark/>
          </w:tcPr>
          <w:p w14:paraId="51EBEA45"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Tipos</w:t>
            </w:r>
          </w:p>
        </w:tc>
        <w:tc>
          <w:tcPr>
            <w:tcW w:w="1980" w:type="dxa"/>
            <w:shd w:val="clear" w:color="000000" w:fill="D9D9D9"/>
            <w:vAlign w:val="center"/>
            <w:hideMark/>
          </w:tcPr>
          <w:p w14:paraId="62873DC5"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Planificados</w:t>
            </w:r>
          </w:p>
        </w:tc>
        <w:tc>
          <w:tcPr>
            <w:tcW w:w="1670" w:type="dxa"/>
            <w:shd w:val="clear" w:color="000000" w:fill="D9D9D9"/>
            <w:vAlign w:val="center"/>
            <w:hideMark/>
          </w:tcPr>
          <w:p w14:paraId="79598D33"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Ejecutados</w:t>
            </w:r>
          </w:p>
        </w:tc>
      </w:tr>
      <w:tr w:rsidR="000B27B8" w:rsidRPr="006C2A50" w14:paraId="228B6199" w14:textId="77777777" w:rsidTr="000B27B8">
        <w:trPr>
          <w:gridAfter w:val="1"/>
          <w:wAfter w:w="10" w:type="dxa"/>
          <w:trHeight w:val="285"/>
        </w:trPr>
        <w:tc>
          <w:tcPr>
            <w:tcW w:w="4962" w:type="dxa"/>
            <w:noWrap/>
            <w:vAlign w:val="center"/>
            <w:hideMark/>
          </w:tcPr>
          <w:p w14:paraId="1607E7AF"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Bienes</w:t>
            </w:r>
          </w:p>
        </w:tc>
        <w:tc>
          <w:tcPr>
            <w:tcW w:w="1980" w:type="dxa"/>
            <w:noWrap/>
            <w:vAlign w:val="center"/>
            <w:hideMark/>
          </w:tcPr>
          <w:p w14:paraId="484FF26D"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 xml:space="preserve">RD$17,715,942.86 </w:t>
            </w:r>
          </w:p>
        </w:tc>
        <w:tc>
          <w:tcPr>
            <w:tcW w:w="1670" w:type="dxa"/>
            <w:noWrap/>
            <w:vAlign w:val="center"/>
            <w:hideMark/>
          </w:tcPr>
          <w:p w14:paraId="3E140EDF"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RD$13,625,695.54</w:t>
            </w:r>
          </w:p>
        </w:tc>
      </w:tr>
      <w:tr w:rsidR="000B27B8" w:rsidRPr="006C2A50" w14:paraId="7272E7E2" w14:textId="77777777" w:rsidTr="000B27B8">
        <w:trPr>
          <w:gridAfter w:val="1"/>
          <w:wAfter w:w="10" w:type="dxa"/>
          <w:trHeight w:val="285"/>
        </w:trPr>
        <w:tc>
          <w:tcPr>
            <w:tcW w:w="4962" w:type="dxa"/>
            <w:noWrap/>
            <w:vAlign w:val="center"/>
            <w:hideMark/>
          </w:tcPr>
          <w:p w14:paraId="582BE33A"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Obras</w:t>
            </w:r>
          </w:p>
        </w:tc>
        <w:tc>
          <w:tcPr>
            <w:tcW w:w="1980" w:type="dxa"/>
            <w:noWrap/>
            <w:vAlign w:val="center"/>
            <w:hideMark/>
          </w:tcPr>
          <w:p w14:paraId="26B90E33"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RD$0.00</w:t>
            </w:r>
          </w:p>
        </w:tc>
        <w:tc>
          <w:tcPr>
            <w:tcW w:w="1670" w:type="dxa"/>
            <w:noWrap/>
            <w:vAlign w:val="center"/>
            <w:hideMark/>
          </w:tcPr>
          <w:p w14:paraId="2462841C"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RD$0.00</w:t>
            </w:r>
          </w:p>
        </w:tc>
      </w:tr>
      <w:tr w:rsidR="000B27B8" w:rsidRPr="006C2A50" w14:paraId="48C9A17B" w14:textId="77777777" w:rsidTr="000B27B8">
        <w:trPr>
          <w:gridAfter w:val="1"/>
          <w:wAfter w:w="10" w:type="dxa"/>
          <w:trHeight w:val="285"/>
        </w:trPr>
        <w:tc>
          <w:tcPr>
            <w:tcW w:w="4962" w:type="dxa"/>
            <w:noWrap/>
            <w:vAlign w:val="center"/>
            <w:hideMark/>
          </w:tcPr>
          <w:p w14:paraId="3D36AE68"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Servicios</w:t>
            </w:r>
          </w:p>
        </w:tc>
        <w:tc>
          <w:tcPr>
            <w:tcW w:w="1980" w:type="dxa"/>
            <w:noWrap/>
            <w:vAlign w:val="center"/>
            <w:hideMark/>
          </w:tcPr>
          <w:p w14:paraId="75CD956F"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RD$13,571,781.00</w:t>
            </w:r>
          </w:p>
        </w:tc>
        <w:tc>
          <w:tcPr>
            <w:tcW w:w="1670" w:type="dxa"/>
            <w:noWrap/>
            <w:vAlign w:val="center"/>
            <w:hideMark/>
          </w:tcPr>
          <w:p w14:paraId="6AEAB25E"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RD$13,395,020.08</w:t>
            </w:r>
          </w:p>
        </w:tc>
      </w:tr>
      <w:tr w:rsidR="000B27B8" w:rsidRPr="006C2A50" w14:paraId="3A260218" w14:textId="77777777" w:rsidTr="00F629E4">
        <w:trPr>
          <w:gridAfter w:val="1"/>
          <w:wAfter w:w="10" w:type="dxa"/>
          <w:trHeight w:val="55"/>
        </w:trPr>
        <w:tc>
          <w:tcPr>
            <w:tcW w:w="4962" w:type="dxa"/>
            <w:noWrap/>
            <w:vAlign w:val="center"/>
            <w:hideMark/>
          </w:tcPr>
          <w:p w14:paraId="7A44C3B9"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Servicios: consultoría</w:t>
            </w:r>
          </w:p>
        </w:tc>
        <w:tc>
          <w:tcPr>
            <w:tcW w:w="1980" w:type="dxa"/>
            <w:noWrap/>
            <w:vAlign w:val="center"/>
            <w:hideMark/>
          </w:tcPr>
          <w:p w14:paraId="3B157A75"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w:t>
            </w:r>
          </w:p>
        </w:tc>
        <w:tc>
          <w:tcPr>
            <w:tcW w:w="1670" w:type="dxa"/>
            <w:noWrap/>
            <w:vAlign w:val="center"/>
            <w:hideMark/>
          </w:tcPr>
          <w:p w14:paraId="4207A3DC"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RD$0.00</w:t>
            </w:r>
          </w:p>
        </w:tc>
      </w:tr>
      <w:tr w:rsidR="000B27B8" w:rsidRPr="006C2A50" w14:paraId="6CFE02DB" w14:textId="77777777" w:rsidTr="000B27B8">
        <w:trPr>
          <w:gridAfter w:val="1"/>
          <w:wAfter w:w="10" w:type="dxa"/>
          <w:trHeight w:val="55"/>
        </w:trPr>
        <w:tc>
          <w:tcPr>
            <w:tcW w:w="4962" w:type="dxa"/>
            <w:vAlign w:val="center"/>
            <w:hideMark/>
          </w:tcPr>
          <w:p w14:paraId="142B94B7" w14:textId="741B16C5" w:rsidR="000B27B8" w:rsidRPr="006C2A50" w:rsidRDefault="000B27B8" w:rsidP="000B27B8">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Servicios: consultoría basada en la calidad de los servicios</w:t>
            </w:r>
          </w:p>
        </w:tc>
        <w:tc>
          <w:tcPr>
            <w:tcW w:w="1980" w:type="dxa"/>
            <w:noWrap/>
            <w:vAlign w:val="center"/>
            <w:hideMark/>
          </w:tcPr>
          <w:p w14:paraId="66F4DD5C"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N/A</w:t>
            </w:r>
          </w:p>
        </w:tc>
        <w:tc>
          <w:tcPr>
            <w:tcW w:w="1670" w:type="dxa"/>
            <w:noWrap/>
            <w:vAlign w:val="center"/>
            <w:hideMark/>
          </w:tcPr>
          <w:p w14:paraId="5ADD0B0E"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N/A</w:t>
            </w:r>
          </w:p>
        </w:tc>
      </w:tr>
      <w:tr w:rsidR="000B27B8" w:rsidRPr="00EE47D5" w14:paraId="5FCFF43E" w14:textId="77777777" w:rsidTr="000B27B8">
        <w:trPr>
          <w:trHeight w:val="285"/>
        </w:trPr>
        <w:tc>
          <w:tcPr>
            <w:tcW w:w="8622" w:type="dxa"/>
            <w:gridSpan w:val="4"/>
            <w:shd w:val="clear" w:color="000000" w:fill="142F62"/>
            <w:noWrap/>
            <w:vAlign w:val="center"/>
            <w:hideMark/>
          </w:tcPr>
          <w:p w14:paraId="67C0858A" w14:textId="77777777" w:rsidR="000B27B8" w:rsidRPr="006C2A50" w:rsidRDefault="000B27B8" w:rsidP="00DC3589">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Montos Estimados Según Clasificación MIPYMES</w:t>
            </w:r>
          </w:p>
        </w:tc>
      </w:tr>
      <w:tr w:rsidR="000B27B8" w:rsidRPr="006C2A50" w14:paraId="59A2DB4C" w14:textId="77777777" w:rsidTr="000B27B8">
        <w:trPr>
          <w:gridAfter w:val="1"/>
          <w:wAfter w:w="10" w:type="dxa"/>
          <w:trHeight w:val="285"/>
        </w:trPr>
        <w:tc>
          <w:tcPr>
            <w:tcW w:w="4962" w:type="dxa"/>
            <w:shd w:val="clear" w:color="000000" w:fill="D9D9D9"/>
            <w:vAlign w:val="center"/>
            <w:hideMark/>
          </w:tcPr>
          <w:p w14:paraId="47D9EB0E"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Tipo</w:t>
            </w:r>
          </w:p>
        </w:tc>
        <w:tc>
          <w:tcPr>
            <w:tcW w:w="1980" w:type="dxa"/>
            <w:shd w:val="clear" w:color="000000" w:fill="D9D9D9"/>
            <w:vAlign w:val="center"/>
            <w:hideMark/>
          </w:tcPr>
          <w:p w14:paraId="0E1B4D95"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Planificados</w:t>
            </w:r>
          </w:p>
        </w:tc>
        <w:tc>
          <w:tcPr>
            <w:tcW w:w="1670" w:type="dxa"/>
            <w:shd w:val="clear" w:color="000000" w:fill="D9D9D9"/>
            <w:vAlign w:val="center"/>
            <w:hideMark/>
          </w:tcPr>
          <w:p w14:paraId="487C0A45"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Ejecutados</w:t>
            </w:r>
          </w:p>
        </w:tc>
      </w:tr>
      <w:tr w:rsidR="000B27B8" w:rsidRPr="006C2A50" w14:paraId="487C0F6E" w14:textId="77777777" w:rsidTr="000B27B8">
        <w:trPr>
          <w:gridAfter w:val="1"/>
          <w:wAfter w:w="10" w:type="dxa"/>
          <w:trHeight w:val="285"/>
        </w:trPr>
        <w:tc>
          <w:tcPr>
            <w:tcW w:w="4962" w:type="dxa"/>
            <w:noWrap/>
            <w:vAlign w:val="center"/>
            <w:hideMark/>
          </w:tcPr>
          <w:p w14:paraId="57C3D178"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MIPYMES</w:t>
            </w:r>
          </w:p>
        </w:tc>
        <w:tc>
          <w:tcPr>
            <w:tcW w:w="1980" w:type="dxa"/>
            <w:noWrap/>
            <w:vAlign w:val="center"/>
            <w:hideMark/>
          </w:tcPr>
          <w:p w14:paraId="0E47C0CA"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RD$11,453,205.84</w:t>
            </w:r>
          </w:p>
        </w:tc>
        <w:tc>
          <w:tcPr>
            <w:tcW w:w="1670" w:type="dxa"/>
            <w:noWrap/>
            <w:vAlign w:val="center"/>
            <w:hideMark/>
          </w:tcPr>
          <w:p w14:paraId="71BBB0D7"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RD$4,493,403.00</w:t>
            </w:r>
          </w:p>
        </w:tc>
      </w:tr>
      <w:tr w:rsidR="000B27B8" w:rsidRPr="006C2A50" w14:paraId="45FE01E4" w14:textId="77777777" w:rsidTr="000B27B8">
        <w:trPr>
          <w:gridAfter w:val="1"/>
          <w:wAfter w:w="10" w:type="dxa"/>
          <w:trHeight w:val="285"/>
        </w:trPr>
        <w:tc>
          <w:tcPr>
            <w:tcW w:w="4962" w:type="dxa"/>
            <w:noWrap/>
            <w:vAlign w:val="center"/>
            <w:hideMark/>
          </w:tcPr>
          <w:p w14:paraId="5A68DB62"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MIPYMES Mujer</w:t>
            </w:r>
          </w:p>
        </w:tc>
        <w:tc>
          <w:tcPr>
            <w:tcW w:w="1980" w:type="dxa"/>
            <w:noWrap/>
            <w:vAlign w:val="center"/>
            <w:hideMark/>
          </w:tcPr>
          <w:p w14:paraId="03B51213"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RD$553,784.72</w:t>
            </w:r>
          </w:p>
        </w:tc>
        <w:tc>
          <w:tcPr>
            <w:tcW w:w="1670" w:type="dxa"/>
            <w:noWrap/>
            <w:vAlign w:val="center"/>
            <w:hideMark/>
          </w:tcPr>
          <w:p w14:paraId="548323B7"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RD$8,383,939.00</w:t>
            </w:r>
          </w:p>
        </w:tc>
      </w:tr>
      <w:tr w:rsidR="000B27B8" w:rsidRPr="006C2A50" w14:paraId="0D2F6E28" w14:textId="77777777" w:rsidTr="000B27B8">
        <w:trPr>
          <w:gridAfter w:val="1"/>
          <w:wAfter w:w="10" w:type="dxa"/>
          <w:trHeight w:val="285"/>
        </w:trPr>
        <w:tc>
          <w:tcPr>
            <w:tcW w:w="4962" w:type="dxa"/>
            <w:noWrap/>
            <w:vAlign w:val="center"/>
            <w:hideMark/>
          </w:tcPr>
          <w:p w14:paraId="3C9B5C93"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No MIPYMES</w:t>
            </w:r>
          </w:p>
        </w:tc>
        <w:tc>
          <w:tcPr>
            <w:tcW w:w="1980" w:type="dxa"/>
            <w:noWrap/>
            <w:vAlign w:val="center"/>
            <w:hideMark/>
          </w:tcPr>
          <w:p w14:paraId="2F3B3797"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RD$19,280,733.30</w:t>
            </w:r>
          </w:p>
        </w:tc>
        <w:tc>
          <w:tcPr>
            <w:tcW w:w="1670" w:type="dxa"/>
            <w:noWrap/>
            <w:vAlign w:val="center"/>
            <w:hideMark/>
          </w:tcPr>
          <w:p w14:paraId="0DD05A93"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RD$13,391,385.63</w:t>
            </w:r>
          </w:p>
        </w:tc>
      </w:tr>
      <w:tr w:rsidR="000B27B8" w:rsidRPr="00EE47D5" w14:paraId="26FF2EAD" w14:textId="77777777" w:rsidTr="000B27B8">
        <w:trPr>
          <w:trHeight w:val="285"/>
        </w:trPr>
        <w:tc>
          <w:tcPr>
            <w:tcW w:w="8622" w:type="dxa"/>
            <w:gridSpan w:val="4"/>
            <w:shd w:val="clear" w:color="000000" w:fill="142F62"/>
            <w:noWrap/>
            <w:vAlign w:val="center"/>
            <w:hideMark/>
          </w:tcPr>
          <w:p w14:paraId="6FA1A336" w14:textId="77777777" w:rsidR="000B27B8" w:rsidRPr="006C2A50" w:rsidRDefault="000B27B8" w:rsidP="00DC3589">
            <w:pPr>
              <w:spacing w:after="0" w:line="240" w:lineRule="auto"/>
              <w:jc w:val="center"/>
              <w:rPr>
                <w:rFonts w:eastAsia="Times New Roman"/>
                <w:b/>
                <w:bCs/>
                <w:color w:val="FFFFFF"/>
                <w:spacing w:val="0"/>
                <w:sz w:val="20"/>
                <w:szCs w:val="20"/>
                <w:lang w:val="es-DO" w:eastAsia="es-DO"/>
              </w:rPr>
            </w:pPr>
            <w:r w:rsidRPr="006C2A50">
              <w:rPr>
                <w:rFonts w:eastAsia="Times New Roman"/>
                <w:b/>
                <w:bCs/>
                <w:color w:val="FFFFFF"/>
                <w:spacing w:val="0"/>
                <w:sz w:val="20"/>
                <w:szCs w:val="20"/>
                <w:lang w:val="es-DO" w:eastAsia="es-DO"/>
              </w:rPr>
              <w:t>Montos Estimados Según Tipo de Procedimiento</w:t>
            </w:r>
          </w:p>
        </w:tc>
      </w:tr>
      <w:tr w:rsidR="000B27B8" w:rsidRPr="006C2A50" w14:paraId="0DC9DD41" w14:textId="77777777" w:rsidTr="000B27B8">
        <w:trPr>
          <w:gridAfter w:val="1"/>
          <w:wAfter w:w="10" w:type="dxa"/>
          <w:trHeight w:val="285"/>
        </w:trPr>
        <w:tc>
          <w:tcPr>
            <w:tcW w:w="4962" w:type="dxa"/>
            <w:shd w:val="clear" w:color="000000" w:fill="D9D9D9"/>
            <w:vAlign w:val="center"/>
            <w:hideMark/>
          </w:tcPr>
          <w:p w14:paraId="26AE7798"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Tipo</w:t>
            </w:r>
          </w:p>
        </w:tc>
        <w:tc>
          <w:tcPr>
            <w:tcW w:w="1980" w:type="dxa"/>
            <w:shd w:val="clear" w:color="000000" w:fill="D9D9D9"/>
            <w:vAlign w:val="center"/>
            <w:hideMark/>
          </w:tcPr>
          <w:p w14:paraId="0E2EC668"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Planificados</w:t>
            </w:r>
          </w:p>
        </w:tc>
        <w:tc>
          <w:tcPr>
            <w:tcW w:w="1670" w:type="dxa"/>
            <w:shd w:val="clear" w:color="000000" w:fill="D9D9D9"/>
            <w:vAlign w:val="center"/>
            <w:hideMark/>
          </w:tcPr>
          <w:p w14:paraId="337E427F" w14:textId="77777777" w:rsidR="000B27B8" w:rsidRPr="006C2A50" w:rsidRDefault="000B27B8" w:rsidP="00DC3589">
            <w:pPr>
              <w:spacing w:after="0" w:line="240" w:lineRule="auto"/>
              <w:jc w:val="both"/>
              <w:rPr>
                <w:rFonts w:eastAsia="Times New Roman"/>
                <w:b/>
                <w:bCs/>
                <w:spacing w:val="0"/>
                <w:sz w:val="20"/>
                <w:szCs w:val="20"/>
                <w:lang w:val="es-DO" w:eastAsia="es-DO"/>
              </w:rPr>
            </w:pPr>
            <w:r w:rsidRPr="006C2A50">
              <w:rPr>
                <w:rFonts w:eastAsia="Times New Roman"/>
                <w:b/>
                <w:bCs/>
                <w:spacing w:val="0"/>
                <w:sz w:val="20"/>
                <w:szCs w:val="20"/>
                <w:lang w:val="es-DO" w:eastAsia="es-DO"/>
              </w:rPr>
              <w:t>Ejecutados</w:t>
            </w:r>
          </w:p>
        </w:tc>
      </w:tr>
      <w:tr w:rsidR="000B27B8" w:rsidRPr="006C2A50" w14:paraId="7690C912" w14:textId="77777777" w:rsidTr="000B27B8">
        <w:trPr>
          <w:gridAfter w:val="1"/>
          <w:wAfter w:w="10" w:type="dxa"/>
          <w:trHeight w:val="285"/>
        </w:trPr>
        <w:tc>
          <w:tcPr>
            <w:tcW w:w="4962" w:type="dxa"/>
            <w:noWrap/>
            <w:vAlign w:val="center"/>
            <w:hideMark/>
          </w:tcPr>
          <w:p w14:paraId="1439B54C"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Compras por debajo del umbral</w:t>
            </w:r>
          </w:p>
        </w:tc>
        <w:tc>
          <w:tcPr>
            <w:tcW w:w="1980" w:type="dxa"/>
            <w:noWrap/>
            <w:vAlign w:val="center"/>
            <w:hideMark/>
          </w:tcPr>
          <w:p w14:paraId="04ECDE4F"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RD$7,620,037.52</w:t>
            </w:r>
          </w:p>
        </w:tc>
        <w:tc>
          <w:tcPr>
            <w:tcW w:w="1670" w:type="dxa"/>
            <w:noWrap/>
            <w:vAlign w:val="center"/>
            <w:hideMark/>
          </w:tcPr>
          <w:p w14:paraId="0E192AEF"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RD$4,636,814.25</w:t>
            </w:r>
          </w:p>
        </w:tc>
      </w:tr>
      <w:tr w:rsidR="000B27B8" w:rsidRPr="006C2A50" w14:paraId="37F4B91B" w14:textId="77777777" w:rsidTr="000B27B8">
        <w:trPr>
          <w:gridAfter w:val="1"/>
          <w:wAfter w:w="10" w:type="dxa"/>
          <w:trHeight w:val="285"/>
        </w:trPr>
        <w:tc>
          <w:tcPr>
            <w:tcW w:w="4962" w:type="dxa"/>
            <w:noWrap/>
            <w:vAlign w:val="center"/>
            <w:hideMark/>
          </w:tcPr>
          <w:p w14:paraId="2B7EA4DC"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Compras menores</w:t>
            </w:r>
          </w:p>
        </w:tc>
        <w:tc>
          <w:tcPr>
            <w:tcW w:w="1980" w:type="dxa"/>
            <w:noWrap/>
            <w:vAlign w:val="center"/>
            <w:hideMark/>
          </w:tcPr>
          <w:p w14:paraId="3487665D"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RD$10,887,990.06</w:t>
            </w:r>
          </w:p>
        </w:tc>
        <w:tc>
          <w:tcPr>
            <w:tcW w:w="1670" w:type="dxa"/>
            <w:noWrap/>
            <w:vAlign w:val="center"/>
            <w:hideMark/>
          </w:tcPr>
          <w:p w14:paraId="496EBA7A"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RD$21,667,313.27</w:t>
            </w:r>
          </w:p>
        </w:tc>
      </w:tr>
      <w:tr w:rsidR="000B27B8" w:rsidRPr="006C2A50" w14:paraId="6AAF6986" w14:textId="77777777" w:rsidTr="000B27B8">
        <w:trPr>
          <w:gridAfter w:val="1"/>
          <w:wAfter w:w="10" w:type="dxa"/>
          <w:trHeight w:val="300"/>
        </w:trPr>
        <w:tc>
          <w:tcPr>
            <w:tcW w:w="4962" w:type="dxa"/>
            <w:noWrap/>
            <w:vAlign w:val="center"/>
            <w:hideMark/>
          </w:tcPr>
          <w:p w14:paraId="426E1208"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Comparación de precios</w:t>
            </w:r>
          </w:p>
        </w:tc>
        <w:tc>
          <w:tcPr>
            <w:tcW w:w="1980" w:type="dxa"/>
            <w:noWrap/>
            <w:vAlign w:val="bottom"/>
            <w:hideMark/>
          </w:tcPr>
          <w:p w14:paraId="13B692DA"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RD$200,00.00</w:t>
            </w:r>
          </w:p>
        </w:tc>
        <w:tc>
          <w:tcPr>
            <w:tcW w:w="1670" w:type="dxa"/>
            <w:noWrap/>
            <w:vAlign w:val="center"/>
            <w:hideMark/>
          </w:tcPr>
          <w:p w14:paraId="5E2C75C8"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RD$0.00</w:t>
            </w:r>
          </w:p>
        </w:tc>
      </w:tr>
      <w:tr w:rsidR="000B27B8" w:rsidRPr="006C2A50" w14:paraId="7826E903" w14:textId="77777777" w:rsidTr="000B27B8">
        <w:trPr>
          <w:gridAfter w:val="1"/>
          <w:wAfter w:w="10" w:type="dxa"/>
          <w:trHeight w:val="333"/>
        </w:trPr>
        <w:tc>
          <w:tcPr>
            <w:tcW w:w="4962" w:type="dxa"/>
            <w:noWrap/>
            <w:vAlign w:val="center"/>
            <w:hideMark/>
          </w:tcPr>
          <w:p w14:paraId="66701AC9" w14:textId="77777777" w:rsidR="000B27B8" w:rsidRPr="006C2A50" w:rsidRDefault="000B27B8" w:rsidP="00DC3589">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Licitación pública nacional</w:t>
            </w:r>
          </w:p>
        </w:tc>
        <w:tc>
          <w:tcPr>
            <w:tcW w:w="1980" w:type="dxa"/>
            <w:noWrap/>
            <w:vAlign w:val="center"/>
            <w:hideMark/>
          </w:tcPr>
          <w:p w14:paraId="75C07A71"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RD$11,053,896.28</w:t>
            </w:r>
          </w:p>
        </w:tc>
        <w:tc>
          <w:tcPr>
            <w:tcW w:w="1670" w:type="dxa"/>
            <w:noWrap/>
            <w:vAlign w:val="center"/>
            <w:hideMark/>
          </w:tcPr>
          <w:p w14:paraId="742630B1"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RD$0.00</w:t>
            </w:r>
          </w:p>
        </w:tc>
      </w:tr>
      <w:tr w:rsidR="000B27B8" w:rsidRPr="006C2A50" w14:paraId="566CC0B0" w14:textId="77777777" w:rsidTr="000B27B8">
        <w:trPr>
          <w:gridAfter w:val="1"/>
          <w:wAfter w:w="10" w:type="dxa"/>
          <w:trHeight w:val="300"/>
        </w:trPr>
        <w:tc>
          <w:tcPr>
            <w:tcW w:w="4962" w:type="dxa"/>
            <w:noWrap/>
            <w:vAlign w:val="center"/>
            <w:hideMark/>
          </w:tcPr>
          <w:p w14:paraId="07C61BE4"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Licitación pública internacional</w:t>
            </w:r>
          </w:p>
        </w:tc>
        <w:tc>
          <w:tcPr>
            <w:tcW w:w="1980" w:type="dxa"/>
            <w:noWrap/>
            <w:vAlign w:val="bottom"/>
            <w:hideMark/>
          </w:tcPr>
          <w:p w14:paraId="5628C0C9" w14:textId="77777777" w:rsidR="000B27B8" w:rsidRPr="006C2A50" w:rsidRDefault="000B27B8" w:rsidP="00F629E4">
            <w:pPr>
              <w:spacing w:after="0" w:line="240" w:lineRule="auto"/>
              <w:jc w:val="right"/>
              <w:rPr>
                <w:rFonts w:eastAsia="Times New Roman"/>
                <w:spacing w:val="0"/>
                <w:sz w:val="20"/>
                <w:szCs w:val="20"/>
                <w:lang w:val="es-DO" w:eastAsia="es-DO"/>
              </w:rPr>
            </w:pPr>
          </w:p>
        </w:tc>
        <w:tc>
          <w:tcPr>
            <w:tcW w:w="1670" w:type="dxa"/>
            <w:noWrap/>
            <w:vAlign w:val="center"/>
            <w:hideMark/>
          </w:tcPr>
          <w:p w14:paraId="7478B961"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N/A</w:t>
            </w:r>
          </w:p>
        </w:tc>
      </w:tr>
      <w:tr w:rsidR="000B27B8" w:rsidRPr="006C2A50" w14:paraId="5880CD39" w14:textId="77777777" w:rsidTr="000B27B8">
        <w:trPr>
          <w:gridAfter w:val="1"/>
          <w:wAfter w:w="10" w:type="dxa"/>
          <w:trHeight w:val="333"/>
        </w:trPr>
        <w:tc>
          <w:tcPr>
            <w:tcW w:w="4962" w:type="dxa"/>
            <w:noWrap/>
            <w:vAlign w:val="center"/>
            <w:hideMark/>
          </w:tcPr>
          <w:p w14:paraId="252902EB" w14:textId="77777777" w:rsidR="000B27B8" w:rsidRPr="006C2A50" w:rsidRDefault="000B27B8" w:rsidP="00DC3589">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Sorteo de obra</w:t>
            </w:r>
          </w:p>
        </w:tc>
        <w:tc>
          <w:tcPr>
            <w:tcW w:w="1980" w:type="dxa"/>
            <w:noWrap/>
            <w:vAlign w:val="center"/>
            <w:hideMark/>
          </w:tcPr>
          <w:p w14:paraId="3161C930"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RD$0.00</w:t>
            </w:r>
          </w:p>
        </w:tc>
        <w:tc>
          <w:tcPr>
            <w:tcW w:w="1670" w:type="dxa"/>
            <w:noWrap/>
            <w:vAlign w:val="center"/>
            <w:hideMark/>
          </w:tcPr>
          <w:p w14:paraId="0F700BC9"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RD$0.00</w:t>
            </w:r>
          </w:p>
        </w:tc>
      </w:tr>
      <w:tr w:rsidR="000B27B8" w:rsidRPr="006C2A50" w14:paraId="13597C5A" w14:textId="77777777" w:rsidTr="000B27B8">
        <w:trPr>
          <w:gridAfter w:val="1"/>
          <w:wAfter w:w="10" w:type="dxa"/>
          <w:trHeight w:val="510"/>
        </w:trPr>
        <w:tc>
          <w:tcPr>
            <w:tcW w:w="4962" w:type="dxa"/>
            <w:vAlign w:val="center"/>
            <w:hideMark/>
          </w:tcPr>
          <w:p w14:paraId="604DEE2E"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Excepción - obras científicas, técnicas, artísticas, o restauración de monumentos históricos</w:t>
            </w:r>
          </w:p>
        </w:tc>
        <w:tc>
          <w:tcPr>
            <w:tcW w:w="1980" w:type="dxa"/>
            <w:noWrap/>
            <w:hideMark/>
          </w:tcPr>
          <w:p w14:paraId="28B738D3" w14:textId="77777777" w:rsidR="000B27B8" w:rsidRPr="006C2A50" w:rsidRDefault="000B27B8" w:rsidP="00F629E4">
            <w:pPr>
              <w:spacing w:after="0" w:line="240" w:lineRule="auto"/>
              <w:jc w:val="right"/>
              <w:rPr>
                <w:rFonts w:eastAsia="Times New Roman"/>
                <w:spacing w:val="0"/>
                <w:sz w:val="20"/>
                <w:szCs w:val="20"/>
                <w:lang w:val="es-DO" w:eastAsia="es-DO"/>
              </w:rPr>
            </w:pPr>
          </w:p>
        </w:tc>
        <w:tc>
          <w:tcPr>
            <w:tcW w:w="1670" w:type="dxa"/>
            <w:noWrap/>
            <w:vAlign w:val="center"/>
            <w:hideMark/>
          </w:tcPr>
          <w:p w14:paraId="180BAF87"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N/A</w:t>
            </w:r>
          </w:p>
        </w:tc>
      </w:tr>
      <w:tr w:rsidR="000B27B8" w:rsidRPr="006C2A50" w14:paraId="114982D3" w14:textId="77777777" w:rsidTr="000B27B8">
        <w:trPr>
          <w:gridAfter w:val="1"/>
          <w:wAfter w:w="10" w:type="dxa"/>
          <w:trHeight w:val="297"/>
        </w:trPr>
        <w:tc>
          <w:tcPr>
            <w:tcW w:w="4962" w:type="dxa"/>
            <w:noWrap/>
            <w:vAlign w:val="center"/>
            <w:hideMark/>
          </w:tcPr>
          <w:p w14:paraId="6B0445E9" w14:textId="77777777" w:rsidR="000B27B8" w:rsidRPr="006C2A50" w:rsidRDefault="000B27B8" w:rsidP="00DC3589">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Excepción – bienes o servicios excl.</w:t>
            </w:r>
          </w:p>
        </w:tc>
        <w:tc>
          <w:tcPr>
            <w:tcW w:w="1980" w:type="dxa"/>
            <w:noWrap/>
            <w:vAlign w:val="center"/>
            <w:hideMark/>
          </w:tcPr>
          <w:p w14:paraId="1DFAE4D9"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RD$1,525,800.00</w:t>
            </w:r>
          </w:p>
        </w:tc>
        <w:tc>
          <w:tcPr>
            <w:tcW w:w="1670" w:type="dxa"/>
            <w:noWrap/>
            <w:vAlign w:val="center"/>
            <w:hideMark/>
          </w:tcPr>
          <w:p w14:paraId="3D2A0D35"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 xml:space="preserve">RD$0.00  </w:t>
            </w:r>
          </w:p>
        </w:tc>
      </w:tr>
      <w:tr w:rsidR="000B27B8" w:rsidRPr="006C2A50" w14:paraId="2FD08105" w14:textId="77777777" w:rsidTr="000B27B8">
        <w:trPr>
          <w:gridAfter w:val="1"/>
          <w:wAfter w:w="10" w:type="dxa"/>
          <w:trHeight w:val="385"/>
        </w:trPr>
        <w:tc>
          <w:tcPr>
            <w:tcW w:w="4962" w:type="dxa"/>
            <w:vAlign w:val="center"/>
            <w:hideMark/>
          </w:tcPr>
          <w:p w14:paraId="4C2C8097" w14:textId="77777777" w:rsidR="000B27B8" w:rsidRPr="006C2A50" w:rsidRDefault="000B27B8" w:rsidP="00DC3589">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Excepción – Contratación          publicidad a través de medios de comunicación social</w:t>
            </w:r>
          </w:p>
        </w:tc>
        <w:tc>
          <w:tcPr>
            <w:tcW w:w="1980" w:type="dxa"/>
            <w:noWrap/>
            <w:vAlign w:val="center"/>
            <w:hideMark/>
          </w:tcPr>
          <w:p w14:paraId="624DF393"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RD$ 0.00</w:t>
            </w:r>
          </w:p>
        </w:tc>
        <w:tc>
          <w:tcPr>
            <w:tcW w:w="1670" w:type="dxa"/>
            <w:noWrap/>
            <w:vAlign w:val="center"/>
            <w:hideMark/>
          </w:tcPr>
          <w:p w14:paraId="63863C9F"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 xml:space="preserve">RD$0.00  </w:t>
            </w:r>
          </w:p>
        </w:tc>
      </w:tr>
      <w:tr w:rsidR="000B27B8" w:rsidRPr="006C2A50" w14:paraId="0AE7D4F5" w14:textId="77777777" w:rsidTr="000B27B8">
        <w:trPr>
          <w:gridAfter w:val="1"/>
          <w:wAfter w:w="10" w:type="dxa"/>
          <w:trHeight w:val="285"/>
        </w:trPr>
        <w:tc>
          <w:tcPr>
            <w:tcW w:w="4962" w:type="dxa"/>
            <w:noWrap/>
            <w:vAlign w:val="center"/>
            <w:hideMark/>
          </w:tcPr>
          <w:p w14:paraId="6CF26DD0" w14:textId="77777777" w:rsidR="000B27B8" w:rsidRPr="006C2A50" w:rsidRDefault="000B27B8" w:rsidP="00DC3589">
            <w:pPr>
              <w:spacing w:after="0" w:line="240" w:lineRule="auto"/>
              <w:rPr>
                <w:rFonts w:eastAsia="Times New Roman"/>
                <w:spacing w:val="0"/>
                <w:sz w:val="20"/>
                <w:szCs w:val="20"/>
                <w:lang w:val="es-DO" w:eastAsia="es-DO"/>
              </w:rPr>
            </w:pPr>
            <w:r w:rsidRPr="006C2A50">
              <w:rPr>
                <w:rFonts w:eastAsia="Times New Roman"/>
                <w:spacing w:val="0"/>
                <w:sz w:val="20"/>
                <w:szCs w:val="20"/>
                <w:lang w:val="es-DO" w:eastAsia="es-DO"/>
              </w:rPr>
              <w:t>Excepción – proveedor único.</w:t>
            </w:r>
          </w:p>
        </w:tc>
        <w:tc>
          <w:tcPr>
            <w:tcW w:w="1980" w:type="dxa"/>
            <w:noWrap/>
            <w:vAlign w:val="center"/>
            <w:hideMark/>
          </w:tcPr>
          <w:p w14:paraId="2B6BABF7"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RD$ 0.00</w:t>
            </w:r>
          </w:p>
        </w:tc>
        <w:tc>
          <w:tcPr>
            <w:tcW w:w="1670" w:type="dxa"/>
            <w:noWrap/>
            <w:vAlign w:val="center"/>
            <w:hideMark/>
          </w:tcPr>
          <w:p w14:paraId="5CB0EFAE"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 xml:space="preserve">RD$0.00  </w:t>
            </w:r>
          </w:p>
        </w:tc>
      </w:tr>
      <w:tr w:rsidR="000B27B8" w:rsidRPr="006C2A50" w14:paraId="3F380C43" w14:textId="77777777" w:rsidTr="000B27B8">
        <w:trPr>
          <w:gridAfter w:val="1"/>
          <w:wAfter w:w="10" w:type="dxa"/>
          <w:trHeight w:val="326"/>
        </w:trPr>
        <w:tc>
          <w:tcPr>
            <w:tcW w:w="4962" w:type="dxa"/>
            <w:vAlign w:val="center"/>
            <w:hideMark/>
          </w:tcPr>
          <w:p w14:paraId="7AE1804F"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 xml:space="preserve">Excepción - rescisión de contratos cuya terminación no exceda el 40% del monto total del proyecto, obra o servicio </w:t>
            </w:r>
          </w:p>
        </w:tc>
        <w:tc>
          <w:tcPr>
            <w:tcW w:w="1980" w:type="dxa"/>
            <w:noWrap/>
            <w:vAlign w:val="bottom"/>
            <w:hideMark/>
          </w:tcPr>
          <w:p w14:paraId="38045794" w14:textId="77777777" w:rsidR="000B27B8" w:rsidRPr="006C2A50" w:rsidRDefault="000B27B8" w:rsidP="00F629E4">
            <w:pPr>
              <w:spacing w:after="0" w:line="240" w:lineRule="auto"/>
              <w:jc w:val="right"/>
              <w:rPr>
                <w:rFonts w:eastAsia="Times New Roman"/>
                <w:spacing w:val="0"/>
                <w:sz w:val="20"/>
                <w:szCs w:val="20"/>
                <w:lang w:val="es-DO" w:eastAsia="es-DO"/>
              </w:rPr>
            </w:pPr>
          </w:p>
        </w:tc>
        <w:tc>
          <w:tcPr>
            <w:tcW w:w="1670" w:type="dxa"/>
            <w:noWrap/>
            <w:vAlign w:val="center"/>
            <w:hideMark/>
          </w:tcPr>
          <w:p w14:paraId="19A08C6E"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N/A</w:t>
            </w:r>
          </w:p>
        </w:tc>
      </w:tr>
      <w:tr w:rsidR="000B27B8" w:rsidRPr="006C2A50" w14:paraId="5CAB67E1" w14:textId="77777777" w:rsidTr="000B27B8">
        <w:trPr>
          <w:gridAfter w:val="1"/>
          <w:wAfter w:w="10" w:type="dxa"/>
          <w:trHeight w:val="127"/>
        </w:trPr>
        <w:tc>
          <w:tcPr>
            <w:tcW w:w="4962" w:type="dxa"/>
            <w:hideMark/>
          </w:tcPr>
          <w:p w14:paraId="643B37EF" w14:textId="77777777" w:rsidR="000B27B8" w:rsidRPr="006C2A50" w:rsidRDefault="000B27B8" w:rsidP="00DC3589">
            <w:pPr>
              <w:spacing w:after="0" w:line="240" w:lineRule="auto"/>
              <w:jc w:val="both"/>
              <w:rPr>
                <w:rFonts w:eastAsia="Times New Roman"/>
                <w:spacing w:val="0"/>
                <w:sz w:val="20"/>
                <w:szCs w:val="20"/>
                <w:lang w:val="es-DO" w:eastAsia="es-DO"/>
              </w:rPr>
            </w:pPr>
            <w:r w:rsidRPr="006C2A50">
              <w:rPr>
                <w:rFonts w:eastAsia="Times New Roman"/>
                <w:spacing w:val="0"/>
                <w:sz w:val="20"/>
                <w:szCs w:val="20"/>
                <w:lang w:val="es-DO" w:eastAsia="es-DO"/>
              </w:rPr>
              <w:t>Compra y contratación de combustible</w:t>
            </w:r>
          </w:p>
        </w:tc>
        <w:tc>
          <w:tcPr>
            <w:tcW w:w="1980" w:type="dxa"/>
            <w:noWrap/>
            <w:vAlign w:val="bottom"/>
            <w:hideMark/>
          </w:tcPr>
          <w:p w14:paraId="4EDDC49C" w14:textId="77777777" w:rsidR="000B27B8" w:rsidRPr="006C2A50" w:rsidRDefault="000B27B8" w:rsidP="00F629E4">
            <w:pPr>
              <w:spacing w:after="0" w:line="240" w:lineRule="auto"/>
              <w:jc w:val="right"/>
              <w:rPr>
                <w:rFonts w:eastAsia="Times New Roman"/>
                <w:spacing w:val="0"/>
                <w:sz w:val="20"/>
                <w:szCs w:val="20"/>
                <w:lang w:val="es-DO" w:eastAsia="es-DO"/>
              </w:rPr>
            </w:pPr>
          </w:p>
          <w:p w14:paraId="2CCC6705" w14:textId="77777777" w:rsidR="000B27B8" w:rsidRPr="006C2A50" w:rsidRDefault="000B27B8" w:rsidP="00F629E4">
            <w:pPr>
              <w:spacing w:after="0" w:line="240" w:lineRule="auto"/>
              <w:jc w:val="right"/>
              <w:rPr>
                <w:rFonts w:eastAsia="Times New Roman"/>
                <w:spacing w:val="0"/>
                <w:sz w:val="20"/>
                <w:szCs w:val="20"/>
                <w:lang w:val="es-DO" w:eastAsia="es-DO"/>
              </w:rPr>
            </w:pPr>
          </w:p>
        </w:tc>
        <w:tc>
          <w:tcPr>
            <w:tcW w:w="1670" w:type="dxa"/>
            <w:noWrap/>
            <w:vAlign w:val="center"/>
            <w:hideMark/>
          </w:tcPr>
          <w:p w14:paraId="3898F632" w14:textId="77777777" w:rsidR="000B27B8" w:rsidRPr="006C2A50" w:rsidRDefault="000B27B8" w:rsidP="00F629E4">
            <w:pPr>
              <w:spacing w:after="0" w:line="240" w:lineRule="auto"/>
              <w:jc w:val="right"/>
              <w:rPr>
                <w:rFonts w:eastAsia="Times New Roman"/>
                <w:spacing w:val="0"/>
                <w:sz w:val="20"/>
                <w:szCs w:val="20"/>
                <w:lang w:val="es-DO" w:eastAsia="es-DO"/>
              </w:rPr>
            </w:pPr>
            <w:r w:rsidRPr="006C2A50">
              <w:rPr>
                <w:rFonts w:eastAsia="Times New Roman"/>
                <w:spacing w:val="0"/>
                <w:sz w:val="20"/>
                <w:szCs w:val="20"/>
                <w:lang w:val="es-DO" w:eastAsia="es-DO"/>
              </w:rPr>
              <w:t>RD$1,247,910.40</w:t>
            </w:r>
          </w:p>
          <w:p w14:paraId="5F29ABA9" w14:textId="77777777" w:rsidR="000B27B8" w:rsidRPr="006C2A50" w:rsidRDefault="000B27B8" w:rsidP="00F629E4">
            <w:pPr>
              <w:spacing w:after="0" w:line="240" w:lineRule="auto"/>
              <w:jc w:val="right"/>
              <w:rPr>
                <w:rFonts w:eastAsia="Times New Roman"/>
                <w:spacing w:val="0"/>
                <w:sz w:val="20"/>
                <w:szCs w:val="20"/>
                <w:lang w:val="es-DO" w:eastAsia="es-DO"/>
              </w:rPr>
            </w:pPr>
          </w:p>
        </w:tc>
      </w:tr>
    </w:tbl>
    <w:p w14:paraId="1D14190C" w14:textId="77777777" w:rsidR="006946C0" w:rsidRDefault="006946C0" w:rsidP="006946C0">
      <w:pPr>
        <w:spacing w:line="360" w:lineRule="auto"/>
        <w:rPr>
          <w:rStyle w:val="normaltextrun"/>
          <w:b/>
          <w:bCs/>
          <w:sz w:val="28"/>
          <w:szCs w:val="28"/>
          <w:shd w:val="clear" w:color="auto" w:fill="FFFFFF"/>
        </w:rPr>
      </w:pPr>
    </w:p>
    <w:sectPr w:rsidR="006946C0" w:rsidSect="00FE55BE">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E055A" w14:textId="77777777" w:rsidR="00241B36" w:rsidRDefault="00241B36" w:rsidP="00E84651">
      <w:pPr>
        <w:spacing w:after="0" w:line="240" w:lineRule="auto"/>
      </w:pPr>
      <w:r>
        <w:separator/>
      </w:r>
    </w:p>
  </w:endnote>
  <w:endnote w:type="continuationSeparator" w:id="0">
    <w:p w14:paraId="02D66EAA" w14:textId="77777777" w:rsidR="00241B36" w:rsidRDefault="00241B36" w:rsidP="00E84651">
      <w:pPr>
        <w:spacing w:after="0" w:line="240" w:lineRule="auto"/>
      </w:pPr>
      <w:r>
        <w:continuationSeparator/>
      </w:r>
    </w:p>
  </w:endnote>
  <w:endnote w:type="continuationNotice" w:id="1">
    <w:p w14:paraId="3B2F4943" w14:textId="77777777" w:rsidR="00241B36" w:rsidRDefault="00241B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0244649"/>
      <w:docPartObj>
        <w:docPartGallery w:val="Page Numbers (Bottom of Page)"/>
        <w:docPartUnique/>
      </w:docPartObj>
    </w:sdtPr>
    <w:sdtEndPr>
      <w:rPr>
        <w:noProof/>
      </w:rPr>
    </w:sdtEndPr>
    <w:sdtContent>
      <w:p w14:paraId="133F751B" w14:textId="77777777" w:rsidR="00B05319" w:rsidRDefault="00B05319" w:rsidP="0021106F">
        <w:pPr>
          <w:pStyle w:val="Piedepgina"/>
          <w:jc w:val="center"/>
        </w:pPr>
        <w:r>
          <w:rPr>
            <w:noProof/>
          </w:rPr>
          <w:drawing>
            <wp:anchor distT="0" distB="0" distL="114300" distR="114300" simplePos="0" relativeHeight="251658241" behindDoc="0" locked="0" layoutInCell="1" allowOverlap="1" wp14:anchorId="66331474" wp14:editId="50A48F7D">
              <wp:simplePos x="0" y="0"/>
              <wp:positionH relativeFrom="column">
                <wp:posOffset>1059180</wp:posOffset>
              </wp:positionH>
              <wp:positionV relativeFrom="paragraph">
                <wp:posOffset>382270</wp:posOffset>
              </wp:positionV>
              <wp:extent cx="2995930" cy="408305"/>
              <wp:effectExtent l="0" t="0" r="0" b="0"/>
              <wp:wrapTopAndBottom/>
              <wp:docPr id="793621562" name="Imagen 79362156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47C4BE7" w14:textId="77777777" w:rsidR="00B05319" w:rsidRDefault="00B05319" w:rsidP="0021106F">
        <w:pPr>
          <w:pStyle w:val="Piedepgina"/>
          <w:jc w:val="center"/>
          <w:rPr>
            <w:color w:val="7F7F7F" w:themeColor="text1" w:themeTint="80"/>
          </w:rPr>
        </w:pPr>
      </w:p>
      <w:p w14:paraId="2F788E26" w14:textId="77777777" w:rsidR="00B05319" w:rsidRDefault="00B05319"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CAAE" w14:textId="77777777" w:rsidR="009A5996" w:rsidRDefault="009A5996" w:rsidP="00124FDC">
    <w:pPr>
      <w:pStyle w:val="Piedepgina"/>
      <w:jc w:val="center"/>
      <w:rPr>
        <w:color w:val="7F7F7F" w:themeColor="text1" w:themeTint="80"/>
      </w:rPr>
    </w:pPr>
  </w:p>
  <w:p w14:paraId="7FC514E6" w14:textId="4C8041A9" w:rsidR="00124FDC" w:rsidRDefault="00124FDC" w:rsidP="00124FDC">
    <w:pPr>
      <w:pStyle w:val="Piedepgina"/>
      <w:jc w:val="center"/>
      <w:rPr>
        <w:color w:val="7F7F7F" w:themeColor="text1" w:themeTint="80"/>
      </w:rPr>
    </w:pPr>
    <w:r>
      <w:rPr>
        <w:noProof/>
      </w:rPr>
      <w:drawing>
        <wp:anchor distT="0" distB="0" distL="114300" distR="114300" simplePos="0" relativeHeight="251658243" behindDoc="0" locked="0" layoutInCell="1" allowOverlap="1" wp14:anchorId="1666304B" wp14:editId="695759D4">
          <wp:simplePos x="0" y="0"/>
          <wp:positionH relativeFrom="margin">
            <wp:align>center</wp:align>
          </wp:positionH>
          <wp:positionV relativeFrom="paragraph">
            <wp:posOffset>-97906</wp:posOffset>
          </wp:positionV>
          <wp:extent cx="2995930" cy="408305"/>
          <wp:effectExtent l="0" t="0" r="0" b="0"/>
          <wp:wrapSquare wrapText="bothSides"/>
          <wp:docPr id="99708058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6BFC533" w14:textId="77777777" w:rsidR="00124FDC" w:rsidRDefault="00124FDC" w:rsidP="00124FDC">
    <w:pPr>
      <w:pStyle w:val="Piedepgina"/>
      <w:jc w:val="center"/>
      <w:rPr>
        <w:color w:val="7F7F7F" w:themeColor="text1" w:themeTint="80"/>
      </w:rPr>
    </w:pPr>
  </w:p>
  <w:p w14:paraId="17A17915" w14:textId="404650E2" w:rsidR="00AA7770" w:rsidRDefault="00124FDC" w:rsidP="00124FDC">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21</w:t>
    </w:r>
    <w:r w:rsidRPr="00F74112">
      <w:rPr>
        <w:noProof/>
        <w:color w:val="7F7F7F" w:themeColor="text1" w:themeTint="8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BFE6" w14:textId="553C95B3" w:rsidR="00364478" w:rsidRDefault="00364478" w:rsidP="00364478">
    <w:pPr>
      <w:pStyle w:val="Piedepgina"/>
      <w:jc w:val="center"/>
      <w:rPr>
        <w:color w:val="7F7F7F" w:themeColor="text1" w:themeTint="80"/>
      </w:rPr>
    </w:pPr>
    <w:r>
      <w:rPr>
        <w:noProof/>
      </w:rPr>
      <w:drawing>
        <wp:anchor distT="0" distB="0" distL="114300" distR="114300" simplePos="0" relativeHeight="251658242" behindDoc="0" locked="0" layoutInCell="1" allowOverlap="1" wp14:anchorId="34BD03EF" wp14:editId="35F2838A">
          <wp:simplePos x="0" y="0"/>
          <wp:positionH relativeFrom="margin">
            <wp:align>center</wp:align>
          </wp:positionH>
          <wp:positionV relativeFrom="paragraph">
            <wp:posOffset>-97906</wp:posOffset>
          </wp:positionV>
          <wp:extent cx="2995930" cy="408305"/>
          <wp:effectExtent l="0" t="0" r="0" b="0"/>
          <wp:wrapSquare wrapText="bothSides"/>
          <wp:docPr id="23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66C14E3" w14:textId="77777777" w:rsidR="00364478" w:rsidRDefault="00364478" w:rsidP="00364478">
    <w:pPr>
      <w:pStyle w:val="Piedepgina"/>
      <w:jc w:val="center"/>
      <w:rPr>
        <w:color w:val="7F7F7F" w:themeColor="text1" w:themeTint="80"/>
      </w:rPr>
    </w:pPr>
  </w:p>
  <w:p w14:paraId="516F573A" w14:textId="5D4B8E28" w:rsidR="00364478" w:rsidRDefault="00364478" w:rsidP="00364478">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1</w:t>
    </w:r>
    <w:r w:rsidRPr="00F74112">
      <w:rPr>
        <w:noProof/>
        <w:color w:val="7F7F7F" w:themeColor="text1" w:themeTint="8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23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BBB23" w14:textId="77777777" w:rsidR="00241B36" w:rsidRDefault="00241B36" w:rsidP="00E84651">
      <w:pPr>
        <w:spacing w:after="0" w:line="240" w:lineRule="auto"/>
      </w:pPr>
      <w:r>
        <w:separator/>
      </w:r>
    </w:p>
  </w:footnote>
  <w:footnote w:type="continuationSeparator" w:id="0">
    <w:p w14:paraId="43917CC6" w14:textId="77777777" w:rsidR="00241B36" w:rsidRDefault="00241B36" w:rsidP="00E84651">
      <w:pPr>
        <w:spacing w:after="0" w:line="240" w:lineRule="auto"/>
      </w:pPr>
      <w:r>
        <w:continuationSeparator/>
      </w:r>
    </w:p>
  </w:footnote>
  <w:footnote w:type="continuationNotice" w:id="1">
    <w:p w14:paraId="42BC68C4" w14:textId="77777777" w:rsidR="00241B36" w:rsidRDefault="00241B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E8897" w14:textId="77777777" w:rsidR="00B05319" w:rsidRDefault="00B053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42F5"/>
    <w:multiLevelType w:val="singleLevel"/>
    <w:tmpl w:val="070C42F5"/>
    <w:lvl w:ilvl="0">
      <w:start w:val="1"/>
      <w:numFmt w:val="bullet"/>
      <w:lvlText w:val=""/>
      <w:lvlJc w:val="left"/>
      <w:pPr>
        <w:tabs>
          <w:tab w:val="left" w:pos="840"/>
        </w:tabs>
        <w:ind w:left="838" w:hanging="418"/>
      </w:pPr>
      <w:rPr>
        <w:rFonts w:ascii="Wingdings" w:hAnsi="Wingdings" w:cs="Wingdings" w:hint="default"/>
        <w:sz w:val="10"/>
      </w:rPr>
    </w:lvl>
  </w:abstractNum>
  <w:abstractNum w:abstractNumId="1" w15:restartNumberingAfterBreak="0">
    <w:nsid w:val="09C337DA"/>
    <w:multiLevelType w:val="hybridMultilevel"/>
    <w:tmpl w:val="C0CE4F7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D843B59"/>
    <w:multiLevelType w:val="hybridMultilevel"/>
    <w:tmpl w:val="E4E0118C"/>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3" w15:restartNumberingAfterBreak="0">
    <w:nsid w:val="0F9B5503"/>
    <w:multiLevelType w:val="hybridMultilevel"/>
    <w:tmpl w:val="48E26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34605"/>
    <w:multiLevelType w:val="hybridMultilevel"/>
    <w:tmpl w:val="2C0C285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422B4D"/>
    <w:multiLevelType w:val="multilevel"/>
    <w:tmpl w:val="19422B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306B32"/>
    <w:multiLevelType w:val="hybridMultilevel"/>
    <w:tmpl w:val="6F928F7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AE87389"/>
    <w:multiLevelType w:val="multilevel"/>
    <w:tmpl w:val="1AE87389"/>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1E4B5AF5"/>
    <w:multiLevelType w:val="multilevel"/>
    <w:tmpl w:val="7FC88AFC"/>
    <w:lvl w:ilvl="0">
      <w:start w:val="1"/>
      <w:numFmt w:val="decimal"/>
      <w:lvlText w:val="%1."/>
      <w:lvlJc w:val="left"/>
      <w:pPr>
        <w:ind w:left="720" w:hanging="360"/>
      </w:pPr>
      <w:rPr>
        <w:rFonts w:hint="default"/>
        <w:b/>
        <w:bCs/>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FA54661"/>
    <w:multiLevelType w:val="multilevel"/>
    <w:tmpl w:val="1FA546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B3D0543"/>
    <w:multiLevelType w:val="multilevel"/>
    <w:tmpl w:val="549EAEB2"/>
    <w:lvl w:ilvl="0">
      <w:start w:val="1"/>
      <w:numFmt w:val="bullet"/>
      <w:lvlText w:val=""/>
      <w:lvlJc w:val="left"/>
      <w:pPr>
        <w:tabs>
          <w:tab w:val="num" w:pos="2160"/>
        </w:tabs>
        <w:ind w:left="2160" w:hanging="360"/>
      </w:pPr>
      <w:rPr>
        <w:rFonts w:ascii="Symbol" w:hAnsi="Symbol" w:hint="default"/>
        <w:sz w:val="20"/>
      </w:rPr>
    </w:lvl>
    <w:lvl w:ilvl="1">
      <w:numFmt w:val="bullet"/>
      <w:lvlText w:val="•"/>
      <w:lvlJc w:val="left"/>
      <w:pPr>
        <w:ind w:left="3240" w:hanging="720"/>
      </w:pPr>
      <w:rPr>
        <w:rFonts w:ascii="Times New Roman" w:eastAsia="Times New Roman" w:hAnsi="Times New Roman" w:cs="Times New Roman" w:hint="default"/>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11" w15:restartNumberingAfterBreak="0">
    <w:nsid w:val="323F478E"/>
    <w:multiLevelType w:val="multilevel"/>
    <w:tmpl w:val="D2604F66"/>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 w15:restartNumberingAfterBreak="0">
    <w:nsid w:val="33EDF292"/>
    <w:multiLevelType w:val="singleLevel"/>
    <w:tmpl w:val="33EDF292"/>
    <w:lvl w:ilvl="0">
      <w:start w:val="1"/>
      <w:numFmt w:val="bullet"/>
      <w:lvlText w:val=""/>
      <w:lvlJc w:val="left"/>
      <w:pPr>
        <w:tabs>
          <w:tab w:val="left" w:pos="840"/>
        </w:tabs>
        <w:ind w:left="838" w:hanging="418"/>
      </w:pPr>
      <w:rPr>
        <w:rFonts w:ascii="Wingdings" w:hAnsi="Wingdings" w:cs="Wingdings" w:hint="default"/>
        <w:sz w:val="10"/>
      </w:rPr>
    </w:lvl>
  </w:abstractNum>
  <w:abstractNum w:abstractNumId="13" w15:restartNumberingAfterBreak="0">
    <w:nsid w:val="356471DC"/>
    <w:multiLevelType w:val="hybridMultilevel"/>
    <w:tmpl w:val="381E36C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7EF0627"/>
    <w:multiLevelType w:val="multilevel"/>
    <w:tmpl w:val="3DD6C3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15" w15:restartNumberingAfterBreak="0">
    <w:nsid w:val="3EF74EB9"/>
    <w:multiLevelType w:val="hybridMultilevel"/>
    <w:tmpl w:val="AD344B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1686BAA"/>
    <w:multiLevelType w:val="hybridMultilevel"/>
    <w:tmpl w:val="46047BE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5441698"/>
    <w:multiLevelType w:val="multilevel"/>
    <w:tmpl w:val="45441698"/>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abstractNum w:abstractNumId="18" w15:restartNumberingAfterBreak="0">
    <w:nsid w:val="4C6D4790"/>
    <w:multiLevelType w:val="hybridMultilevel"/>
    <w:tmpl w:val="56BA9C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D6E297A"/>
    <w:multiLevelType w:val="hybridMultilevel"/>
    <w:tmpl w:val="D0608C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0726A1C"/>
    <w:multiLevelType w:val="hybridMultilevel"/>
    <w:tmpl w:val="EEE8D74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1E575AB"/>
    <w:multiLevelType w:val="multilevel"/>
    <w:tmpl w:val="51E575A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5FE401D"/>
    <w:multiLevelType w:val="hybridMultilevel"/>
    <w:tmpl w:val="D0F876AA"/>
    <w:lvl w:ilvl="0" w:tplc="33EDF292">
      <w:start w:val="1"/>
      <w:numFmt w:val="bullet"/>
      <w:lvlText w:val=""/>
      <w:lvlJc w:val="left"/>
      <w:pPr>
        <w:ind w:left="720" w:hanging="360"/>
      </w:pPr>
      <w:rPr>
        <w:rFonts w:ascii="Wingdings" w:hAnsi="Wingdings" w:cs="Wingdings" w:hint="default"/>
        <w:sz w:val="10"/>
      </w:rPr>
    </w:lvl>
    <w:lvl w:ilvl="1" w:tplc="CC1CF7CE">
      <w:numFmt w:val="bullet"/>
      <w:lvlText w:val="•"/>
      <w:lvlJc w:val="left"/>
      <w:pPr>
        <w:ind w:left="1440" w:hanging="360"/>
      </w:pPr>
      <w:rPr>
        <w:rFonts w:ascii="Times New Roman" w:eastAsia="Calibri"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0EE5A33"/>
    <w:multiLevelType w:val="hybridMultilevel"/>
    <w:tmpl w:val="2ECA6FB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620526D8"/>
    <w:multiLevelType w:val="multilevel"/>
    <w:tmpl w:val="620526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42957EE"/>
    <w:multiLevelType w:val="multilevel"/>
    <w:tmpl w:val="3DD6C3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26" w15:restartNumberingAfterBreak="0">
    <w:nsid w:val="65814FD3"/>
    <w:multiLevelType w:val="hybridMultilevel"/>
    <w:tmpl w:val="9B7A1B5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629761B"/>
    <w:multiLevelType w:val="hybridMultilevel"/>
    <w:tmpl w:val="6C94E74A"/>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8" w15:restartNumberingAfterBreak="0">
    <w:nsid w:val="664C35E3"/>
    <w:multiLevelType w:val="hybridMultilevel"/>
    <w:tmpl w:val="F61AD0F4"/>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913F21"/>
    <w:multiLevelType w:val="multilevel"/>
    <w:tmpl w:val="69913F2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43456E"/>
    <w:multiLevelType w:val="hybridMultilevel"/>
    <w:tmpl w:val="7E0279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6CDF6753"/>
    <w:multiLevelType w:val="hybridMultilevel"/>
    <w:tmpl w:val="45CC3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EE52C3"/>
    <w:multiLevelType w:val="hybridMultilevel"/>
    <w:tmpl w:val="73D42BC8"/>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5465674"/>
    <w:multiLevelType w:val="hybridMultilevel"/>
    <w:tmpl w:val="D556E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23078F"/>
    <w:multiLevelType w:val="multilevel"/>
    <w:tmpl w:val="7923078F"/>
    <w:lvl w:ilvl="0">
      <w:start w:val="1"/>
      <w:numFmt w:val="decimal"/>
      <w:lvlText w:val="%1."/>
      <w:lvlJc w:val="left"/>
      <w:pPr>
        <w:ind w:left="825" w:hanging="46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EC23695"/>
    <w:multiLevelType w:val="hybridMultilevel"/>
    <w:tmpl w:val="E82CA85A"/>
    <w:lvl w:ilvl="0" w:tplc="F2369078">
      <w:start w:val="1"/>
      <w:numFmt w:val="decimal"/>
      <w:lvlText w:val="(%1)"/>
      <w:lvlJc w:val="left"/>
      <w:pPr>
        <w:ind w:left="720" w:hanging="360"/>
      </w:pPr>
      <w:rPr>
        <w:rFonts w:hint="default"/>
        <w:vertAlign w:val="superscrip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027414643">
    <w:abstractNumId w:val="32"/>
  </w:num>
  <w:num w:numId="2" w16cid:durableId="1162622682">
    <w:abstractNumId w:val="6"/>
  </w:num>
  <w:num w:numId="3" w16cid:durableId="507251417">
    <w:abstractNumId w:val="20"/>
  </w:num>
  <w:num w:numId="4" w16cid:durableId="919103312">
    <w:abstractNumId w:val="11"/>
  </w:num>
  <w:num w:numId="5" w16cid:durableId="2141459228">
    <w:abstractNumId w:val="33"/>
  </w:num>
  <w:num w:numId="6" w16cid:durableId="1351956066">
    <w:abstractNumId w:val="23"/>
  </w:num>
  <w:num w:numId="7" w16cid:durableId="1553926066">
    <w:abstractNumId w:val="1"/>
  </w:num>
  <w:num w:numId="8" w16cid:durableId="1719012722">
    <w:abstractNumId w:val="35"/>
  </w:num>
  <w:num w:numId="9" w16cid:durableId="126163644">
    <w:abstractNumId w:val="19"/>
  </w:num>
  <w:num w:numId="10" w16cid:durableId="279142955">
    <w:abstractNumId w:val="18"/>
  </w:num>
  <w:num w:numId="11" w16cid:durableId="1974870773">
    <w:abstractNumId w:val="27"/>
  </w:num>
  <w:num w:numId="12" w16cid:durableId="12802368">
    <w:abstractNumId w:val="2"/>
  </w:num>
  <w:num w:numId="13" w16cid:durableId="10231642">
    <w:abstractNumId w:val="25"/>
  </w:num>
  <w:num w:numId="14" w16cid:durableId="1900749002">
    <w:abstractNumId w:val="10"/>
  </w:num>
  <w:num w:numId="15" w16cid:durableId="491675780">
    <w:abstractNumId w:val="14"/>
  </w:num>
  <w:num w:numId="16" w16cid:durableId="1867983000">
    <w:abstractNumId w:val="8"/>
  </w:num>
  <w:num w:numId="17" w16cid:durableId="694228454">
    <w:abstractNumId w:val="30"/>
  </w:num>
  <w:num w:numId="18" w16cid:durableId="96102195">
    <w:abstractNumId w:val="15"/>
  </w:num>
  <w:num w:numId="19" w16cid:durableId="16347770">
    <w:abstractNumId w:val="16"/>
  </w:num>
  <w:num w:numId="20" w16cid:durableId="90667178">
    <w:abstractNumId w:val="26"/>
  </w:num>
  <w:num w:numId="21" w16cid:durableId="564796940">
    <w:abstractNumId w:val="28"/>
  </w:num>
  <w:num w:numId="22" w16cid:durableId="1174416314">
    <w:abstractNumId w:val="24"/>
  </w:num>
  <w:num w:numId="23" w16cid:durableId="2108502286">
    <w:abstractNumId w:val="29"/>
  </w:num>
  <w:num w:numId="24" w16cid:durableId="2071347133">
    <w:abstractNumId w:val="7"/>
  </w:num>
  <w:num w:numId="25" w16cid:durableId="176622438">
    <w:abstractNumId w:val="21"/>
  </w:num>
  <w:num w:numId="26" w16cid:durableId="336923729">
    <w:abstractNumId w:val="5"/>
  </w:num>
  <w:num w:numId="27" w16cid:durableId="1991247827">
    <w:abstractNumId w:val="12"/>
  </w:num>
  <w:num w:numId="28" w16cid:durableId="739182435">
    <w:abstractNumId w:val="34"/>
  </w:num>
  <w:num w:numId="29" w16cid:durableId="1879121273">
    <w:abstractNumId w:val="17"/>
  </w:num>
  <w:num w:numId="30" w16cid:durableId="1196045007">
    <w:abstractNumId w:val="0"/>
  </w:num>
  <w:num w:numId="31" w16cid:durableId="101655484">
    <w:abstractNumId w:val="9"/>
  </w:num>
  <w:num w:numId="32" w16cid:durableId="2091585957">
    <w:abstractNumId w:val="3"/>
  </w:num>
  <w:num w:numId="33" w16cid:durableId="1594122301">
    <w:abstractNumId w:val="31"/>
  </w:num>
  <w:num w:numId="34" w16cid:durableId="188178168">
    <w:abstractNumId w:val="13"/>
  </w:num>
  <w:num w:numId="35" w16cid:durableId="2124840174">
    <w:abstractNumId w:val="4"/>
  </w:num>
  <w:num w:numId="36" w16cid:durableId="1130628404">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D9D"/>
    <w:rsid w:val="00001BDE"/>
    <w:rsid w:val="00002E19"/>
    <w:rsid w:val="00003B88"/>
    <w:rsid w:val="00003CFB"/>
    <w:rsid w:val="00006454"/>
    <w:rsid w:val="00007E0B"/>
    <w:rsid w:val="000114B9"/>
    <w:rsid w:val="00012401"/>
    <w:rsid w:val="0001317E"/>
    <w:rsid w:val="000144E6"/>
    <w:rsid w:val="0002147F"/>
    <w:rsid w:val="0002212C"/>
    <w:rsid w:val="00024CF9"/>
    <w:rsid w:val="0002562F"/>
    <w:rsid w:val="00025ED1"/>
    <w:rsid w:val="00027A74"/>
    <w:rsid w:val="00031086"/>
    <w:rsid w:val="00032423"/>
    <w:rsid w:val="00033CD1"/>
    <w:rsid w:val="00035FB3"/>
    <w:rsid w:val="00036DE7"/>
    <w:rsid w:val="00046039"/>
    <w:rsid w:val="00046166"/>
    <w:rsid w:val="000462A2"/>
    <w:rsid w:val="000465F6"/>
    <w:rsid w:val="00047C14"/>
    <w:rsid w:val="00047F7E"/>
    <w:rsid w:val="00053F53"/>
    <w:rsid w:val="00057DDB"/>
    <w:rsid w:val="00060C4B"/>
    <w:rsid w:val="000632E5"/>
    <w:rsid w:val="000651C6"/>
    <w:rsid w:val="00066A91"/>
    <w:rsid w:val="00067A92"/>
    <w:rsid w:val="00072AFB"/>
    <w:rsid w:val="0007427A"/>
    <w:rsid w:val="0007427E"/>
    <w:rsid w:val="00074C42"/>
    <w:rsid w:val="00074D1A"/>
    <w:rsid w:val="00076070"/>
    <w:rsid w:val="00076313"/>
    <w:rsid w:val="00080096"/>
    <w:rsid w:val="00082273"/>
    <w:rsid w:val="00084542"/>
    <w:rsid w:val="000847F1"/>
    <w:rsid w:val="00090B89"/>
    <w:rsid w:val="00091E7C"/>
    <w:rsid w:val="000925AF"/>
    <w:rsid w:val="00095AB8"/>
    <w:rsid w:val="000960E2"/>
    <w:rsid w:val="000A08DB"/>
    <w:rsid w:val="000A11F4"/>
    <w:rsid w:val="000A2322"/>
    <w:rsid w:val="000A50B6"/>
    <w:rsid w:val="000A74E4"/>
    <w:rsid w:val="000A764A"/>
    <w:rsid w:val="000B27B8"/>
    <w:rsid w:val="000B30E8"/>
    <w:rsid w:val="000B471E"/>
    <w:rsid w:val="000B6A69"/>
    <w:rsid w:val="000C161A"/>
    <w:rsid w:val="000C1755"/>
    <w:rsid w:val="000C3C90"/>
    <w:rsid w:val="000C4AFB"/>
    <w:rsid w:val="000C5160"/>
    <w:rsid w:val="000D0213"/>
    <w:rsid w:val="000D0912"/>
    <w:rsid w:val="000D15DD"/>
    <w:rsid w:val="000D160A"/>
    <w:rsid w:val="000D1C12"/>
    <w:rsid w:val="000D20EF"/>
    <w:rsid w:val="000D3142"/>
    <w:rsid w:val="000D3426"/>
    <w:rsid w:val="000D365D"/>
    <w:rsid w:val="000D5F7F"/>
    <w:rsid w:val="000D631F"/>
    <w:rsid w:val="000D6846"/>
    <w:rsid w:val="000D6ED0"/>
    <w:rsid w:val="000D7579"/>
    <w:rsid w:val="000E3911"/>
    <w:rsid w:val="000E54FD"/>
    <w:rsid w:val="000F0553"/>
    <w:rsid w:val="000F2DC9"/>
    <w:rsid w:val="000F346E"/>
    <w:rsid w:val="000F38E8"/>
    <w:rsid w:val="000F3BCE"/>
    <w:rsid w:val="000F52FB"/>
    <w:rsid w:val="001043FA"/>
    <w:rsid w:val="00106E1D"/>
    <w:rsid w:val="00107B35"/>
    <w:rsid w:val="00111314"/>
    <w:rsid w:val="0011156B"/>
    <w:rsid w:val="00111936"/>
    <w:rsid w:val="00114447"/>
    <w:rsid w:val="00114F2A"/>
    <w:rsid w:val="001160CA"/>
    <w:rsid w:val="00116FE4"/>
    <w:rsid w:val="001204E0"/>
    <w:rsid w:val="00122F73"/>
    <w:rsid w:val="001240D0"/>
    <w:rsid w:val="00124FDC"/>
    <w:rsid w:val="00125D46"/>
    <w:rsid w:val="0012764C"/>
    <w:rsid w:val="00130A30"/>
    <w:rsid w:val="001318A1"/>
    <w:rsid w:val="001373F1"/>
    <w:rsid w:val="001420C5"/>
    <w:rsid w:val="00145C2F"/>
    <w:rsid w:val="001525B1"/>
    <w:rsid w:val="00152E17"/>
    <w:rsid w:val="001549AB"/>
    <w:rsid w:val="001555C1"/>
    <w:rsid w:val="00156798"/>
    <w:rsid w:val="00156945"/>
    <w:rsid w:val="001574E2"/>
    <w:rsid w:val="00157796"/>
    <w:rsid w:val="001601C5"/>
    <w:rsid w:val="00161096"/>
    <w:rsid w:val="00164C96"/>
    <w:rsid w:val="001705D0"/>
    <w:rsid w:val="001714A7"/>
    <w:rsid w:val="00173051"/>
    <w:rsid w:val="001735A2"/>
    <w:rsid w:val="0017500E"/>
    <w:rsid w:val="001767EA"/>
    <w:rsid w:val="0017729B"/>
    <w:rsid w:val="00181B5C"/>
    <w:rsid w:val="00182FCE"/>
    <w:rsid w:val="001830F8"/>
    <w:rsid w:val="00183760"/>
    <w:rsid w:val="00186941"/>
    <w:rsid w:val="0018778D"/>
    <w:rsid w:val="001904BF"/>
    <w:rsid w:val="001947E4"/>
    <w:rsid w:val="00194E55"/>
    <w:rsid w:val="0019602C"/>
    <w:rsid w:val="001A0599"/>
    <w:rsid w:val="001A131D"/>
    <w:rsid w:val="001A1593"/>
    <w:rsid w:val="001A23ED"/>
    <w:rsid w:val="001A31CE"/>
    <w:rsid w:val="001A3FD9"/>
    <w:rsid w:val="001B0FB1"/>
    <w:rsid w:val="001B12FE"/>
    <w:rsid w:val="001B2FFF"/>
    <w:rsid w:val="001C0E0B"/>
    <w:rsid w:val="001C1979"/>
    <w:rsid w:val="001C1F6B"/>
    <w:rsid w:val="001C27EF"/>
    <w:rsid w:val="001C4467"/>
    <w:rsid w:val="001D11CD"/>
    <w:rsid w:val="001D1466"/>
    <w:rsid w:val="001D16B1"/>
    <w:rsid w:val="001D26F2"/>
    <w:rsid w:val="001D344B"/>
    <w:rsid w:val="001D608D"/>
    <w:rsid w:val="001E07B9"/>
    <w:rsid w:val="001E0F04"/>
    <w:rsid w:val="001E240D"/>
    <w:rsid w:val="001F00EC"/>
    <w:rsid w:val="001F06C8"/>
    <w:rsid w:val="001F09DB"/>
    <w:rsid w:val="001F341D"/>
    <w:rsid w:val="001F402D"/>
    <w:rsid w:val="001F6EB2"/>
    <w:rsid w:val="00200346"/>
    <w:rsid w:val="00200B4E"/>
    <w:rsid w:val="00200B6E"/>
    <w:rsid w:val="00202477"/>
    <w:rsid w:val="00210D88"/>
    <w:rsid w:val="0021106F"/>
    <w:rsid w:val="00211ADB"/>
    <w:rsid w:val="002131DF"/>
    <w:rsid w:val="0021331F"/>
    <w:rsid w:val="00220D69"/>
    <w:rsid w:val="00222C1E"/>
    <w:rsid w:val="00222EAA"/>
    <w:rsid w:val="00224DF0"/>
    <w:rsid w:val="0022685C"/>
    <w:rsid w:val="00227219"/>
    <w:rsid w:val="00227866"/>
    <w:rsid w:val="0023117C"/>
    <w:rsid w:val="00231407"/>
    <w:rsid w:val="00237415"/>
    <w:rsid w:val="0024059F"/>
    <w:rsid w:val="00240CDD"/>
    <w:rsid w:val="00241B36"/>
    <w:rsid w:val="002437AF"/>
    <w:rsid w:val="00243FED"/>
    <w:rsid w:val="00244017"/>
    <w:rsid w:val="00244E8C"/>
    <w:rsid w:val="0024652F"/>
    <w:rsid w:val="002468BC"/>
    <w:rsid w:val="002522F5"/>
    <w:rsid w:val="00252422"/>
    <w:rsid w:val="002525C6"/>
    <w:rsid w:val="0025325E"/>
    <w:rsid w:val="00253349"/>
    <w:rsid w:val="00253F80"/>
    <w:rsid w:val="0025400F"/>
    <w:rsid w:val="002548A4"/>
    <w:rsid w:val="00254EF5"/>
    <w:rsid w:val="00256674"/>
    <w:rsid w:val="002569FE"/>
    <w:rsid w:val="00257CBB"/>
    <w:rsid w:val="00261628"/>
    <w:rsid w:val="0026263B"/>
    <w:rsid w:val="00262D59"/>
    <w:rsid w:val="00263B79"/>
    <w:rsid w:val="00264A0F"/>
    <w:rsid w:val="00264FA1"/>
    <w:rsid w:val="0026528B"/>
    <w:rsid w:val="00266F10"/>
    <w:rsid w:val="002708E0"/>
    <w:rsid w:val="00272344"/>
    <w:rsid w:val="00272ADE"/>
    <w:rsid w:val="00276C61"/>
    <w:rsid w:val="00280180"/>
    <w:rsid w:val="00280888"/>
    <w:rsid w:val="00281891"/>
    <w:rsid w:val="00282355"/>
    <w:rsid w:val="0028345D"/>
    <w:rsid w:val="00283C74"/>
    <w:rsid w:val="00285551"/>
    <w:rsid w:val="00287386"/>
    <w:rsid w:val="00290115"/>
    <w:rsid w:val="0029427C"/>
    <w:rsid w:val="00294361"/>
    <w:rsid w:val="0029482A"/>
    <w:rsid w:val="00294D1A"/>
    <w:rsid w:val="00297985"/>
    <w:rsid w:val="002979D1"/>
    <w:rsid w:val="002A254E"/>
    <w:rsid w:val="002A45C2"/>
    <w:rsid w:val="002A4994"/>
    <w:rsid w:val="002A5160"/>
    <w:rsid w:val="002A5C1C"/>
    <w:rsid w:val="002B2627"/>
    <w:rsid w:val="002B308C"/>
    <w:rsid w:val="002B429D"/>
    <w:rsid w:val="002B4451"/>
    <w:rsid w:val="002B4911"/>
    <w:rsid w:val="002B4C45"/>
    <w:rsid w:val="002B72CE"/>
    <w:rsid w:val="002B7D5C"/>
    <w:rsid w:val="002C0AB8"/>
    <w:rsid w:val="002C13DE"/>
    <w:rsid w:val="002C13E1"/>
    <w:rsid w:val="002C2E76"/>
    <w:rsid w:val="002C636B"/>
    <w:rsid w:val="002D1A7B"/>
    <w:rsid w:val="002D1E81"/>
    <w:rsid w:val="002D5871"/>
    <w:rsid w:val="002E02C2"/>
    <w:rsid w:val="002E0507"/>
    <w:rsid w:val="002E141C"/>
    <w:rsid w:val="002E16D2"/>
    <w:rsid w:val="002E40E9"/>
    <w:rsid w:val="002E42B2"/>
    <w:rsid w:val="002E44A8"/>
    <w:rsid w:val="002E7AAA"/>
    <w:rsid w:val="002F39FC"/>
    <w:rsid w:val="002F45C0"/>
    <w:rsid w:val="002F4E1F"/>
    <w:rsid w:val="003020CB"/>
    <w:rsid w:val="00306E25"/>
    <w:rsid w:val="00313772"/>
    <w:rsid w:val="00313C29"/>
    <w:rsid w:val="0031441A"/>
    <w:rsid w:val="00315CA9"/>
    <w:rsid w:val="003161E1"/>
    <w:rsid w:val="003170F2"/>
    <w:rsid w:val="003203C0"/>
    <w:rsid w:val="00321494"/>
    <w:rsid w:val="00323DA7"/>
    <w:rsid w:val="003247A3"/>
    <w:rsid w:val="00325C3D"/>
    <w:rsid w:val="003302B8"/>
    <w:rsid w:val="00330BBF"/>
    <w:rsid w:val="00333084"/>
    <w:rsid w:val="0033426B"/>
    <w:rsid w:val="003379D9"/>
    <w:rsid w:val="00337F2A"/>
    <w:rsid w:val="00340085"/>
    <w:rsid w:val="0034224F"/>
    <w:rsid w:val="003424B7"/>
    <w:rsid w:val="00342B53"/>
    <w:rsid w:val="00347225"/>
    <w:rsid w:val="00351A52"/>
    <w:rsid w:val="0035429F"/>
    <w:rsid w:val="00355D52"/>
    <w:rsid w:val="00355FE2"/>
    <w:rsid w:val="0036031C"/>
    <w:rsid w:val="00360394"/>
    <w:rsid w:val="00360F77"/>
    <w:rsid w:val="00360F96"/>
    <w:rsid w:val="00361AFD"/>
    <w:rsid w:val="00364478"/>
    <w:rsid w:val="0036564A"/>
    <w:rsid w:val="00367762"/>
    <w:rsid w:val="00367A18"/>
    <w:rsid w:val="00367CA1"/>
    <w:rsid w:val="00371EAC"/>
    <w:rsid w:val="00372085"/>
    <w:rsid w:val="0037582D"/>
    <w:rsid w:val="00375917"/>
    <w:rsid w:val="00375D12"/>
    <w:rsid w:val="00376CFF"/>
    <w:rsid w:val="003808B2"/>
    <w:rsid w:val="00381A52"/>
    <w:rsid w:val="00381DBD"/>
    <w:rsid w:val="003851B2"/>
    <w:rsid w:val="003872EB"/>
    <w:rsid w:val="0039446E"/>
    <w:rsid w:val="003963D5"/>
    <w:rsid w:val="0039704A"/>
    <w:rsid w:val="003A00FE"/>
    <w:rsid w:val="003A6766"/>
    <w:rsid w:val="003B15A3"/>
    <w:rsid w:val="003B2E80"/>
    <w:rsid w:val="003C0606"/>
    <w:rsid w:val="003C1573"/>
    <w:rsid w:val="003C1E6B"/>
    <w:rsid w:val="003C455F"/>
    <w:rsid w:val="003C76A8"/>
    <w:rsid w:val="003D3492"/>
    <w:rsid w:val="003D505D"/>
    <w:rsid w:val="003D6E9C"/>
    <w:rsid w:val="003E0BA3"/>
    <w:rsid w:val="003E3B3C"/>
    <w:rsid w:val="003E3D19"/>
    <w:rsid w:val="003E5966"/>
    <w:rsid w:val="003E7C79"/>
    <w:rsid w:val="003E7EAF"/>
    <w:rsid w:val="003F2D1D"/>
    <w:rsid w:val="003F4C0A"/>
    <w:rsid w:val="003F5653"/>
    <w:rsid w:val="003F6089"/>
    <w:rsid w:val="003F639F"/>
    <w:rsid w:val="003F6AE2"/>
    <w:rsid w:val="003F6BB6"/>
    <w:rsid w:val="003F7480"/>
    <w:rsid w:val="00404F2A"/>
    <w:rsid w:val="00406F70"/>
    <w:rsid w:val="00410196"/>
    <w:rsid w:val="004135A8"/>
    <w:rsid w:val="00421205"/>
    <w:rsid w:val="00422A05"/>
    <w:rsid w:val="00424EAD"/>
    <w:rsid w:val="00425CF6"/>
    <w:rsid w:val="00427D27"/>
    <w:rsid w:val="00431B70"/>
    <w:rsid w:val="00431E7F"/>
    <w:rsid w:val="00435A2E"/>
    <w:rsid w:val="0043708F"/>
    <w:rsid w:val="0044128A"/>
    <w:rsid w:val="00441B9C"/>
    <w:rsid w:val="00441E9F"/>
    <w:rsid w:val="00443BFC"/>
    <w:rsid w:val="004456F4"/>
    <w:rsid w:val="00450F91"/>
    <w:rsid w:val="00452C85"/>
    <w:rsid w:val="004532BC"/>
    <w:rsid w:val="00453D51"/>
    <w:rsid w:val="00455D1A"/>
    <w:rsid w:val="00455DB7"/>
    <w:rsid w:val="004565AD"/>
    <w:rsid w:val="004565CF"/>
    <w:rsid w:val="00456A14"/>
    <w:rsid w:val="004573EC"/>
    <w:rsid w:val="00460478"/>
    <w:rsid w:val="00460B1A"/>
    <w:rsid w:val="00460CDF"/>
    <w:rsid w:val="00463A18"/>
    <w:rsid w:val="0046459E"/>
    <w:rsid w:val="004671B7"/>
    <w:rsid w:val="00467BCA"/>
    <w:rsid w:val="00471A0D"/>
    <w:rsid w:val="00471BEA"/>
    <w:rsid w:val="004721D1"/>
    <w:rsid w:val="0047576C"/>
    <w:rsid w:val="00477E1C"/>
    <w:rsid w:val="00482B14"/>
    <w:rsid w:val="0048382C"/>
    <w:rsid w:val="004838B9"/>
    <w:rsid w:val="00484712"/>
    <w:rsid w:val="00485B71"/>
    <w:rsid w:val="00486D38"/>
    <w:rsid w:val="004872E1"/>
    <w:rsid w:val="004928DB"/>
    <w:rsid w:val="00492AC5"/>
    <w:rsid w:val="00495C29"/>
    <w:rsid w:val="004A150B"/>
    <w:rsid w:val="004A372D"/>
    <w:rsid w:val="004A37BA"/>
    <w:rsid w:val="004A515E"/>
    <w:rsid w:val="004A6F53"/>
    <w:rsid w:val="004B2956"/>
    <w:rsid w:val="004B2F5D"/>
    <w:rsid w:val="004B4D47"/>
    <w:rsid w:val="004B7FB2"/>
    <w:rsid w:val="004C00A2"/>
    <w:rsid w:val="004C056F"/>
    <w:rsid w:val="004C1FED"/>
    <w:rsid w:val="004C2636"/>
    <w:rsid w:val="004C4B56"/>
    <w:rsid w:val="004C5A2D"/>
    <w:rsid w:val="004C5CBC"/>
    <w:rsid w:val="004D0250"/>
    <w:rsid w:val="004D2A77"/>
    <w:rsid w:val="004D5D47"/>
    <w:rsid w:val="004E1EBD"/>
    <w:rsid w:val="004E35A9"/>
    <w:rsid w:val="004E485D"/>
    <w:rsid w:val="004E71BE"/>
    <w:rsid w:val="004E7285"/>
    <w:rsid w:val="004F0DFA"/>
    <w:rsid w:val="004F1261"/>
    <w:rsid w:val="004F2DD5"/>
    <w:rsid w:val="004F61BB"/>
    <w:rsid w:val="005049B0"/>
    <w:rsid w:val="0050542C"/>
    <w:rsid w:val="00511426"/>
    <w:rsid w:val="00513075"/>
    <w:rsid w:val="0051366E"/>
    <w:rsid w:val="00515E0C"/>
    <w:rsid w:val="0051780E"/>
    <w:rsid w:val="00517D01"/>
    <w:rsid w:val="0052141E"/>
    <w:rsid w:val="005215BE"/>
    <w:rsid w:val="00522543"/>
    <w:rsid w:val="00522CEA"/>
    <w:rsid w:val="00522D99"/>
    <w:rsid w:val="0052560C"/>
    <w:rsid w:val="005273D1"/>
    <w:rsid w:val="005320EB"/>
    <w:rsid w:val="0053263B"/>
    <w:rsid w:val="00532FA9"/>
    <w:rsid w:val="005350DB"/>
    <w:rsid w:val="005373FC"/>
    <w:rsid w:val="005374D2"/>
    <w:rsid w:val="00540F08"/>
    <w:rsid w:val="005421D6"/>
    <w:rsid w:val="00543BE6"/>
    <w:rsid w:val="00543E05"/>
    <w:rsid w:val="00544419"/>
    <w:rsid w:val="005446AB"/>
    <w:rsid w:val="005446C8"/>
    <w:rsid w:val="00545797"/>
    <w:rsid w:val="0054728C"/>
    <w:rsid w:val="005512A4"/>
    <w:rsid w:val="00555C81"/>
    <w:rsid w:val="00555F8D"/>
    <w:rsid w:val="005627F3"/>
    <w:rsid w:val="00562C56"/>
    <w:rsid w:val="00563C7C"/>
    <w:rsid w:val="00563C9F"/>
    <w:rsid w:val="005706F0"/>
    <w:rsid w:val="00570802"/>
    <w:rsid w:val="00572D53"/>
    <w:rsid w:val="005748B9"/>
    <w:rsid w:val="00576675"/>
    <w:rsid w:val="00576FE8"/>
    <w:rsid w:val="005805BA"/>
    <w:rsid w:val="00581969"/>
    <w:rsid w:val="0058214E"/>
    <w:rsid w:val="00582948"/>
    <w:rsid w:val="0058331C"/>
    <w:rsid w:val="00583D3F"/>
    <w:rsid w:val="0058436C"/>
    <w:rsid w:val="005854B1"/>
    <w:rsid w:val="00585ACD"/>
    <w:rsid w:val="005871B2"/>
    <w:rsid w:val="00591A37"/>
    <w:rsid w:val="00592A69"/>
    <w:rsid w:val="00593977"/>
    <w:rsid w:val="00595102"/>
    <w:rsid w:val="00595FD6"/>
    <w:rsid w:val="005961A0"/>
    <w:rsid w:val="005A14E3"/>
    <w:rsid w:val="005A1C7C"/>
    <w:rsid w:val="005A389C"/>
    <w:rsid w:val="005A4090"/>
    <w:rsid w:val="005A40CF"/>
    <w:rsid w:val="005A44A8"/>
    <w:rsid w:val="005A57A9"/>
    <w:rsid w:val="005A7C73"/>
    <w:rsid w:val="005B050A"/>
    <w:rsid w:val="005B123A"/>
    <w:rsid w:val="005B18AB"/>
    <w:rsid w:val="005B1AED"/>
    <w:rsid w:val="005B7717"/>
    <w:rsid w:val="005C18A9"/>
    <w:rsid w:val="005C1BE0"/>
    <w:rsid w:val="005C53D0"/>
    <w:rsid w:val="005C548C"/>
    <w:rsid w:val="005C6503"/>
    <w:rsid w:val="005C68FE"/>
    <w:rsid w:val="005C721A"/>
    <w:rsid w:val="005C7F51"/>
    <w:rsid w:val="005D02AD"/>
    <w:rsid w:val="005D1DC5"/>
    <w:rsid w:val="005D22A5"/>
    <w:rsid w:val="005D27E1"/>
    <w:rsid w:val="005D4361"/>
    <w:rsid w:val="005D4503"/>
    <w:rsid w:val="005D46FD"/>
    <w:rsid w:val="005D691D"/>
    <w:rsid w:val="005D765F"/>
    <w:rsid w:val="005D7E21"/>
    <w:rsid w:val="005E0322"/>
    <w:rsid w:val="005E7FD5"/>
    <w:rsid w:val="005F2D4B"/>
    <w:rsid w:val="005F4494"/>
    <w:rsid w:val="005F72E4"/>
    <w:rsid w:val="005F7F5E"/>
    <w:rsid w:val="005F7F62"/>
    <w:rsid w:val="00600CF2"/>
    <w:rsid w:val="006068F9"/>
    <w:rsid w:val="0060709E"/>
    <w:rsid w:val="0061095C"/>
    <w:rsid w:val="0061102D"/>
    <w:rsid w:val="006125CB"/>
    <w:rsid w:val="006160B6"/>
    <w:rsid w:val="00616EE2"/>
    <w:rsid w:val="00617AAF"/>
    <w:rsid w:val="006215A0"/>
    <w:rsid w:val="00625616"/>
    <w:rsid w:val="00625AAB"/>
    <w:rsid w:val="00625F4B"/>
    <w:rsid w:val="006262FC"/>
    <w:rsid w:val="00626573"/>
    <w:rsid w:val="00627A7C"/>
    <w:rsid w:val="00630743"/>
    <w:rsid w:val="00631F6E"/>
    <w:rsid w:val="00633DE2"/>
    <w:rsid w:val="00635C12"/>
    <w:rsid w:val="00640B40"/>
    <w:rsid w:val="00641D9F"/>
    <w:rsid w:val="006430FA"/>
    <w:rsid w:val="006445E0"/>
    <w:rsid w:val="00644BF9"/>
    <w:rsid w:val="00654164"/>
    <w:rsid w:val="00654EFA"/>
    <w:rsid w:val="006556D4"/>
    <w:rsid w:val="006559BA"/>
    <w:rsid w:val="006565E8"/>
    <w:rsid w:val="00656C25"/>
    <w:rsid w:val="006621AD"/>
    <w:rsid w:val="00662FC2"/>
    <w:rsid w:val="00663E81"/>
    <w:rsid w:val="0066479B"/>
    <w:rsid w:val="00666279"/>
    <w:rsid w:val="0066745C"/>
    <w:rsid w:val="00672A99"/>
    <w:rsid w:val="0067312C"/>
    <w:rsid w:val="00673FC8"/>
    <w:rsid w:val="00675EAD"/>
    <w:rsid w:val="00676E71"/>
    <w:rsid w:val="00680425"/>
    <w:rsid w:val="006834EE"/>
    <w:rsid w:val="006844C8"/>
    <w:rsid w:val="0068493E"/>
    <w:rsid w:val="006874D9"/>
    <w:rsid w:val="00687F6A"/>
    <w:rsid w:val="0069197B"/>
    <w:rsid w:val="00692A2C"/>
    <w:rsid w:val="00693383"/>
    <w:rsid w:val="00693C47"/>
    <w:rsid w:val="00693E4B"/>
    <w:rsid w:val="006942D4"/>
    <w:rsid w:val="006946C0"/>
    <w:rsid w:val="00695FE9"/>
    <w:rsid w:val="006A3E9B"/>
    <w:rsid w:val="006A3F42"/>
    <w:rsid w:val="006A4E4C"/>
    <w:rsid w:val="006A6244"/>
    <w:rsid w:val="006A691D"/>
    <w:rsid w:val="006A7F5A"/>
    <w:rsid w:val="006B16BF"/>
    <w:rsid w:val="006B24A1"/>
    <w:rsid w:val="006B4680"/>
    <w:rsid w:val="006B50E8"/>
    <w:rsid w:val="006B557C"/>
    <w:rsid w:val="006B5E68"/>
    <w:rsid w:val="006B6CA9"/>
    <w:rsid w:val="006B75CA"/>
    <w:rsid w:val="006B7FED"/>
    <w:rsid w:val="006C2511"/>
    <w:rsid w:val="006C2A50"/>
    <w:rsid w:val="006C304A"/>
    <w:rsid w:val="006C38CE"/>
    <w:rsid w:val="006C3F46"/>
    <w:rsid w:val="006C468C"/>
    <w:rsid w:val="006D1F22"/>
    <w:rsid w:val="006D66CA"/>
    <w:rsid w:val="006E1099"/>
    <w:rsid w:val="006E3EC9"/>
    <w:rsid w:val="006E3F08"/>
    <w:rsid w:val="006E54D0"/>
    <w:rsid w:val="006E591D"/>
    <w:rsid w:val="006E770B"/>
    <w:rsid w:val="006F102D"/>
    <w:rsid w:val="006F1CFB"/>
    <w:rsid w:val="006F23B6"/>
    <w:rsid w:val="006F2FE0"/>
    <w:rsid w:val="006F446B"/>
    <w:rsid w:val="006F4E8E"/>
    <w:rsid w:val="006F6F0C"/>
    <w:rsid w:val="00701035"/>
    <w:rsid w:val="00701CD1"/>
    <w:rsid w:val="00705328"/>
    <w:rsid w:val="007069FC"/>
    <w:rsid w:val="00707E3D"/>
    <w:rsid w:val="00715968"/>
    <w:rsid w:val="00720AC4"/>
    <w:rsid w:val="007217BB"/>
    <w:rsid w:val="00722AF5"/>
    <w:rsid w:val="0072309B"/>
    <w:rsid w:val="00723627"/>
    <w:rsid w:val="00723C90"/>
    <w:rsid w:val="00724B5B"/>
    <w:rsid w:val="007255B8"/>
    <w:rsid w:val="00725725"/>
    <w:rsid w:val="00725B2F"/>
    <w:rsid w:val="007277EE"/>
    <w:rsid w:val="00732263"/>
    <w:rsid w:val="00732EF9"/>
    <w:rsid w:val="00733149"/>
    <w:rsid w:val="007345E5"/>
    <w:rsid w:val="00734961"/>
    <w:rsid w:val="00737D6E"/>
    <w:rsid w:val="007414E8"/>
    <w:rsid w:val="00741C8C"/>
    <w:rsid w:val="00742B0E"/>
    <w:rsid w:val="00743339"/>
    <w:rsid w:val="00743586"/>
    <w:rsid w:val="00746E14"/>
    <w:rsid w:val="007471AC"/>
    <w:rsid w:val="00750283"/>
    <w:rsid w:val="007517F0"/>
    <w:rsid w:val="00752A05"/>
    <w:rsid w:val="00752BFB"/>
    <w:rsid w:val="00753093"/>
    <w:rsid w:val="007635E8"/>
    <w:rsid w:val="0076557E"/>
    <w:rsid w:val="00765C48"/>
    <w:rsid w:val="007720B3"/>
    <w:rsid w:val="00772E34"/>
    <w:rsid w:val="007736E9"/>
    <w:rsid w:val="00773DAE"/>
    <w:rsid w:val="007754B5"/>
    <w:rsid w:val="007754F7"/>
    <w:rsid w:val="007808B1"/>
    <w:rsid w:val="00781215"/>
    <w:rsid w:val="00781F27"/>
    <w:rsid w:val="00783FF5"/>
    <w:rsid w:val="00784C6E"/>
    <w:rsid w:val="00786C60"/>
    <w:rsid w:val="00786E8B"/>
    <w:rsid w:val="00787098"/>
    <w:rsid w:val="0079363B"/>
    <w:rsid w:val="00793EF6"/>
    <w:rsid w:val="00795A16"/>
    <w:rsid w:val="00796C22"/>
    <w:rsid w:val="00797BA6"/>
    <w:rsid w:val="00797CB5"/>
    <w:rsid w:val="007A12F1"/>
    <w:rsid w:val="007A267B"/>
    <w:rsid w:val="007A28DC"/>
    <w:rsid w:val="007A4751"/>
    <w:rsid w:val="007A4E21"/>
    <w:rsid w:val="007A5A1E"/>
    <w:rsid w:val="007A6255"/>
    <w:rsid w:val="007B0971"/>
    <w:rsid w:val="007B0F28"/>
    <w:rsid w:val="007B0F85"/>
    <w:rsid w:val="007B2156"/>
    <w:rsid w:val="007B3B13"/>
    <w:rsid w:val="007B3ED3"/>
    <w:rsid w:val="007B4703"/>
    <w:rsid w:val="007C35F1"/>
    <w:rsid w:val="007C6071"/>
    <w:rsid w:val="007C6699"/>
    <w:rsid w:val="007D2AD0"/>
    <w:rsid w:val="007D6BA1"/>
    <w:rsid w:val="007D7AD3"/>
    <w:rsid w:val="007E0390"/>
    <w:rsid w:val="007E13DB"/>
    <w:rsid w:val="007E2B42"/>
    <w:rsid w:val="007E3B58"/>
    <w:rsid w:val="007E66CB"/>
    <w:rsid w:val="007F0D6A"/>
    <w:rsid w:val="007F5CE2"/>
    <w:rsid w:val="007F6064"/>
    <w:rsid w:val="007F659D"/>
    <w:rsid w:val="007F6F30"/>
    <w:rsid w:val="007F7044"/>
    <w:rsid w:val="007F761D"/>
    <w:rsid w:val="007F7FBA"/>
    <w:rsid w:val="00800A04"/>
    <w:rsid w:val="00802E6A"/>
    <w:rsid w:val="00806031"/>
    <w:rsid w:val="008065B1"/>
    <w:rsid w:val="00807385"/>
    <w:rsid w:val="00810413"/>
    <w:rsid w:val="00810C6C"/>
    <w:rsid w:val="00810DFD"/>
    <w:rsid w:val="008114F4"/>
    <w:rsid w:val="0081255D"/>
    <w:rsid w:val="008137D0"/>
    <w:rsid w:val="008156D6"/>
    <w:rsid w:val="0081777F"/>
    <w:rsid w:val="0082051D"/>
    <w:rsid w:val="00822088"/>
    <w:rsid w:val="008243AC"/>
    <w:rsid w:val="00826596"/>
    <w:rsid w:val="008265E1"/>
    <w:rsid w:val="00827471"/>
    <w:rsid w:val="008306FD"/>
    <w:rsid w:val="008317DE"/>
    <w:rsid w:val="008350E6"/>
    <w:rsid w:val="00835CED"/>
    <w:rsid w:val="00842DE9"/>
    <w:rsid w:val="008436A4"/>
    <w:rsid w:val="008446C3"/>
    <w:rsid w:val="00845A54"/>
    <w:rsid w:val="00847113"/>
    <w:rsid w:val="0085599F"/>
    <w:rsid w:val="00857888"/>
    <w:rsid w:val="00860389"/>
    <w:rsid w:val="008609AE"/>
    <w:rsid w:val="00861252"/>
    <w:rsid w:val="00862A0A"/>
    <w:rsid w:val="00863422"/>
    <w:rsid w:val="0087233B"/>
    <w:rsid w:val="0087691F"/>
    <w:rsid w:val="0087772C"/>
    <w:rsid w:val="00880017"/>
    <w:rsid w:val="00881874"/>
    <w:rsid w:val="00881D47"/>
    <w:rsid w:val="00883AD8"/>
    <w:rsid w:val="00884468"/>
    <w:rsid w:val="00885F97"/>
    <w:rsid w:val="00886227"/>
    <w:rsid w:val="0088766B"/>
    <w:rsid w:val="00887988"/>
    <w:rsid w:val="008926F1"/>
    <w:rsid w:val="0089273D"/>
    <w:rsid w:val="008972FB"/>
    <w:rsid w:val="008A0287"/>
    <w:rsid w:val="008A04AA"/>
    <w:rsid w:val="008A3CBE"/>
    <w:rsid w:val="008A4CB2"/>
    <w:rsid w:val="008A5BF9"/>
    <w:rsid w:val="008A6954"/>
    <w:rsid w:val="008B326A"/>
    <w:rsid w:val="008B3681"/>
    <w:rsid w:val="008B52F8"/>
    <w:rsid w:val="008B6A2D"/>
    <w:rsid w:val="008C024A"/>
    <w:rsid w:val="008C10A8"/>
    <w:rsid w:val="008C22C6"/>
    <w:rsid w:val="008C4CC1"/>
    <w:rsid w:val="008C6F64"/>
    <w:rsid w:val="008C77F4"/>
    <w:rsid w:val="008C7F8E"/>
    <w:rsid w:val="008D0444"/>
    <w:rsid w:val="008D0EE8"/>
    <w:rsid w:val="008D17E7"/>
    <w:rsid w:val="008D5C16"/>
    <w:rsid w:val="008D7F4E"/>
    <w:rsid w:val="008E3134"/>
    <w:rsid w:val="008E3BD0"/>
    <w:rsid w:val="008F0004"/>
    <w:rsid w:val="008F1858"/>
    <w:rsid w:val="008F2DFC"/>
    <w:rsid w:val="008F37C4"/>
    <w:rsid w:val="009000C6"/>
    <w:rsid w:val="00903F9E"/>
    <w:rsid w:val="00905E84"/>
    <w:rsid w:val="00912AC0"/>
    <w:rsid w:val="00913C07"/>
    <w:rsid w:val="00914DF6"/>
    <w:rsid w:val="00920A80"/>
    <w:rsid w:val="0092325A"/>
    <w:rsid w:val="00923C98"/>
    <w:rsid w:val="009257DB"/>
    <w:rsid w:val="00926DB8"/>
    <w:rsid w:val="00927E3D"/>
    <w:rsid w:val="00930B69"/>
    <w:rsid w:val="0093220D"/>
    <w:rsid w:val="00933914"/>
    <w:rsid w:val="00936A54"/>
    <w:rsid w:val="00937B50"/>
    <w:rsid w:val="00940CBA"/>
    <w:rsid w:val="00941CBE"/>
    <w:rsid w:val="009432E1"/>
    <w:rsid w:val="009447F2"/>
    <w:rsid w:val="00944F56"/>
    <w:rsid w:val="00946E7F"/>
    <w:rsid w:val="00953F98"/>
    <w:rsid w:val="009547F0"/>
    <w:rsid w:val="009548A5"/>
    <w:rsid w:val="009558E4"/>
    <w:rsid w:val="0096205F"/>
    <w:rsid w:val="00963618"/>
    <w:rsid w:val="00965D18"/>
    <w:rsid w:val="0096638A"/>
    <w:rsid w:val="0096672B"/>
    <w:rsid w:val="00967739"/>
    <w:rsid w:val="0097291D"/>
    <w:rsid w:val="009732F9"/>
    <w:rsid w:val="009748F0"/>
    <w:rsid w:val="00974A1E"/>
    <w:rsid w:val="009751E3"/>
    <w:rsid w:val="00976F54"/>
    <w:rsid w:val="00977479"/>
    <w:rsid w:val="00980BF8"/>
    <w:rsid w:val="00984342"/>
    <w:rsid w:val="009847DE"/>
    <w:rsid w:val="009850BF"/>
    <w:rsid w:val="00985859"/>
    <w:rsid w:val="009870D7"/>
    <w:rsid w:val="009904DB"/>
    <w:rsid w:val="00990C8E"/>
    <w:rsid w:val="009918B4"/>
    <w:rsid w:val="00991DE0"/>
    <w:rsid w:val="00991F47"/>
    <w:rsid w:val="009935E3"/>
    <w:rsid w:val="00993674"/>
    <w:rsid w:val="00993C4D"/>
    <w:rsid w:val="00995128"/>
    <w:rsid w:val="009A0C5A"/>
    <w:rsid w:val="009A1B5B"/>
    <w:rsid w:val="009A1BE5"/>
    <w:rsid w:val="009A2E3A"/>
    <w:rsid w:val="009A35CD"/>
    <w:rsid w:val="009A466A"/>
    <w:rsid w:val="009A5996"/>
    <w:rsid w:val="009A7BFA"/>
    <w:rsid w:val="009B02F2"/>
    <w:rsid w:val="009B170E"/>
    <w:rsid w:val="009B239B"/>
    <w:rsid w:val="009B4D01"/>
    <w:rsid w:val="009B5CE9"/>
    <w:rsid w:val="009B70B8"/>
    <w:rsid w:val="009B7215"/>
    <w:rsid w:val="009C000F"/>
    <w:rsid w:val="009C0FA7"/>
    <w:rsid w:val="009C2154"/>
    <w:rsid w:val="009C26C7"/>
    <w:rsid w:val="009C347D"/>
    <w:rsid w:val="009C43D7"/>
    <w:rsid w:val="009C4551"/>
    <w:rsid w:val="009C4753"/>
    <w:rsid w:val="009C4F1A"/>
    <w:rsid w:val="009C4FA7"/>
    <w:rsid w:val="009C5D7C"/>
    <w:rsid w:val="009C655C"/>
    <w:rsid w:val="009C67E6"/>
    <w:rsid w:val="009C7BFB"/>
    <w:rsid w:val="009D14A3"/>
    <w:rsid w:val="009D3027"/>
    <w:rsid w:val="009D68DA"/>
    <w:rsid w:val="009D68FC"/>
    <w:rsid w:val="009E25B0"/>
    <w:rsid w:val="009E43F5"/>
    <w:rsid w:val="009E519D"/>
    <w:rsid w:val="009E6DD4"/>
    <w:rsid w:val="009E7123"/>
    <w:rsid w:val="009F04CF"/>
    <w:rsid w:val="009F144B"/>
    <w:rsid w:val="009F2700"/>
    <w:rsid w:val="009F3D54"/>
    <w:rsid w:val="009F5433"/>
    <w:rsid w:val="009F69E9"/>
    <w:rsid w:val="009F6ABE"/>
    <w:rsid w:val="009F75EB"/>
    <w:rsid w:val="00A007D7"/>
    <w:rsid w:val="00A01BF5"/>
    <w:rsid w:val="00A01C18"/>
    <w:rsid w:val="00A03D02"/>
    <w:rsid w:val="00A04B5B"/>
    <w:rsid w:val="00A057E8"/>
    <w:rsid w:val="00A05C68"/>
    <w:rsid w:val="00A05D52"/>
    <w:rsid w:val="00A06FF3"/>
    <w:rsid w:val="00A075A7"/>
    <w:rsid w:val="00A10BC9"/>
    <w:rsid w:val="00A11E5B"/>
    <w:rsid w:val="00A14455"/>
    <w:rsid w:val="00A147C2"/>
    <w:rsid w:val="00A14A06"/>
    <w:rsid w:val="00A15877"/>
    <w:rsid w:val="00A17951"/>
    <w:rsid w:val="00A23EF3"/>
    <w:rsid w:val="00A24706"/>
    <w:rsid w:val="00A25669"/>
    <w:rsid w:val="00A33482"/>
    <w:rsid w:val="00A34E81"/>
    <w:rsid w:val="00A358F5"/>
    <w:rsid w:val="00A3778F"/>
    <w:rsid w:val="00A4041B"/>
    <w:rsid w:val="00A41B2D"/>
    <w:rsid w:val="00A42107"/>
    <w:rsid w:val="00A431A3"/>
    <w:rsid w:val="00A44089"/>
    <w:rsid w:val="00A444F1"/>
    <w:rsid w:val="00A44F06"/>
    <w:rsid w:val="00A45FA1"/>
    <w:rsid w:val="00A4602D"/>
    <w:rsid w:val="00A4654A"/>
    <w:rsid w:val="00A50268"/>
    <w:rsid w:val="00A5225D"/>
    <w:rsid w:val="00A52DDB"/>
    <w:rsid w:val="00A60990"/>
    <w:rsid w:val="00A61FDB"/>
    <w:rsid w:val="00A630BC"/>
    <w:rsid w:val="00A63A00"/>
    <w:rsid w:val="00A6475D"/>
    <w:rsid w:val="00A64A36"/>
    <w:rsid w:val="00A679FE"/>
    <w:rsid w:val="00A67E9B"/>
    <w:rsid w:val="00A7164D"/>
    <w:rsid w:val="00A776B0"/>
    <w:rsid w:val="00A81E14"/>
    <w:rsid w:val="00A838A7"/>
    <w:rsid w:val="00A87E16"/>
    <w:rsid w:val="00A9277E"/>
    <w:rsid w:val="00A94E2E"/>
    <w:rsid w:val="00A962EB"/>
    <w:rsid w:val="00A96CF5"/>
    <w:rsid w:val="00A97E5A"/>
    <w:rsid w:val="00AA0D57"/>
    <w:rsid w:val="00AA379B"/>
    <w:rsid w:val="00AA4467"/>
    <w:rsid w:val="00AA4A49"/>
    <w:rsid w:val="00AA7770"/>
    <w:rsid w:val="00AA7915"/>
    <w:rsid w:val="00AB0959"/>
    <w:rsid w:val="00AB1004"/>
    <w:rsid w:val="00AB50FE"/>
    <w:rsid w:val="00AB6AA3"/>
    <w:rsid w:val="00AC1439"/>
    <w:rsid w:val="00AC2CF0"/>
    <w:rsid w:val="00AC2FB5"/>
    <w:rsid w:val="00AC3EC6"/>
    <w:rsid w:val="00AC4AA4"/>
    <w:rsid w:val="00AC561D"/>
    <w:rsid w:val="00AC5666"/>
    <w:rsid w:val="00AD1874"/>
    <w:rsid w:val="00AD1AAE"/>
    <w:rsid w:val="00AD4629"/>
    <w:rsid w:val="00AD591F"/>
    <w:rsid w:val="00AD6032"/>
    <w:rsid w:val="00AE0E74"/>
    <w:rsid w:val="00AE428A"/>
    <w:rsid w:val="00AE652B"/>
    <w:rsid w:val="00AE6926"/>
    <w:rsid w:val="00AF1407"/>
    <w:rsid w:val="00AF1C46"/>
    <w:rsid w:val="00AF3C3A"/>
    <w:rsid w:val="00AF443C"/>
    <w:rsid w:val="00AF5CAA"/>
    <w:rsid w:val="00AF74F1"/>
    <w:rsid w:val="00B00609"/>
    <w:rsid w:val="00B01C3B"/>
    <w:rsid w:val="00B023B8"/>
    <w:rsid w:val="00B05319"/>
    <w:rsid w:val="00B10878"/>
    <w:rsid w:val="00B11074"/>
    <w:rsid w:val="00B1458A"/>
    <w:rsid w:val="00B150A0"/>
    <w:rsid w:val="00B16EF5"/>
    <w:rsid w:val="00B2254C"/>
    <w:rsid w:val="00B2457A"/>
    <w:rsid w:val="00B30A9F"/>
    <w:rsid w:val="00B323B4"/>
    <w:rsid w:val="00B32531"/>
    <w:rsid w:val="00B3428F"/>
    <w:rsid w:val="00B351F4"/>
    <w:rsid w:val="00B35971"/>
    <w:rsid w:val="00B35ACF"/>
    <w:rsid w:val="00B44FA8"/>
    <w:rsid w:val="00B45B38"/>
    <w:rsid w:val="00B468F6"/>
    <w:rsid w:val="00B55F05"/>
    <w:rsid w:val="00B56CA4"/>
    <w:rsid w:val="00B56EC2"/>
    <w:rsid w:val="00B5703F"/>
    <w:rsid w:val="00B60447"/>
    <w:rsid w:val="00B60752"/>
    <w:rsid w:val="00B6168D"/>
    <w:rsid w:val="00B616CB"/>
    <w:rsid w:val="00B6177C"/>
    <w:rsid w:val="00B62FEA"/>
    <w:rsid w:val="00B6442B"/>
    <w:rsid w:val="00B64AFD"/>
    <w:rsid w:val="00B6525A"/>
    <w:rsid w:val="00B65409"/>
    <w:rsid w:val="00B671B1"/>
    <w:rsid w:val="00B67EFD"/>
    <w:rsid w:val="00B7084B"/>
    <w:rsid w:val="00B70DBF"/>
    <w:rsid w:val="00B71122"/>
    <w:rsid w:val="00B733FB"/>
    <w:rsid w:val="00B73747"/>
    <w:rsid w:val="00B744B8"/>
    <w:rsid w:val="00B7675C"/>
    <w:rsid w:val="00B7768E"/>
    <w:rsid w:val="00B82C8C"/>
    <w:rsid w:val="00B831C3"/>
    <w:rsid w:val="00B83D4F"/>
    <w:rsid w:val="00B841B0"/>
    <w:rsid w:val="00B85649"/>
    <w:rsid w:val="00B85662"/>
    <w:rsid w:val="00B85696"/>
    <w:rsid w:val="00B85BE8"/>
    <w:rsid w:val="00B907CD"/>
    <w:rsid w:val="00B9166F"/>
    <w:rsid w:val="00B921C9"/>
    <w:rsid w:val="00B934E9"/>
    <w:rsid w:val="00B93738"/>
    <w:rsid w:val="00B96141"/>
    <w:rsid w:val="00BA1D23"/>
    <w:rsid w:val="00BA2267"/>
    <w:rsid w:val="00BA2D7C"/>
    <w:rsid w:val="00BA56DF"/>
    <w:rsid w:val="00BA57C1"/>
    <w:rsid w:val="00BA6147"/>
    <w:rsid w:val="00BA723D"/>
    <w:rsid w:val="00BB0207"/>
    <w:rsid w:val="00BB3B49"/>
    <w:rsid w:val="00BB54CE"/>
    <w:rsid w:val="00BB717E"/>
    <w:rsid w:val="00BB7662"/>
    <w:rsid w:val="00BC0D65"/>
    <w:rsid w:val="00BC1327"/>
    <w:rsid w:val="00BC217A"/>
    <w:rsid w:val="00BC4061"/>
    <w:rsid w:val="00BC4741"/>
    <w:rsid w:val="00BC791E"/>
    <w:rsid w:val="00BD0137"/>
    <w:rsid w:val="00BD1247"/>
    <w:rsid w:val="00BD2911"/>
    <w:rsid w:val="00BD3848"/>
    <w:rsid w:val="00BD6592"/>
    <w:rsid w:val="00BD6ED0"/>
    <w:rsid w:val="00BE2AB6"/>
    <w:rsid w:val="00BE3515"/>
    <w:rsid w:val="00BE3668"/>
    <w:rsid w:val="00BE3E20"/>
    <w:rsid w:val="00BE4A29"/>
    <w:rsid w:val="00BE630A"/>
    <w:rsid w:val="00BE6FD8"/>
    <w:rsid w:val="00BE7401"/>
    <w:rsid w:val="00BF08C3"/>
    <w:rsid w:val="00BF3016"/>
    <w:rsid w:val="00BF30E5"/>
    <w:rsid w:val="00BF371E"/>
    <w:rsid w:val="00BF6326"/>
    <w:rsid w:val="00C0119E"/>
    <w:rsid w:val="00C02322"/>
    <w:rsid w:val="00C0393C"/>
    <w:rsid w:val="00C05910"/>
    <w:rsid w:val="00C07561"/>
    <w:rsid w:val="00C10543"/>
    <w:rsid w:val="00C11923"/>
    <w:rsid w:val="00C139AE"/>
    <w:rsid w:val="00C1419E"/>
    <w:rsid w:val="00C1513B"/>
    <w:rsid w:val="00C20B9F"/>
    <w:rsid w:val="00C20EF5"/>
    <w:rsid w:val="00C247BF"/>
    <w:rsid w:val="00C25BA7"/>
    <w:rsid w:val="00C25CB4"/>
    <w:rsid w:val="00C327A5"/>
    <w:rsid w:val="00C33064"/>
    <w:rsid w:val="00C333CC"/>
    <w:rsid w:val="00C34DBE"/>
    <w:rsid w:val="00C37700"/>
    <w:rsid w:val="00C41FF5"/>
    <w:rsid w:val="00C4207E"/>
    <w:rsid w:val="00C45F88"/>
    <w:rsid w:val="00C51682"/>
    <w:rsid w:val="00C52FE6"/>
    <w:rsid w:val="00C56226"/>
    <w:rsid w:val="00C564BF"/>
    <w:rsid w:val="00C57238"/>
    <w:rsid w:val="00C5732D"/>
    <w:rsid w:val="00C57419"/>
    <w:rsid w:val="00C577E9"/>
    <w:rsid w:val="00C57B50"/>
    <w:rsid w:val="00C631F2"/>
    <w:rsid w:val="00C6369B"/>
    <w:rsid w:val="00C6488E"/>
    <w:rsid w:val="00C64CEF"/>
    <w:rsid w:val="00C70AD8"/>
    <w:rsid w:val="00C71AAE"/>
    <w:rsid w:val="00C71BAE"/>
    <w:rsid w:val="00C72AA0"/>
    <w:rsid w:val="00C72C40"/>
    <w:rsid w:val="00C73829"/>
    <w:rsid w:val="00C82129"/>
    <w:rsid w:val="00C8242D"/>
    <w:rsid w:val="00C86BF8"/>
    <w:rsid w:val="00C92BF6"/>
    <w:rsid w:val="00C95499"/>
    <w:rsid w:val="00C96254"/>
    <w:rsid w:val="00C96C3A"/>
    <w:rsid w:val="00C97598"/>
    <w:rsid w:val="00C978DE"/>
    <w:rsid w:val="00CA1370"/>
    <w:rsid w:val="00CA140F"/>
    <w:rsid w:val="00CA3E9E"/>
    <w:rsid w:val="00CA48CD"/>
    <w:rsid w:val="00CA4B86"/>
    <w:rsid w:val="00CA651F"/>
    <w:rsid w:val="00CB0019"/>
    <w:rsid w:val="00CB0302"/>
    <w:rsid w:val="00CB0CDD"/>
    <w:rsid w:val="00CB0D53"/>
    <w:rsid w:val="00CB23D6"/>
    <w:rsid w:val="00CB5851"/>
    <w:rsid w:val="00CC0FFF"/>
    <w:rsid w:val="00CC354F"/>
    <w:rsid w:val="00CC4657"/>
    <w:rsid w:val="00CC6962"/>
    <w:rsid w:val="00CC6F6D"/>
    <w:rsid w:val="00CD08EE"/>
    <w:rsid w:val="00CD090C"/>
    <w:rsid w:val="00CD0F92"/>
    <w:rsid w:val="00CD31A0"/>
    <w:rsid w:val="00CD39C9"/>
    <w:rsid w:val="00CD3A7B"/>
    <w:rsid w:val="00CD3ED2"/>
    <w:rsid w:val="00CD431D"/>
    <w:rsid w:val="00CD5A57"/>
    <w:rsid w:val="00CD6031"/>
    <w:rsid w:val="00CD6981"/>
    <w:rsid w:val="00CD73A3"/>
    <w:rsid w:val="00CD77C8"/>
    <w:rsid w:val="00CD7842"/>
    <w:rsid w:val="00CD7853"/>
    <w:rsid w:val="00CE1776"/>
    <w:rsid w:val="00CE253B"/>
    <w:rsid w:val="00CE308F"/>
    <w:rsid w:val="00CF0B45"/>
    <w:rsid w:val="00CF1D73"/>
    <w:rsid w:val="00CF3FEE"/>
    <w:rsid w:val="00CF6771"/>
    <w:rsid w:val="00CF7852"/>
    <w:rsid w:val="00CF7AF2"/>
    <w:rsid w:val="00CF7BBE"/>
    <w:rsid w:val="00D03DD2"/>
    <w:rsid w:val="00D05DB2"/>
    <w:rsid w:val="00D068A9"/>
    <w:rsid w:val="00D101A8"/>
    <w:rsid w:val="00D10AC1"/>
    <w:rsid w:val="00D127E7"/>
    <w:rsid w:val="00D1322F"/>
    <w:rsid w:val="00D144ED"/>
    <w:rsid w:val="00D168C5"/>
    <w:rsid w:val="00D2018B"/>
    <w:rsid w:val="00D20DBF"/>
    <w:rsid w:val="00D20E3C"/>
    <w:rsid w:val="00D21F70"/>
    <w:rsid w:val="00D223FD"/>
    <w:rsid w:val="00D22567"/>
    <w:rsid w:val="00D22B04"/>
    <w:rsid w:val="00D232A2"/>
    <w:rsid w:val="00D23481"/>
    <w:rsid w:val="00D25133"/>
    <w:rsid w:val="00D25B0C"/>
    <w:rsid w:val="00D25D25"/>
    <w:rsid w:val="00D26A47"/>
    <w:rsid w:val="00D26C75"/>
    <w:rsid w:val="00D273A2"/>
    <w:rsid w:val="00D316C2"/>
    <w:rsid w:val="00D33021"/>
    <w:rsid w:val="00D34063"/>
    <w:rsid w:val="00D352A2"/>
    <w:rsid w:val="00D46007"/>
    <w:rsid w:val="00D46466"/>
    <w:rsid w:val="00D472EE"/>
    <w:rsid w:val="00D52943"/>
    <w:rsid w:val="00D5320E"/>
    <w:rsid w:val="00D54BF3"/>
    <w:rsid w:val="00D54F4E"/>
    <w:rsid w:val="00D559E7"/>
    <w:rsid w:val="00D56CB6"/>
    <w:rsid w:val="00D61593"/>
    <w:rsid w:val="00D627AC"/>
    <w:rsid w:val="00D62B6F"/>
    <w:rsid w:val="00D6320B"/>
    <w:rsid w:val="00D6407B"/>
    <w:rsid w:val="00D65E58"/>
    <w:rsid w:val="00D71417"/>
    <w:rsid w:val="00D72826"/>
    <w:rsid w:val="00D7393E"/>
    <w:rsid w:val="00D73A22"/>
    <w:rsid w:val="00D75115"/>
    <w:rsid w:val="00D76715"/>
    <w:rsid w:val="00D80A3D"/>
    <w:rsid w:val="00D81A65"/>
    <w:rsid w:val="00D81BAB"/>
    <w:rsid w:val="00D820C9"/>
    <w:rsid w:val="00D85952"/>
    <w:rsid w:val="00D86629"/>
    <w:rsid w:val="00D90905"/>
    <w:rsid w:val="00D91C78"/>
    <w:rsid w:val="00D960B6"/>
    <w:rsid w:val="00D97980"/>
    <w:rsid w:val="00DA0BD4"/>
    <w:rsid w:val="00DA2278"/>
    <w:rsid w:val="00DA3488"/>
    <w:rsid w:val="00DA6383"/>
    <w:rsid w:val="00DB01B9"/>
    <w:rsid w:val="00DB12AA"/>
    <w:rsid w:val="00DB2C88"/>
    <w:rsid w:val="00DB458F"/>
    <w:rsid w:val="00DB4A19"/>
    <w:rsid w:val="00DB5E29"/>
    <w:rsid w:val="00DB626D"/>
    <w:rsid w:val="00DB7323"/>
    <w:rsid w:val="00DB74F5"/>
    <w:rsid w:val="00DB791E"/>
    <w:rsid w:val="00DC17CF"/>
    <w:rsid w:val="00DC3620"/>
    <w:rsid w:val="00DC39EB"/>
    <w:rsid w:val="00DC476D"/>
    <w:rsid w:val="00DC485D"/>
    <w:rsid w:val="00DC60A9"/>
    <w:rsid w:val="00DC7CB5"/>
    <w:rsid w:val="00DD0AE6"/>
    <w:rsid w:val="00DD15AE"/>
    <w:rsid w:val="00DD480A"/>
    <w:rsid w:val="00DD5361"/>
    <w:rsid w:val="00DD6D5B"/>
    <w:rsid w:val="00DD7798"/>
    <w:rsid w:val="00DD7F4D"/>
    <w:rsid w:val="00DE0084"/>
    <w:rsid w:val="00DE04D5"/>
    <w:rsid w:val="00DE1273"/>
    <w:rsid w:val="00DE453F"/>
    <w:rsid w:val="00DE4A85"/>
    <w:rsid w:val="00DE6351"/>
    <w:rsid w:val="00DE71FE"/>
    <w:rsid w:val="00DF0B54"/>
    <w:rsid w:val="00DF2F5F"/>
    <w:rsid w:val="00DF4256"/>
    <w:rsid w:val="00DF5FCF"/>
    <w:rsid w:val="00DF62EC"/>
    <w:rsid w:val="00DF6E44"/>
    <w:rsid w:val="00DF7946"/>
    <w:rsid w:val="00E01247"/>
    <w:rsid w:val="00E01377"/>
    <w:rsid w:val="00E013D8"/>
    <w:rsid w:val="00E01ED6"/>
    <w:rsid w:val="00E04D8D"/>
    <w:rsid w:val="00E1039D"/>
    <w:rsid w:val="00E11C6C"/>
    <w:rsid w:val="00E12DDE"/>
    <w:rsid w:val="00E13211"/>
    <w:rsid w:val="00E1388E"/>
    <w:rsid w:val="00E14734"/>
    <w:rsid w:val="00E14C67"/>
    <w:rsid w:val="00E20381"/>
    <w:rsid w:val="00E20EAF"/>
    <w:rsid w:val="00E25795"/>
    <w:rsid w:val="00E25B25"/>
    <w:rsid w:val="00E30446"/>
    <w:rsid w:val="00E30B45"/>
    <w:rsid w:val="00E31C70"/>
    <w:rsid w:val="00E32D27"/>
    <w:rsid w:val="00E34781"/>
    <w:rsid w:val="00E351E6"/>
    <w:rsid w:val="00E37451"/>
    <w:rsid w:val="00E40398"/>
    <w:rsid w:val="00E413CE"/>
    <w:rsid w:val="00E42523"/>
    <w:rsid w:val="00E439AA"/>
    <w:rsid w:val="00E44A28"/>
    <w:rsid w:val="00E45DBB"/>
    <w:rsid w:val="00E474BA"/>
    <w:rsid w:val="00E50076"/>
    <w:rsid w:val="00E509DF"/>
    <w:rsid w:val="00E5233A"/>
    <w:rsid w:val="00E5235D"/>
    <w:rsid w:val="00E527E3"/>
    <w:rsid w:val="00E61BCD"/>
    <w:rsid w:val="00E6227B"/>
    <w:rsid w:val="00E64DA8"/>
    <w:rsid w:val="00E66E64"/>
    <w:rsid w:val="00E67FBE"/>
    <w:rsid w:val="00E72384"/>
    <w:rsid w:val="00E739F8"/>
    <w:rsid w:val="00E75480"/>
    <w:rsid w:val="00E80BF2"/>
    <w:rsid w:val="00E80F1D"/>
    <w:rsid w:val="00E81BF7"/>
    <w:rsid w:val="00E8231B"/>
    <w:rsid w:val="00E84651"/>
    <w:rsid w:val="00E85172"/>
    <w:rsid w:val="00E851C9"/>
    <w:rsid w:val="00E854CD"/>
    <w:rsid w:val="00E87C8A"/>
    <w:rsid w:val="00E937D5"/>
    <w:rsid w:val="00E966D7"/>
    <w:rsid w:val="00E96BE9"/>
    <w:rsid w:val="00EA2F2B"/>
    <w:rsid w:val="00EA358B"/>
    <w:rsid w:val="00EA62C5"/>
    <w:rsid w:val="00EB19E5"/>
    <w:rsid w:val="00EB44A9"/>
    <w:rsid w:val="00EB4EE1"/>
    <w:rsid w:val="00EB4F81"/>
    <w:rsid w:val="00EB5CEA"/>
    <w:rsid w:val="00EB6B2F"/>
    <w:rsid w:val="00EB6FEA"/>
    <w:rsid w:val="00EB708B"/>
    <w:rsid w:val="00EB7C47"/>
    <w:rsid w:val="00EC5252"/>
    <w:rsid w:val="00EC5892"/>
    <w:rsid w:val="00EC6AF6"/>
    <w:rsid w:val="00EC7C52"/>
    <w:rsid w:val="00ED0398"/>
    <w:rsid w:val="00ED26AE"/>
    <w:rsid w:val="00ED280F"/>
    <w:rsid w:val="00ED3FEF"/>
    <w:rsid w:val="00ED4A0E"/>
    <w:rsid w:val="00ED4A10"/>
    <w:rsid w:val="00ED544C"/>
    <w:rsid w:val="00EE1F11"/>
    <w:rsid w:val="00EE1FD6"/>
    <w:rsid w:val="00EE313B"/>
    <w:rsid w:val="00EE47D5"/>
    <w:rsid w:val="00EF1DFF"/>
    <w:rsid w:val="00EF41B8"/>
    <w:rsid w:val="00EF4228"/>
    <w:rsid w:val="00EF4F24"/>
    <w:rsid w:val="00EF5555"/>
    <w:rsid w:val="00F01A02"/>
    <w:rsid w:val="00F01AA2"/>
    <w:rsid w:val="00F05673"/>
    <w:rsid w:val="00F06160"/>
    <w:rsid w:val="00F0624A"/>
    <w:rsid w:val="00F064DF"/>
    <w:rsid w:val="00F11173"/>
    <w:rsid w:val="00F11D36"/>
    <w:rsid w:val="00F12C9E"/>
    <w:rsid w:val="00F130C0"/>
    <w:rsid w:val="00F13203"/>
    <w:rsid w:val="00F1450D"/>
    <w:rsid w:val="00F177DE"/>
    <w:rsid w:val="00F21DBA"/>
    <w:rsid w:val="00F228AC"/>
    <w:rsid w:val="00F232C9"/>
    <w:rsid w:val="00F23DCD"/>
    <w:rsid w:val="00F244A3"/>
    <w:rsid w:val="00F2500C"/>
    <w:rsid w:val="00F302E5"/>
    <w:rsid w:val="00F31C46"/>
    <w:rsid w:val="00F31F2A"/>
    <w:rsid w:val="00F330DE"/>
    <w:rsid w:val="00F35345"/>
    <w:rsid w:val="00F36012"/>
    <w:rsid w:val="00F42963"/>
    <w:rsid w:val="00F42BB5"/>
    <w:rsid w:val="00F44012"/>
    <w:rsid w:val="00F4703B"/>
    <w:rsid w:val="00F522DF"/>
    <w:rsid w:val="00F54080"/>
    <w:rsid w:val="00F55D43"/>
    <w:rsid w:val="00F56299"/>
    <w:rsid w:val="00F60144"/>
    <w:rsid w:val="00F629E4"/>
    <w:rsid w:val="00F6373A"/>
    <w:rsid w:val="00F64047"/>
    <w:rsid w:val="00F6524A"/>
    <w:rsid w:val="00F65D95"/>
    <w:rsid w:val="00F66E19"/>
    <w:rsid w:val="00F67C78"/>
    <w:rsid w:val="00F70CCA"/>
    <w:rsid w:val="00F731BA"/>
    <w:rsid w:val="00F74112"/>
    <w:rsid w:val="00F744AE"/>
    <w:rsid w:val="00F74C3B"/>
    <w:rsid w:val="00F76334"/>
    <w:rsid w:val="00F80037"/>
    <w:rsid w:val="00F8347E"/>
    <w:rsid w:val="00F84DDE"/>
    <w:rsid w:val="00F86D27"/>
    <w:rsid w:val="00F91725"/>
    <w:rsid w:val="00F94808"/>
    <w:rsid w:val="00F9533A"/>
    <w:rsid w:val="00F97353"/>
    <w:rsid w:val="00FA0D79"/>
    <w:rsid w:val="00FA1D8B"/>
    <w:rsid w:val="00FA32FD"/>
    <w:rsid w:val="00FA330E"/>
    <w:rsid w:val="00FA4ECB"/>
    <w:rsid w:val="00FA57C3"/>
    <w:rsid w:val="00FA5D22"/>
    <w:rsid w:val="00FA5F64"/>
    <w:rsid w:val="00FB031B"/>
    <w:rsid w:val="00FB2946"/>
    <w:rsid w:val="00FB2973"/>
    <w:rsid w:val="00FB4B19"/>
    <w:rsid w:val="00FB4C34"/>
    <w:rsid w:val="00FB4F46"/>
    <w:rsid w:val="00FB7EE3"/>
    <w:rsid w:val="00FC0D15"/>
    <w:rsid w:val="00FC1CB2"/>
    <w:rsid w:val="00FC3209"/>
    <w:rsid w:val="00FC3A36"/>
    <w:rsid w:val="00FC3AA0"/>
    <w:rsid w:val="00FC555A"/>
    <w:rsid w:val="00FC65A6"/>
    <w:rsid w:val="00FC7D2B"/>
    <w:rsid w:val="00FD0593"/>
    <w:rsid w:val="00FD13A2"/>
    <w:rsid w:val="00FD1522"/>
    <w:rsid w:val="00FD1FDF"/>
    <w:rsid w:val="00FD2FE3"/>
    <w:rsid w:val="00FD459A"/>
    <w:rsid w:val="00FD516B"/>
    <w:rsid w:val="00FE1A05"/>
    <w:rsid w:val="00FE1E29"/>
    <w:rsid w:val="00FE278C"/>
    <w:rsid w:val="00FE4982"/>
    <w:rsid w:val="00FE55BE"/>
    <w:rsid w:val="00FE7665"/>
    <w:rsid w:val="00FF1F38"/>
    <w:rsid w:val="00FF2CD4"/>
    <w:rsid w:val="00FF4221"/>
    <w:rsid w:val="00FF4AE7"/>
    <w:rsid w:val="00FF684B"/>
    <w:rsid w:val="04468649"/>
    <w:rsid w:val="0E4C3DA0"/>
    <w:rsid w:val="18041C39"/>
    <w:rsid w:val="30286B92"/>
    <w:rsid w:val="40BDE55F"/>
    <w:rsid w:val="40CD654C"/>
    <w:rsid w:val="457C05E0"/>
    <w:rsid w:val="49626816"/>
    <w:rsid w:val="4ED4FA85"/>
    <w:rsid w:val="582A422C"/>
    <w:rsid w:val="62F5BF99"/>
    <w:rsid w:val="701E636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F07AB739-57C3-44A2-AAA0-F36AF6BDC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480"/>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semiHidden/>
    <w:unhideWhenUsed/>
    <w:qFormat/>
    <w:rsid w:val="00724B5B"/>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qFormat/>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EB6B2F"/>
    <w:pPr>
      <w:spacing w:after="100"/>
    </w:pPr>
    <w:rPr>
      <w:lang w:val="es-MX"/>
    </w:rPr>
  </w:style>
  <w:style w:type="character" w:styleId="Hipervnculo">
    <w:name w:val="Hyperlink"/>
    <w:basedOn w:val="Fuentedeprrafopredeter"/>
    <w:uiPriority w:val="99"/>
    <w:unhideWhenUsed/>
    <w:qFormat/>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link w:val="PrrafodelistaCar"/>
    <w:uiPriority w:val="34"/>
    <w:qFormat/>
    <w:rsid w:val="001C27EF"/>
    <w:pPr>
      <w:ind w:left="720"/>
      <w:contextualSpacing/>
    </w:pPr>
  </w:style>
  <w:style w:type="table" w:customStyle="1" w:styleId="Tablaconcuadrcula1">
    <w:name w:val="Tabla con cuadrícula1"/>
    <w:basedOn w:val="Tablanormal"/>
    <w:next w:val="Tablaconcuadrcula"/>
    <w:uiPriority w:val="39"/>
    <w:rsid w:val="001C27EF"/>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C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25AAB"/>
    <w:rPr>
      <w:i/>
      <w:iCs/>
    </w:rPr>
  </w:style>
  <w:style w:type="numbering" w:customStyle="1" w:styleId="Sinlista1">
    <w:name w:val="Sin lista1"/>
    <w:next w:val="Sinlista"/>
    <w:uiPriority w:val="99"/>
    <w:semiHidden/>
    <w:unhideWhenUsed/>
    <w:rsid w:val="00D62B6F"/>
  </w:style>
  <w:style w:type="paragraph" w:styleId="NormalWeb">
    <w:name w:val="Normal (Web)"/>
    <w:basedOn w:val="Normal"/>
    <w:uiPriority w:val="99"/>
    <w:unhideWhenUsed/>
    <w:rsid w:val="00D62B6F"/>
    <w:pPr>
      <w:spacing w:before="100" w:beforeAutospacing="1" w:after="100" w:afterAutospacing="1" w:line="240" w:lineRule="auto"/>
    </w:pPr>
    <w:rPr>
      <w:rFonts w:eastAsia="Times New Roman"/>
      <w:color w:val="auto"/>
      <w:spacing w:val="0"/>
      <w:lang w:val="es-DO" w:eastAsia="es-DO"/>
    </w:rPr>
  </w:style>
  <w:style w:type="paragraph" w:customStyle="1" w:styleId="paragraph">
    <w:name w:val="paragraph"/>
    <w:basedOn w:val="Normal"/>
    <w:rsid w:val="00D62B6F"/>
    <w:pPr>
      <w:spacing w:before="100" w:beforeAutospacing="1" w:after="100" w:afterAutospacing="1" w:line="240" w:lineRule="auto"/>
    </w:pPr>
    <w:rPr>
      <w:rFonts w:eastAsia="Times New Roman"/>
      <w:color w:val="auto"/>
      <w:spacing w:val="0"/>
    </w:rPr>
  </w:style>
  <w:style w:type="character" w:customStyle="1" w:styleId="normaltextrun">
    <w:name w:val="normaltextrun"/>
    <w:basedOn w:val="Fuentedeprrafopredeter"/>
    <w:rsid w:val="00D62B6F"/>
  </w:style>
  <w:style w:type="character" w:customStyle="1" w:styleId="eop">
    <w:name w:val="eop"/>
    <w:basedOn w:val="Fuentedeprrafopredeter"/>
    <w:rsid w:val="00D62B6F"/>
  </w:style>
  <w:style w:type="character" w:customStyle="1" w:styleId="PrrafodelistaCar">
    <w:name w:val="Párrafo de lista Car"/>
    <w:link w:val="Prrafodelista"/>
    <w:uiPriority w:val="34"/>
    <w:qFormat/>
    <w:rsid w:val="00D62B6F"/>
  </w:style>
  <w:style w:type="table" w:customStyle="1" w:styleId="Tablaconcuadrcula2">
    <w:name w:val="Tabla con cuadrícula2"/>
    <w:basedOn w:val="Tablanormal"/>
    <w:next w:val="Tablaconcuadrcula"/>
    <w:uiPriority w:val="39"/>
    <w:rsid w:val="00D6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6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D62B6F"/>
    <w:pPr>
      <w:spacing w:after="0" w:line="240" w:lineRule="auto"/>
    </w:pPr>
    <w:rPr>
      <w:rFonts w:asciiTheme="minorHAnsi" w:hAnsiTheme="minorHAnsi" w:cstheme="minorBidi"/>
      <w:color w:val="auto"/>
      <w:spacing w:val="0"/>
      <w:sz w:val="22"/>
      <w:szCs w:val="22"/>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D62B6F"/>
    <w:pPr>
      <w:spacing w:after="0" w:line="240" w:lineRule="auto"/>
    </w:pPr>
    <w:rPr>
      <w:rFonts w:ascii="Calibri" w:hAnsi="Calibri" w:cs="Calibri"/>
      <w:color w:val="auto"/>
      <w:spacing w:val="0"/>
      <w:sz w:val="22"/>
      <w:szCs w:val="22"/>
      <w:lang w:val="es-DO" w:eastAsia="es-DO"/>
    </w:rPr>
  </w:style>
  <w:style w:type="table" w:customStyle="1" w:styleId="Tablaconcuadrcula5">
    <w:name w:val="Tabla con cuadrícula5"/>
    <w:basedOn w:val="Tablanormal"/>
    <w:next w:val="Tablaconcuadrcula"/>
    <w:uiPriority w:val="39"/>
    <w:rsid w:val="00FC1CB2"/>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85F97"/>
    <w:rPr>
      <w:b/>
      <w:bCs/>
    </w:rPr>
  </w:style>
  <w:style w:type="paragraph" w:styleId="Textonotapie">
    <w:name w:val="footnote text"/>
    <w:basedOn w:val="Normal"/>
    <w:link w:val="TextonotapieCar"/>
    <w:uiPriority w:val="99"/>
    <w:semiHidden/>
    <w:unhideWhenUsed/>
    <w:rsid w:val="005C650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C6503"/>
    <w:rPr>
      <w:sz w:val="20"/>
      <w:szCs w:val="20"/>
    </w:rPr>
  </w:style>
  <w:style w:type="character" w:styleId="Refdenotaalpie">
    <w:name w:val="footnote reference"/>
    <w:basedOn w:val="Fuentedeprrafopredeter"/>
    <w:uiPriority w:val="99"/>
    <w:semiHidden/>
    <w:unhideWhenUsed/>
    <w:rsid w:val="005C6503"/>
    <w:rPr>
      <w:vertAlign w:val="superscript"/>
    </w:rPr>
  </w:style>
  <w:style w:type="character" w:styleId="Refdecomentario">
    <w:name w:val="annotation reference"/>
    <w:basedOn w:val="Fuentedeprrafopredeter"/>
    <w:uiPriority w:val="99"/>
    <w:semiHidden/>
    <w:unhideWhenUsed/>
    <w:rsid w:val="002B429D"/>
    <w:rPr>
      <w:sz w:val="16"/>
      <w:szCs w:val="16"/>
    </w:rPr>
  </w:style>
  <w:style w:type="paragraph" w:styleId="Textocomentario">
    <w:name w:val="annotation text"/>
    <w:basedOn w:val="Normal"/>
    <w:link w:val="TextocomentarioCar"/>
    <w:uiPriority w:val="99"/>
    <w:semiHidden/>
    <w:unhideWhenUsed/>
    <w:rsid w:val="002B42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B429D"/>
    <w:rPr>
      <w:sz w:val="20"/>
      <w:szCs w:val="20"/>
    </w:rPr>
  </w:style>
  <w:style w:type="paragraph" w:styleId="Asuntodelcomentario">
    <w:name w:val="annotation subject"/>
    <w:basedOn w:val="Textocomentario"/>
    <w:next w:val="Textocomentario"/>
    <w:link w:val="AsuntodelcomentarioCar"/>
    <w:uiPriority w:val="99"/>
    <w:semiHidden/>
    <w:unhideWhenUsed/>
    <w:rsid w:val="002B429D"/>
    <w:rPr>
      <w:b/>
      <w:bCs/>
    </w:rPr>
  </w:style>
  <w:style w:type="character" w:customStyle="1" w:styleId="AsuntodelcomentarioCar">
    <w:name w:val="Asunto del comentario Car"/>
    <w:basedOn w:val="TextocomentarioCar"/>
    <w:link w:val="Asuntodelcomentario"/>
    <w:uiPriority w:val="99"/>
    <w:semiHidden/>
    <w:rsid w:val="002B429D"/>
    <w:rPr>
      <w:b/>
      <w:bCs/>
      <w:sz w:val="20"/>
      <w:szCs w:val="20"/>
    </w:rPr>
  </w:style>
  <w:style w:type="character" w:customStyle="1" w:styleId="Ttulo3Car">
    <w:name w:val="Título 3 Car"/>
    <w:basedOn w:val="Fuentedeprrafopredeter"/>
    <w:link w:val="Ttulo3"/>
    <w:uiPriority w:val="9"/>
    <w:semiHidden/>
    <w:rsid w:val="00724B5B"/>
    <w:rPr>
      <w:rFonts w:asciiTheme="majorHAnsi" w:eastAsiaTheme="majorEastAsia" w:hAnsiTheme="majorHAnsi" w:cstheme="majorBidi"/>
      <w:color w:val="1F3763" w:themeColor="accent1" w:themeShade="7F"/>
    </w:rPr>
  </w:style>
  <w:style w:type="table" w:customStyle="1" w:styleId="Tablaconcuadrcula3">
    <w:name w:val="Tabla con cuadrícula3"/>
    <w:basedOn w:val="Tablanormal"/>
    <w:next w:val="Tablaconcuadrcula"/>
    <w:uiPriority w:val="39"/>
    <w:qFormat/>
    <w:rsid w:val="006C2A50"/>
    <w:pPr>
      <w:spacing w:after="0" w:line="240" w:lineRule="auto"/>
    </w:pPr>
    <w:rPr>
      <w:rFonts w:eastAsia="DengXian"/>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qFormat/>
    <w:rsid w:val="006C2A50"/>
    <w:rPr>
      <w:rFonts w:eastAsia="Calibri"/>
      <w:color w:val="595959" w:themeColor="text1" w:themeTint="A6"/>
    </w:rPr>
  </w:style>
  <w:style w:type="paragraph" w:customStyle="1" w:styleId="isselectedend">
    <w:name w:val="isselectedend"/>
    <w:basedOn w:val="Normal"/>
    <w:rsid w:val="006C2A50"/>
    <w:pPr>
      <w:spacing w:before="100" w:beforeAutospacing="1" w:after="100" w:afterAutospacing="1" w:line="240" w:lineRule="auto"/>
    </w:pPr>
    <w:rPr>
      <w:rFonts w:eastAsia="Times New Roman"/>
      <w:color w:val="auto"/>
      <w:spacing w:val="0"/>
    </w:rPr>
  </w:style>
  <w:style w:type="paragraph" w:styleId="TDC2">
    <w:name w:val="toc 2"/>
    <w:basedOn w:val="Normal"/>
    <w:next w:val="Normal"/>
    <w:autoRedefine/>
    <w:uiPriority w:val="39"/>
    <w:unhideWhenUsed/>
    <w:rsid w:val="00EB6B2F"/>
    <w:pPr>
      <w:spacing w:after="100"/>
      <w:ind w:left="220"/>
    </w:pPr>
    <w:rPr>
      <w:rFonts w:asciiTheme="minorHAnsi" w:eastAsiaTheme="minorEastAsia" w:hAnsiTheme="minorHAnsi"/>
      <w:color w:val="auto"/>
      <w:spacing w:val="0"/>
      <w:sz w:val="22"/>
      <w:szCs w:val="22"/>
      <w:lang w:val="es-MX" w:eastAsia="es-MX"/>
    </w:rPr>
  </w:style>
  <w:style w:type="paragraph" w:styleId="TDC3">
    <w:name w:val="toc 3"/>
    <w:basedOn w:val="Normal"/>
    <w:next w:val="Normal"/>
    <w:autoRedefine/>
    <w:uiPriority w:val="39"/>
    <w:unhideWhenUsed/>
    <w:rsid w:val="00EB6B2F"/>
    <w:pPr>
      <w:spacing w:after="100"/>
      <w:ind w:left="440"/>
    </w:pPr>
    <w:rPr>
      <w:rFonts w:asciiTheme="minorHAnsi" w:eastAsiaTheme="minorEastAsia" w:hAnsiTheme="minorHAnsi"/>
      <w:color w:val="auto"/>
      <w:spacing w:val="0"/>
      <w:sz w:val="22"/>
      <w:szCs w:val="22"/>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8987">
      <w:bodyDiv w:val="1"/>
      <w:marLeft w:val="0"/>
      <w:marRight w:val="0"/>
      <w:marTop w:val="0"/>
      <w:marBottom w:val="0"/>
      <w:divBdr>
        <w:top w:val="none" w:sz="0" w:space="0" w:color="auto"/>
        <w:left w:val="none" w:sz="0" w:space="0" w:color="auto"/>
        <w:bottom w:val="none" w:sz="0" w:space="0" w:color="auto"/>
        <w:right w:val="none" w:sz="0" w:space="0" w:color="auto"/>
      </w:divBdr>
      <w:divsChild>
        <w:div w:id="247469104">
          <w:marLeft w:val="0"/>
          <w:marRight w:val="0"/>
          <w:marTop w:val="0"/>
          <w:marBottom w:val="0"/>
          <w:divBdr>
            <w:top w:val="none" w:sz="0" w:space="0" w:color="auto"/>
            <w:left w:val="none" w:sz="0" w:space="0" w:color="auto"/>
            <w:bottom w:val="none" w:sz="0" w:space="0" w:color="auto"/>
            <w:right w:val="none" w:sz="0" w:space="0" w:color="auto"/>
          </w:divBdr>
        </w:div>
      </w:divsChild>
    </w:div>
    <w:div w:id="117728592">
      <w:bodyDiv w:val="1"/>
      <w:marLeft w:val="0"/>
      <w:marRight w:val="0"/>
      <w:marTop w:val="0"/>
      <w:marBottom w:val="0"/>
      <w:divBdr>
        <w:top w:val="none" w:sz="0" w:space="0" w:color="auto"/>
        <w:left w:val="none" w:sz="0" w:space="0" w:color="auto"/>
        <w:bottom w:val="none" w:sz="0" w:space="0" w:color="auto"/>
        <w:right w:val="none" w:sz="0" w:space="0" w:color="auto"/>
      </w:divBdr>
      <w:divsChild>
        <w:div w:id="582222364">
          <w:marLeft w:val="0"/>
          <w:marRight w:val="0"/>
          <w:marTop w:val="0"/>
          <w:marBottom w:val="0"/>
          <w:divBdr>
            <w:top w:val="none" w:sz="0" w:space="0" w:color="auto"/>
            <w:left w:val="none" w:sz="0" w:space="0" w:color="auto"/>
            <w:bottom w:val="none" w:sz="0" w:space="0" w:color="auto"/>
            <w:right w:val="none" w:sz="0" w:space="0" w:color="auto"/>
          </w:divBdr>
          <w:divsChild>
            <w:div w:id="170142092">
              <w:marLeft w:val="0"/>
              <w:marRight w:val="0"/>
              <w:marTop w:val="0"/>
              <w:marBottom w:val="0"/>
              <w:divBdr>
                <w:top w:val="none" w:sz="0" w:space="0" w:color="auto"/>
                <w:left w:val="none" w:sz="0" w:space="0" w:color="auto"/>
                <w:bottom w:val="none" w:sz="0" w:space="0" w:color="auto"/>
                <w:right w:val="none" w:sz="0" w:space="0" w:color="auto"/>
              </w:divBdr>
            </w:div>
            <w:div w:id="290403330">
              <w:marLeft w:val="0"/>
              <w:marRight w:val="0"/>
              <w:marTop w:val="0"/>
              <w:marBottom w:val="0"/>
              <w:divBdr>
                <w:top w:val="none" w:sz="0" w:space="0" w:color="auto"/>
                <w:left w:val="none" w:sz="0" w:space="0" w:color="auto"/>
                <w:bottom w:val="none" w:sz="0" w:space="0" w:color="auto"/>
                <w:right w:val="none" w:sz="0" w:space="0" w:color="auto"/>
              </w:divBdr>
            </w:div>
            <w:div w:id="657418776">
              <w:marLeft w:val="0"/>
              <w:marRight w:val="0"/>
              <w:marTop w:val="0"/>
              <w:marBottom w:val="0"/>
              <w:divBdr>
                <w:top w:val="none" w:sz="0" w:space="0" w:color="auto"/>
                <w:left w:val="none" w:sz="0" w:space="0" w:color="auto"/>
                <w:bottom w:val="none" w:sz="0" w:space="0" w:color="auto"/>
                <w:right w:val="none" w:sz="0" w:space="0" w:color="auto"/>
              </w:divBdr>
            </w:div>
            <w:div w:id="865749663">
              <w:marLeft w:val="0"/>
              <w:marRight w:val="0"/>
              <w:marTop w:val="0"/>
              <w:marBottom w:val="0"/>
              <w:divBdr>
                <w:top w:val="none" w:sz="0" w:space="0" w:color="auto"/>
                <w:left w:val="none" w:sz="0" w:space="0" w:color="auto"/>
                <w:bottom w:val="none" w:sz="0" w:space="0" w:color="auto"/>
                <w:right w:val="none" w:sz="0" w:space="0" w:color="auto"/>
              </w:divBdr>
            </w:div>
            <w:div w:id="906111797">
              <w:marLeft w:val="0"/>
              <w:marRight w:val="0"/>
              <w:marTop w:val="0"/>
              <w:marBottom w:val="0"/>
              <w:divBdr>
                <w:top w:val="none" w:sz="0" w:space="0" w:color="auto"/>
                <w:left w:val="none" w:sz="0" w:space="0" w:color="auto"/>
                <w:bottom w:val="none" w:sz="0" w:space="0" w:color="auto"/>
                <w:right w:val="none" w:sz="0" w:space="0" w:color="auto"/>
              </w:divBdr>
            </w:div>
            <w:div w:id="1205369773">
              <w:marLeft w:val="0"/>
              <w:marRight w:val="0"/>
              <w:marTop w:val="0"/>
              <w:marBottom w:val="0"/>
              <w:divBdr>
                <w:top w:val="none" w:sz="0" w:space="0" w:color="auto"/>
                <w:left w:val="none" w:sz="0" w:space="0" w:color="auto"/>
                <w:bottom w:val="none" w:sz="0" w:space="0" w:color="auto"/>
                <w:right w:val="none" w:sz="0" w:space="0" w:color="auto"/>
              </w:divBdr>
            </w:div>
            <w:div w:id="1373730107">
              <w:marLeft w:val="0"/>
              <w:marRight w:val="0"/>
              <w:marTop w:val="0"/>
              <w:marBottom w:val="0"/>
              <w:divBdr>
                <w:top w:val="none" w:sz="0" w:space="0" w:color="auto"/>
                <w:left w:val="none" w:sz="0" w:space="0" w:color="auto"/>
                <w:bottom w:val="none" w:sz="0" w:space="0" w:color="auto"/>
                <w:right w:val="none" w:sz="0" w:space="0" w:color="auto"/>
              </w:divBdr>
            </w:div>
          </w:divsChild>
        </w:div>
        <w:div w:id="821578537">
          <w:marLeft w:val="0"/>
          <w:marRight w:val="0"/>
          <w:marTop w:val="0"/>
          <w:marBottom w:val="0"/>
          <w:divBdr>
            <w:top w:val="none" w:sz="0" w:space="0" w:color="auto"/>
            <w:left w:val="none" w:sz="0" w:space="0" w:color="auto"/>
            <w:bottom w:val="none" w:sz="0" w:space="0" w:color="auto"/>
            <w:right w:val="none" w:sz="0" w:space="0" w:color="auto"/>
          </w:divBdr>
          <w:divsChild>
            <w:div w:id="160389805">
              <w:marLeft w:val="0"/>
              <w:marRight w:val="0"/>
              <w:marTop w:val="0"/>
              <w:marBottom w:val="0"/>
              <w:divBdr>
                <w:top w:val="none" w:sz="0" w:space="0" w:color="auto"/>
                <w:left w:val="none" w:sz="0" w:space="0" w:color="auto"/>
                <w:bottom w:val="none" w:sz="0" w:space="0" w:color="auto"/>
                <w:right w:val="none" w:sz="0" w:space="0" w:color="auto"/>
              </w:divBdr>
            </w:div>
            <w:div w:id="198326961">
              <w:marLeft w:val="0"/>
              <w:marRight w:val="0"/>
              <w:marTop w:val="0"/>
              <w:marBottom w:val="0"/>
              <w:divBdr>
                <w:top w:val="none" w:sz="0" w:space="0" w:color="auto"/>
                <w:left w:val="none" w:sz="0" w:space="0" w:color="auto"/>
                <w:bottom w:val="none" w:sz="0" w:space="0" w:color="auto"/>
                <w:right w:val="none" w:sz="0" w:space="0" w:color="auto"/>
              </w:divBdr>
            </w:div>
            <w:div w:id="313686949">
              <w:marLeft w:val="0"/>
              <w:marRight w:val="0"/>
              <w:marTop w:val="0"/>
              <w:marBottom w:val="0"/>
              <w:divBdr>
                <w:top w:val="none" w:sz="0" w:space="0" w:color="auto"/>
                <w:left w:val="none" w:sz="0" w:space="0" w:color="auto"/>
                <w:bottom w:val="none" w:sz="0" w:space="0" w:color="auto"/>
                <w:right w:val="none" w:sz="0" w:space="0" w:color="auto"/>
              </w:divBdr>
            </w:div>
            <w:div w:id="462236811">
              <w:marLeft w:val="0"/>
              <w:marRight w:val="0"/>
              <w:marTop w:val="0"/>
              <w:marBottom w:val="0"/>
              <w:divBdr>
                <w:top w:val="none" w:sz="0" w:space="0" w:color="auto"/>
                <w:left w:val="none" w:sz="0" w:space="0" w:color="auto"/>
                <w:bottom w:val="none" w:sz="0" w:space="0" w:color="auto"/>
                <w:right w:val="none" w:sz="0" w:space="0" w:color="auto"/>
              </w:divBdr>
            </w:div>
            <w:div w:id="523834891">
              <w:marLeft w:val="0"/>
              <w:marRight w:val="0"/>
              <w:marTop w:val="0"/>
              <w:marBottom w:val="0"/>
              <w:divBdr>
                <w:top w:val="none" w:sz="0" w:space="0" w:color="auto"/>
                <w:left w:val="none" w:sz="0" w:space="0" w:color="auto"/>
                <w:bottom w:val="none" w:sz="0" w:space="0" w:color="auto"/>
                <w:right w:val="none" w:sz="0" w:space="0" w:color="auto"/>
              </w:divBdr>
            </w:div>
            <w:div w:id="561720722">
              <w:marLeft w:val="0"/>
              <w:marRight w:val="0"/>
              <w:marTop w:val="0"/>
              <w:marBottom w:val="0"/>
              <w:divBdr>
                <w:top w:val="none" w:sz="0" w:space="0" w:color="auto"/>
                <w:left w:val="none" w:sz="0" w:space="0" w:color="auto"/>
                <w:bottom w:val="none" w:sz="0" w:space="0" w:color="auto"/>
                <w:right w:val="none" w:sz="0" w:space="0" w:color="auto"/>
              </w:divBdr>
            </w:div>
            <w:div w:id="782113820">
              <w:marLeft w:val="0"/>
              <w:marRight w:val="0"/>
              <w:marTop w:val="0"/>
              <w:marBottom w:val="0"/>
              <w:divBdr>
                <w:top w:val="none" w:sz="0" w:space="0" w:color="auto"/>
                <w:left w:val="none" w:sz="0" w:space="0" w:color="auto"/>
                <w:bottom w:val="none" w:sz="0" w:space="0" w:color="auto"/>
                <w:right w:val="none" w:sz="0" w:space="0" w:color="auto"/>
              </w:divBdr>
            </w:div>
            <w:div w:id="854266462">
              <w:marLeft w:val="0"/>
              <w:marRight w:val="0"/>
              <w:marTop w:val="0"/>
              <w:marBottom w:val="0"/>
              <w:divBdr>
                <w:top w:val="none" w:sz="0" w:space="0" w:color="auto"/>
                <w:left w:val="none" w:sz="0" w:space="0" w:color="auto"/>
                <w:bottom w:val="none" w:sz="0" w:space="0" w:color="auto"/>
                <w:right w:val="none" w:sz="0" w:space="0" w:color="auto"/>
              </w:divBdr>
            </w:div>
            <w:div w:id="864245085">
              <w:marLeft w:val="0"/>
              <w:marRight w:val="0"/>
              <w:marTop w:val="0"/>
              <w:marBottom w:val="0"/>
              <w:divBdr>
                <w:top w:val="none" w:sz="0" w:space="0" w:color="auto"/>
                <w:left w:val="none" w:sz="0" w:space="0" w:color="auto"/>
                <w:bottom w:val="none" w:sz="0" w:space="0" w:color="auto"/>
                <w:right w:val="none" w:sz="0" w:space="0" w:color="auto"/>
              </w:divBdr>
            </w:div>
            <w:div w:id="871840524">
              <w:marLeft w:val="0"/>
              <w:marRight w:val="0"/>
              <w:marTop w:val="0"/>
              <w:marBottom w:val="0"/>
              <w:divBdr>
                <w:top w:val="none" w:sz="0" w:space="0" w:color="auto"/>
                <w:left w:val="none" w:sz="0" w:space="0" w:color="auto"/>
                <w:bottom w:val="none" w:sz="0" w:space="0" w:color="auto"/>
                <w:right w:val="none" w:sz="0" w:space="0" w:color="auto"/>
              </w:divBdr>
            </w:div>
            <w:div w:id="1057357987">
              <w:marLeft w:val="0"/>
              <w:marRight w:val="0"/>
              <w:marTop w:val="0"/>
              <w:marBottom w:val="0"/>
              <w:divBdr>
                <w:top w:val="none" w:sz="0" w:space="0" w:color="auto"/>
                <w:left w:val="none" w:sz="0" w:space="0" w:color="auto"/>
                <w:bottom w:val="none" w:sz="0" w:space="0" w:color="auto"/>
                <w:right w:val="none" w:sz="0" w:space="0" w:color="auto"/>
              </w:divBdr>
            </w:div>
            <w:div w:id="1326785675">
              <w:marLeft w:val="0"/>
              <w:marRight w:val="0"/>
              <w:marTop w:val="0"/>
              <w:marBottom w:val="0"/>
              <w:divBdr>
                <w:top w:val="none" w:sz="0" w:space="0" w:color="auto"/>
                <w:left w:val="none" w:sz="0" w:space="0" w:color="auto"/>
                <w:bottom w:val="none" w:sz="0" w:space="0" w:color="auto"/>
                <w:right w:val="none" w:sz="0" w:space="0" w:color="auto"/>
              </w:divBdr>
            </w:div>
            <w:div w:id="1583295628">
              <w:marLeft w:val="0"/>
              <w:marRight w:val="0"/>
              <w:marTop w:val="0"/>
              <w:marBottom w:val="0"/>
              <w:divBdr>
                <w:top w:val="none" w:sz="0" w:space="0" w:color="auto"/>
                <w:left w:val="none" w:sz="0" w:space="0" w:color="auto"/>
                <w:bottom w:val="none" w:sz="0" w:space="0" w:color="auto"/>
                <w:right w:val="none" w:sz="0" w:space="0" w:color="auto"/>
              </w:divBdr>
            </w:div>
            <w:div w:id="1646860500">
              <w:marLeft w:val="0"/>
              <w:marRight w:val="0"/>
              <w:marTop w:val="0"/>
              <w:marBottom w:val="0"/>
              <w:divBdr>
                <w:top w:val="none" w:sz="0" w:space="0" w:color="auto"/>
                <w:left w:val="none" w:sz="0" w:space="0" w:color="auto"/>
                <w:bottom w:val="none" w:sz="0" w:space="0" w:color="auto"/>
                <w:right w:val="none" w:sz="0" w:space="0" w:color="auto"/>
              </w:divBdr>
            </w:div>
            <w:div w:id="1777410061">
              <w:marLeft w:val="0"/>
              <w:marRight w:val="0"/>
              <w:marTop w:val="0"/>
              <w:marBottom w:val="0"/>
              <w:divBdr>
                <w:top w:val="none" w:sz="0" w:space="0" w:color="auto"/>
                <w:left w:val="none" w:sz="0" w:space="0" w:color="auto"/>
                <w:bottom w:val="none" w:sz="0" w:space="0" w:color="auto"/>
                <w:right w:val="none" w:sz="0" w:space="0" w:color="auto"/>
              </w:divBdr>
            </w:div>
            <w:div w:id="1780568923">
              <w:marLeft w:val="0"/>
              <w:marRight w:val="0"/>
              <w:marTop w:val="0"/>
              <w:marBottom w:val="0"/>
              <w:divBdr>
                <w:top w:val="none" w:sz="0" w:space="0" w:color="auto"/>
                <w:left w:val="none" w:sz="0" w:space="0" w:color="auto"/>
                <w:bottom w:val="none" w:sz="0" w:space="0" w:color="auto"/>
                <w:right w:val="none" w:sz="0" w:space="0" w:color="auto"/>
              </w:divBdr>
            </w:div>
            <w:div w:id="1813986673">
              <w:marLeft w:val="0"/>
              <w:marRight w:val="0"/>
              <w:marTop w:val="0"/>
              <w:marBottom w:val="0"/>
              <w:divBdr>
                <w:top w:val="none" w:sz="0" w:space="0" w:color="auto"/>
                <w:left w:val="none" w:sz="0" w:space="0" w:color="auto"/>
                <w:bottom w:val="none" w:sz="0" w:space="0" w:color="auto"/>
                <w:right w:val="none" w:sz="0" w:space="0" w:color="auto"/>
              </w:divBdr>
            </w:div>
            <w:div w:id="1855457685">
              <w:marLeft w:val="0"/>
              <w:marRight w:val="0"/>
              <w:marTop w:val="0"/>
              <w:marBottom w:val="0"/>
              <w:divBdr>
                <w:top w:val="none" w:sz="0" w:space="0" w:color="auto"/>
                <w:left w:val="none" w:sz="0" w:space="0" w:color="auto"/>
                <w:bottom w:val="none" w:sz="0" w:space="0" w:color="auto"/>
                <w:right w:val="none" w:sz="0" w:space="0" w:color="auto"/>
              </w:divBdr>
            </w:div>
            <w:div w:id="1858234109">
              <w:marLeft w:val="0"/>
              <w:marRight w:val="0"/>
              <w:marTop w:val="0"/>
              <w:marBottom w:val="0"/>
              <w:divBdr>
                <w:top w:val="none" w:sz="0" w:space="0" w:color="auto"/>
                <w:left w:val="none" w:sz="0" w:space="0" w:color="auto"/>
                <w:bottom w:val="none" w:sz="0" w:space="0" w:color="auto"/>
                <w:right w:val="none" w:sz="0" w:space="0" w:color="auto"/>
              </w:divBdr>
            </w:div>
            <w:div w:id="2064059385">
              <w:marLeft w:val="0"/>
              <w:marRight w:val="0"/>
              <w:marTop w:val="0"/>
              <w:marBottom w:val="0"/>
              <w:divBdr>
                <w:top w:val="none" w:sz="0" w:space="0" w:color="auto"/>
                <w:left w:val="none" w:sz="0" w:space="0" w:color="auto"/>
                <w:bottom w:val="none" w:sz="0" w:space="0" w:color="auto"/>
                <w:right w:val="none" w:sz="0" w:space="0" w:color="auto"/>
              </w:divBdr>
            </w:div>
          </w:divsChild>
        </w:div>
        <w:div w:id="1376857860">
          <w:marLeft w:val="0"/>
          <w:marRight w:val="0"/>
          <w:marTop w:val="0"/>
          <w:marBottom w:val="0"/>
          <w:divBdr>
            <w:top w:val="none" w:sz="0" w:space="0" w:color="auto"/>
            <w:left w:val="none" w:sz="0" w:space="0" w:color="auto"/>
            <w:bottom w:val="none" w:sz="0" w:space="0" w:color="auto"/>
            <w:right w:val="none" w:sz="0" w:space="0" w:color="auto"/>
          </w:divBdr>
          <w:divsChild>
            <w:div w:id="69619175">
              <w:marLeft w:val="0"/>
              <w:marRight w:val="0"/>
              <w:marTop w:val="0"/>
              <w:marBottom w:val="0"/>
              <w:divBdr>
                <w:top w:val="none" w:sz="0" w:space="0" w:color="auto"/>
                <w:left w:val="none" w:sz="0" w:space="0" w:color="auto"/>
                <w:bottom w:val="none" w:sz="0" w:space="0" w:color="auto"/>
                <w:right w:val="none" w:sz="0" w:space="0" w:color="auto"/>
              </w:divBdr>
            </w:div>
            <w:div w:id="351686234">
              <w:marLeft w:val="0"/>
              <w:marRight w:val="0"/>
              <w:marTop w:val="0"/>
              <w:marBottom w:val="0"/>
              <w:divBdr>
                <w:top w:val="none" w:sz="0" w:space="0" w:color="auto"/>
                <w:left w:val="none" w:sz="0" w:space="0" w:color="auto"/>
                <w:bottom w:val="none" w:sz="0" w:space="0" w:color="auto"/>
                <w:right w:val="none" w:sz="0" w:space="0" w:color="auto"/>
              </w:divBdr>
            </w:div>
            <w:div w:id="385879629">
              <w:marLeft w:val="0"/>
              <w:marRight w:val="0"/>
              <w:marTop w:val="0"/>
              <w:marBottom w:val="0"/>
              <w:divBdr>
                <w:top w:val="none" w:sz="0" w:space="0" w:color="auto"/>
                <w:left w:val="none" w:sz="0" w:space="0" w:color="auto"/>
                <w:bottom w:val="none" w:sz="0" w:space="0" w:color="auto"/>
                <w:right w:val="none" w:sz="0" w:space="0" w:color="auto"/>
              </w:divBdr>
            </w:div>
            <w:div w:id="963930013">
              <w:marLeft w:val="0"/>
              <w:marRight w:val="0"/>
              <w:marTop w:val="0"/>
              <w:marBottom w:val="0"/>
              <w:divBdr>
                <w:top w:val="none" w:sz="0" w:space="0" w:color="auto"/>
                <w:left w:val="none" w:sz="0" w:space="0" w:color="auto"/>
                <w:bottom w:val="none" w:sz="0" w:space="0" w:color="auto"/>
                <w:right w:val="none" w:sz="0" w:space="0" w:color="auto"/>
              </w:divBdr>
            </w:div>
            <w:div w:id="968635304">
              <w:marLeft w:val="0"/>
              <w:marRight w:val="0"/>
              <w:marTop w:val="0"/>
              <w:marBottom w:val="0"/>
              <w:divBdr>
                <w:top w:val="none" w:sz="0" w:space="0" w:color="auto"/>
                <w:left w:val="none" w:sz="0" w:space="0" w:color="auto"/>
                <w:bottom w:val="none" w:sz="0" w:space="0" w:color="auto"/>
                <w:right w:val="none" w:sz="0" w:space="0" w:color="auto"/>
              </w:divBdr>
            </w:div>
            <w:div w:id="1046561796">
              <w:marLeft w:val="0"/>
              <w:marRight w:val="0"/>
              <w:marTop w:val="0"/>
              <w:marBottom w:val="0"/>
              <w:divBdr>
                <w:top w:val="none" w:sz="0" w:space="0" w:color="auto"/>
                <w:left w:val="none" w:sz="0" w:space="0" w:color="auto"/>
                <w:bottom w:val="none" w:sz="0" w:space="0" w:color="auto"/>
                <w:right w:val="none" w:sz="0" w:space="0" w:color="auto"/>
              </w:divBdr>
            </w:div>
            <w:div w:id="1100029034">
              <w:marLeft w:val="0"/>
              <w:marRight w:val="0"/>
              <w:marTop w:val="0"/>
              <w:marBottom w:val="0"/>
              <w:divBdr>
                <w:top w:val="none" w:sz="0" w:space="0" w:color="auto"/>
                <w:left w:val="none" w:sz="0" w:space="0" w:color="auto"/>
                <w:bottom w:val="none" w:sz="0" w:space="0" w:color="auto"/>
                <w:right w:val="none" w:sz="0" w:space="0" w:color="auto"/>
              </w:divBdr>
            </w:div>
            <w:div w:id="1340888405">
              <w:marLeft w:val="0"/>
              <w:marRight w:val="0"/>
              <w:marTop w:val="0"/>
              <w:marBottom w:val="0"/>
              <w:divBdr>
                <w:top w:val="none" w:sz="0" w:space="0" w:color="auto"/>
                <w:left w:val="none" w:sz="0" w:space="0" w:color="auto"/>
                <w:bottom w:val="none" w:sz="0" w:space="0" w:color="auto"/>
                <w:right w:val="none" w:sz="0" w:space="0" w:color="auto"/>
              </w:divBdr>
            </w:div>
          </w:divsChild>
        </w:div>
        <w:div w:id="1411465392">
          <w:marLeft w:val="0"/>
          <w:marRight w:val="0"/>
          <w:marTop w:val="0"/>
          <w:marBottom w:val="0"/>
          <w:divBdr>
            <w:top w:val="none" w:sz="0" w:space="0" w:color="auto"/>
            <w:left w:val="none" w:sz="0" w:space="0" w:color="auto"/>
            <w:bottom w:val="none" w:sz="0" w:space="0" w:color="auto"/>
            <w:right w:val="none" w:sz="0" w:space="0" w:color="auto"/>
          </w:divBdr>
          <w:divsChild>
            <w:div w:id="1566330484">
              <w:marLeft w:val="-75"/>
              <w:marRight w:val="0"/>
              <w:marTop w:val="30"/>
              <w:marBottom w:val="30"/>
              <w:divBdr>
                <w:top w:val="none" w:sz="0" w:space="0" w:color="auto"/>
                <w:left w:val="none" w:sz="0" w:space="0" w:color="auto"/>
                <w:bottom w:val="none" w:sz="0" w:space="0" w:color="auto"/>
                <w:right w:val="none" w:sz="0" w:space="0" w:color="auto"/>
              </w:divBdr>
              <w:divsChild>
                <w:div w:id="56559490">
                  <w:marLeft w:val="0"/>
                  <w:marRight w:val="0"/>
                  <w:marTop w:val="0"/>
                  <w:marBottom w:val="0"/>
                  <w:divBdr>
                    <w:top w:val="none" w:sz="0" w:space="0" w:color="auto"/>
                    <w:left w:val="none" w:sz="0" w:space="0" w:color="auto"/>
                    <w:bottom w:val="none" w:sz="0" w:space="0" w:color="auto"/>
                    <w:right w:val="none" w:sz="0" w:space="0" w:color="auto"/>
                  </w:divBdr>
                  <w:divsChild>
                    <w:div w:id="899553832">
                      <w:marLeft w:val="0"/>
                      <w:marRight w:val="0"/>
                      <w:marTop w:val="0"/>
                      <w:marBottom w:val="0"/>
                      <w:divBdr>
                        <w:top w:val="none" w:sz="0" w:space="0" w:color="auto"/>
                        <w:left w:val="none" w:sz="0" w:space="0" w:color="auto"/>
                        <w:bottom w:val="none" w:sz="0" w:space="0" w:color="auto"/>
                        <w:right w:val="none" w:sz="0" w:space="0" w:color="auto"/>
                      </w:divBdr>
                    </w:div>
                  </w:divsChild>
                </w:div>
                <w:div w:id="68311558">
                  <w:marLeft w:val="0"/>
                  <w:marRight w:val="0"/>
                  <w:marTop w:val="0"/>
                  <w:marBottom w:val="0"/>
                  <w:divBdr>
                    <w:top w:val="none" w:sz="0" w:space="0" w:color="auto"/>
                    <w:left w:val="none" w:sz="0" w:space="0" w:color="auto"/>
                    <w:bottom w:val="none" w:sz="0" w:space="0" w:color="auto"/>
                    <w:right w:val="none" w:sz="0" w:space="0" w:color="auto"/>
                  </w:divBdr>
                  <w:divsChild>
                    <w:div w:id="2025479088">
                      <w:marLeft w:val="0"/>
                      <w:marRight w:val="0"/>
                      <w:marTop w:val="0"/>
                      <w:marBottom w:val="0"/>
                      <w:divBdr>
                        <w:top w:val="none" w:sz="0" w:space="0" w:color="auto"/>
                        <w:left w:val="none" w:sz="0" w:space="0" w:color="auto"/>
                        <w:bottom w:val="none" w:sz="0" w:space="0" w:color="auto"/>
                        <w:right w:val="none" w:sz="0" w:space="0" w:color="auto"/>
                      </w:divBdr>
                    </w:div>
                  </w:divsChild>
                </w:div>
                <w:div w:id="103959897">
                  <w:marLeft w:val="0"/>
                  <w:marRight w:val="0"/>
                  <w:marTop w:val="0"/>
                  <w:marBottom w:val="0"/>
                  <w:divBdr>
                    <w:top w:val="none" w:sz="0" w:space="0" w:color="auto"/>
                    <w:left w:val="none" w:sz="0" w:space="0" w:color="auto"/>
                    <w:bottom w:val="none" w:sz="0" w:space="0" w:color="auto"/>
                    <w:right w:val="none" w:sz="0" w:space="0" w:color="auto"/>
                  </w:divBdr>
                  <w:divsChild>
                    <w:div w:id="1224947089">
                      <w:marLeft w:val="0"/>
                      <w:marRight w:val="0"/>
                      <w:marTop w:val="0"/>
                      <w:marBottom w:val="0"/>
                      <w:divBdr>
                        <w:top w:val="none" w:sz="0" w:space="0" w:color="auto"/>
                        <w:left w:val="none" w:sz="0" w:space="0" w:color="auto"/>
                        <w:bottom w:val="none" w:sz="0" w:space="0" w:color="auto"/>
                        <w:right w:val="none" w:sz="0" w:space="0" w:color="auto"/>
                      </w:divBdr>
                    </w:div>
                  </w:divsChild>
                </w:div>
                <w:div w:id="189146390">
                  <w:marLeft w:val="0"/>
                  <w:marRight w:val="0"/>
                  <w:marTop w:val="0"/>
                  <w:marBottom w:val="0"/>
                  <w:divBdr>
                    <w:top w:val="none" w:sz="0" w:space="0" w:color="auto"/>
                    <w:left w:val="none" w:sz="0" w:space="0" w:color="auto"/>
                    <w:bottom w:val="none" w:sz="0" w:space="0" w:color="auto"/>
                    <w:right w:val="none" w:sz="0" w:space="0" w:color="auto"/>
                  </w:divBdr>
                  <w:divsChild>
                    <w:div w:id="580676773">
                      <w:marLeft w:val="0"/>
                      <w:marRight w:val="0"/>
                      <w:marTop w:val="0"/>
                      <w:marBottom w:val="0"/>
                      <w:divBdr>
                        <w:top w:val="none" w:sz="0" w:space="0" w:color="auto"/>
                        <w:left w:val="none" w:sz="0" w:space="0" w:color="auto"/>
                        <w:bottom w:val="none" w:sz="0" w:space="0" w:color="auto"/>
                        <w:right w:val="none" w:sz="0" w:space="0" w:color="auto"/>
                      </w:divBdr>
                    </w:div>
                  </w:divsChild>
                </w:div>
                <w:div w:id="231503851">
                  <w:marLeft w:val="0"/>
                  <w:marRight w:val="0"/>
                  <w:marTop w:val="0"/>
                  <w:marBottom w:val="0"/>
                  <w:divBdr>
                    <w:top w:val="none" w:sz="0" w:space="0" w:color="auto"/>
                    <w:left w:val="none" w:sz="0" w:space="0" w:color="auto"/>
                    <w:bottom w:val="none" w:sz="0" w:space="0" w:color="auto"/>
                    <w:right w:val="none" w:sz="0" w:space="0" w:color="auto"/>
                  </w:divBdr>
                  <w:divsChild>
                    <w:div w:id="309556149">
                      <w:marLeft w:val="0"/>
                      <w:marRight w:val="0"/>
                      <w:marTop w:val="0"/>
                      <w:marBottom w:val="0"/>
                      <w:divBdr>
                        <w:top w:val="none" w:sz="0" w:space="0" w:color="auto"/>
                        <w:left w:val="none" w:sz="0" w:space="0" w:color="auto"/>
                        <w:bottom w:val="none" w:sz="0" w:space="0" w:color="auto"/>
                        <w:right w:val="none" w:sz="0" w:space="0" w:color="auto"/>
                      </w:divBdr>
                    </w:div>
                  </w:divsChild>
                </w:div>
                <w:div w:id="295986289">
                  <w:marLeft w:val="0"/>
                  <w:marRight w:val="0"/>
                  <w:marTop w:val="0"/>
                  <w:marBottom w:val="0"/>
                  <w:divBdr>
                    <w:top w:val="none" w:sz="0" w:space="0" w:color="auto"/>
                    <w:left w:val="none" w:sz="0" w:space="0" w:color="auto"/>
                    <w:bottom w:val="none" w:sz="0" w:space="0" w:color="auto"/>
                    <w:right w:val="none" w:sz="0" w:space="0" w:color="auto"/>
                  </w:divBdr>
                  <w:divsChild>
                    <w:div w:id="301858910">
                      <w:marLeft w:val="0"/>
                      <w:marRight w:val="0"/>
                      <w:marTop w:val="0"/>
                      <w:marBottom w:val="0"/>
                      <w:divBdr>
                        <w:top w:val="none" w:sz="0" w:space="0" w:color="auto"/>
                        <w:left w:val="none" w:sz="0" w:space="0" w:color="auto"/>
                        <w:bottom w:val="none" w:sz="0" w:space="0" w:color="auto"/>
                        <w:right w:val="none" w:sz="0" w:space="0" w:color="auto"/>
                      </w:divBdr>
                    </w:div>
                  </w:divsChild>
                </w:div>
                <w:div w:id="315308396">
                  <w:marLeft w:val="0"/>
                  <w:marRight w:val="0"/>
                  <w:marTop w:val="0"/>
                  <w:marBottom w:val="0"/>
                  <w:divBdr>
                    <w:top w:val="none" w:sz="0" w:space="0" w:color="auto"/>
                    <w:left w:val="none" w:sz="0" w:space="0" w:color="auto"/>
                    <w:bottom w:val="none" w:sz="0" w:space="0" w:color="auto"/>
                    <w:right w:val="none" w:sz="0" w:space="0" w:color="auto"/>
                  </w:divBdr>
                  <w:divsChild>
                    <w:div w:id="1283925278">
                      <w:marLeft w:val="0"/>
                      <w:marRight w:val="0"/>
                      <w:marTop w:val="0"/>
                      <w:marBottom w:val="0"/>
                      <w:divBdr>
                        <w:top w:val="none" w:sz="0" w:space="0" w:color="auto"/>
                        <w:left w:val="none" w:sz="0" w:space="0" w:color="auto"/>
                        <w:bottom w:val="none" w:sz="0" w:space="0" w:color="auto"/>
                        <w:right w:val="none" w:sz="0" w:space="0" w:color="auto"/>
                      </w:divBdr>
                    </w:div>
                  </w:divsChild>
                </w:div>
                <w:div w:id="471407736">
                  <w:marLeft w:val="0"/>
                  <w:marRight w:val="0"/>
                  <w:marTop w:val="0"/>
                  <w:marBottom w:val="0"/>
                  <w:divBdr>
                    <w:top w:val="none" w:sz="0" w:space="0" w:color="auto"/>
                    <w:left w:val="none" w:sz="0" w:space="0" w:color="auto"/>
                    <w:bottom w:val="none" w:sz="0" w:space="0" w:color="auto"/>
                    <w:right w:val="none" w:sz="0" w:space="0" w:color="auto"/>
                  </w:divBdr>
                  <w:divsChild>
                    <w:div w:id="708994963">
                      <w:marLeft w:val="0"/>
                      <w:marRight w:val="0"/>
                      <w:marTop w:val="0"/>
                      <w:marBottom w:val="0"/>
                      <w:divBdr>
                        <w:top w:val="none" w:sz="0" w:space="0" w:color="auto"/>
                        <w:left w:val="none" w:sz="0" w:space="0" w:color="auto"/>
                        <w:bottom w:val="none" w:sz="0" w:space="0" w:color="auto"/>
                        <w:right w:val="none" w:sz="0" w:space="0" w:color="auto"/>
                      </w:divBdr>
                    </w:div>
                  </w:divsChild>
                </w:div>
                <w:div w:id="517892575">
                  <w:marLeft w:val="0"/>
                  <w:marRight w:val="0"/>
                  <w:marTop w:val="0"/>
                  <w:marBottom w:val="0"/>
                  <w:divBdr>
                    <w:top w:val="none" w:sz="0" w:space="0" w:color="auto"/>
                    <w:left w:val="none" w:sz="0" w:space="0" w:color="auto"/>
                    <w:bottom w:val="none" w:sz="0" w:space="0" w:color="auto"/>
                    <w:right w:val="none" w:sz="0" w:space="0" w:color="auto"/>
                  </w:divBdr>
                  <w:divsChild>
                    <w:div w:id="220672384">
                      <w:marLeft w:val="0"/>
                      <w:marRight w:val="0"/>
                      <w:marTop w:val="0"/>
                      <w:marBottom w:val="0"/>
                      <w:divBdr>
                        <w:top w:val="none" w:sz="0" w:space="0" w:color="auto"/>
                        <w:left w:val="none" w:sz="0" w:space="0" w:color="auto"/>
                        <w:bottom w:val="none" w:sz="0" w:space="0" w:color="auto"/>
                        <w:right w:val="none" w:sz="0" w:space="0" w:color="auto"/>
                      </w:divBdr>
                    </w:div>
                  </w:divsChild>
                </w:div>
                <w:div w:id="533542400">
                  <w:marLeft w:val="0"/>
                  <w:marRight w:val="0"/>
                  <w:marTop w:val="0"/>
                  <w:marBottom w:val="0"/>
                  <w:divBdr>
                    <w:top w:val="none" w:sz="0" w:space="0" w:color="auto"/>
                    <w:left w:val="none" w:sz="0" w:space="0" w:color="auto"/>
                    <w:bottom w:val="none" w:sz="0" w:space="0" w:color="auto"/>
                    <w:right w:val="none" w:sz="0" w:space="0" w:color="auto"/>
                  </w:divBdr>
                  <w:divsChild>
                    <w:div w:id="2077392278">
                      <w:marLeft w:val="0"/>
                      <w:marRight w:val="0"/>
                      <w:marTop w:val="0"/>
                      <w:marBottom w:val="0"/>
                      <w:divBdr>
                        <w:top w:val="none" w:sz="0" w:space="0" w:color="auto"/>
                        <w:left w:val="none" w:sz="0" w:space="0" w:color="auto"/>
                        <w:bottom w:val="none" w:sz="0" w:space="0" w:color="auto"/>
                        <w:right w:val="none" w:sz="0" w:space="0" w:color="auto"/>
                      </w:divBdr>
                    </w:div>
                  </w:divsChild>
                </w:div>
                <w:div w:id="587006159">
                  <w:marLeft w:val="0"/>
                  <w:marRight w:val="0"/>
                  <w:marTop w:val="0"/>
                  <w:marBottom w:val="0"/>
                  <w:divBdr>
                    <w:top w:val="none" w:sz="0" w:space="0" w:color="auto"/>
                    <w:left w:val="none" w:sz="0" w:space="0" w:color="auto"/>
                    <w:bottom w:val="none" w:sz="0" w:space="0" w:color="auto"/>
                    <w:right w:val="none" w:sz="0" w:space="0" w:color="auto"/>
                  </w:divBdr>
                  <w:divsChild>
                    <w:div w:id="1004014513">
                      <w:marLeft w:val="0"/>
                      <w:marRight w:val="0"/>
                      <w:marTop w:val="0"/>
                      <w:marBottom w:val="0"/>
                      <w:divBdr>
                        <w:top w:val="none" w:sz="0" w:space="0" w:color="auto"/>
                        <w:left w:val="none" w:sz="0" w:space="0" w:color="auto"/>
                        <w:bottom w:val="none" w:sz="0" w:space="0" w:color="auto"/>
                        <w:right w:val="none" w:sz="0" w:space="0" w:color="auto"/>
                      </w:divBdr>
                    </w:div>
                  </w:divsChild>
                </w:div>
                <w:div w:id="660427919">
                  <w:marLeft w:val="0"/>
                  <w:marRight w:val="0"/>
                  <w:marTop w:val="0"/>
                  <w:marBottom w:val="0"/>
                  <w:divBdr>
                    <w:top w:val="none" w:sz="0" w:space="0" w:color="auto"/>
                    <w:left w:val="none" w:sz="0" w:space="0" w:color="auto"/>
                    <w:bottom w:val="none" w:sz="0" w:space="0" w:color="auto"/>
                    <w:right w:val="none" w:sz="0" w:space="0" w:color="auto"/>
                  </w:divBdr>
                  <w:divsChild>
                    <w:div w:id="861742564">
                      <w:marLeft w:val="0"/>
                      <w:marRight w:val="0"/>
                      <w:marTop w:val="0"/>
                      <w:marBottom w:val="0"/>
                      <w:divBdr>
                        <w:top w:val="none" w:sz="0" w:space="0" w:color="auto"/>
                        <w:left w:val="none" w:sz="0" w:space="0" w:color="auto"/>
                        <w:bottom w:val="none" w:sz="0" w:space="0" w:color="auto"/>
                        <w:right w:val="none" w:sz="0" w:space="0" w:color="auto"/>
                      </w:divBdr>
                    </w:div>
                  </w:divsChild>
                </w:div>
                <w:div w:id="660549369">
                  <w:marLeft w:val="0"/>
                  <w:marRight w:val="0"/>
                  <w:marTop w:val="0"/>
                  <w:marBottom w:val="0"/>
                  <w:divBdr>
                    <w:top w:val="none" w:sz="0" w:space="0" w:color="auto"/>
                    <w:left w:val="none" w:sz="0" w:space="0" w:color="auto"/>
                    <w:bottom w:val="none" w:sz="0" w:space="0" w:color="auto"/>
                    <w:right w:val="none" w:sz="0" w:space="0" w:color="auto"/>
                  </w:divBdr>
                  <w:divsChild>
                    <w:div w:id="1807746506">
                      <w:marLeft w:val="0"/>
                      <w:marRight w:val="0"/>
                      <w:marTop w:val="0"/>
                      <w:marBottom w:val="0"/>
                      <w:divBdr>
                        <w:top w:val="none" w:sz="0" w:space="0" w:color="auto"/>
                        <w:left w:val="none" w:sz="0" w:space="0" w:color="auto"/>
                        <w:bottom w:val="none" w:sz="0" w:space="0" w:color="auto"/>
                        <w:right w:val="none" w:sz="0" w:space="0" w:color="auto"/>
                      </w:divBdr>
                    </w:div>
                  </w:divsChild>
                </w:div>
                <w:div w:id="735786191">
                  <w:marLeft w:val="0"/>
                  <w:marRight w:val="0"/>
                  <w:marTop w:val="0"/>
                  <w:marBottom w:val="0"/>
                  <w:divBdr>
                    <w:top w:val="none" w:sz="0" w:space="0" w:color="auto"/>
                    <w:left w:val="none" w:sz="0" w:space="0" w:color="auto"/>
                    <w:bottom w:val="none" w:sz="0" w:space="0" w:color="auto"/>
                    <w:right w:val="none" w:sz="0" w:space="0" w:color="auto"/>
                  </w:divBdr>
                  <w:divsChild>
                    <w:div w:id="1032078422">
                      <w:marLeft w:val="0"/>
                      <w:marRight w:val="0"/>
                      <w:marTop w:val="0"/>
                      <w:marBottom w:val="0"/>
                      <w:divBdr>
                        <w:top w:val="none" w:sz="0" w:space="0" w:color="auto"/>
                        <w:left w:val="none" w:sz="0" w:space="0" w:color="auto"/>
                        <w:bottom w:val="none" w:sz="0" w:space="0" w:color="auto"/>
                        <w:right w:val="none" w:sz="0" w:space="0" w:color="auto"/>
                      </w:divBdr>
                    </w:div>
                  </w:divsChild>
                </w:div>
                <w:div w:id="790780047">
                  <w:marLeft w:val="0"/>
                  <w:marRight w:val="0"/>
                  <w:marTop w:val="0"/>
                  <w:marBottom w:val="0"/>
                  <w:divBdr>
                    <w:top w:val="none" w:sz="0" w:space="0" w:color="auto"/>
                    <w:left w:val="none" w:sz="0" w:space="0" w:color="auto"/>
                    <w:bottom w:val="none" w:sz="0" w:space="0" w:color="auto"/>
                    <w:right w:val="none" w:sz="0" w:space="0" w:color="auto"/>
                  </w:divBdr>
                  <w:divsChild>
                    <w:div w:id="1121463680">
                      <w:marLeft w:val="0"/>
                      <w:marRight w:val="0"/>
                      <w:marTop w:val="0"/>
                      <w:marBottom w:val="0"/>
                      <w:divBdr>
                        <w:top w:val="none" w:sz="0" w:space="0" w:color="auto"/>
                        <w:left w:val="none" w:sz="0" w:space="0" w:color="auto"/>
                        <w:bottom w:val="none" w:sz="0" w:space="0" w:color="auto"/>
                        <w:right w:val="none" w:sz="0" w:space="0" w:color="auto"/>
                      </w:divBdr>
                    </w:div>
                  </w:divsChild>
                </w:div>
                <w:div w:id="791828247">
                  <w:marLeft w:val="0"/>
                  <w:marRight w:val="0"/>
                  <w:marTop w:val="0"/>
                  <w:marBottom w:val="0"/>
                  <w:divBdr>
                    <w:top w:val="none" w:sz="0" w:space="0" w:color="auto"/>
                    <w:left w:val="none" w:sz="0" w:space="0" w:color="auto"/>
                    <w:bottom w:val="none" w:sz="0" w:space="0" w:color="auto"/>
                    <w:right w:val="none" w:sz="0" w:space="0" w:color="auto"/>
                  </w:divBdr>
                  <w:divsChild>
                    <w:div w:id="483787707">
                      <w:marLeft w:val="0"/>
                      <w:marRight w:val="0"/>
                      <w:marTop w:val="0"/>
                      <w:marBottom w:val="0"/>
                      <w:divBdr>
                        <w:top w:val="none" w:sz="0" w:space="0" w:color="auto"/>
                        <w:left w:val="none" w:sz="0" w:space="0" w:color="auto"/>
                        <w:bottom w:val="none" w:sz="0" w:space="0" w:color="auto"/>
                        <w:right w:val="none" w:sz="0" w:space="0" w:color="auto"/>
                      </w:divBdr>
                    </w:div>
                  </w:divsChild>
                </w:div>
                <w:div w:id="899291707">
                  <w:marLeft w:val="0"/>
                  <w:marRight w:val="0"/>
                  <w:marTop w:val="0"/>
                  <w:marBottom w:val="0"/>
                  <w:divBdr>
                    <w:top w:val="none" w:sz="0" w:space="0" w:color="auto"/>
                    <w:left w:val="none" w:sz="0" w:space="0" w:color="auto"/>
                    <w:bottom w:val="none" w:sz="0" w:space="0" w:color="auto"/>
                    <w:right w:val="none" w:sz="0" w:space="0" w:color="auto"/>
                  </w:divBdr>
                  <w:divsChild>
                    <w:div w:id="384763192">
                      <w:marLeft w:val="0"/>
                      <w:marRight w:val="0"/>
                      <w:marTop w:val="0"/>
                      <w:marBottom w:val="0"/>
                      <w:divBdr>
                        <w:top w:val="none" w:sz="0" w:space="0" w:color="auto"/>
                        <w:left w:val="none" w:sz="0" w:space="0" w:color="auto"/>
                        <w:bottom w:val="none" w:sz="0" w:space="0" w:color="auto"/>
                        <w:right w:val="none" w:sz="0" w:space="0" w:color="auto"/>
                      </w:divBdr>
                    </w:div>
                  </w:divsChild>
                </w:div>
                <w:div w:id="1006052070">
                  <w:marLeft w:val="0"/>
                  <w:marRight w:val="0"/>
                  <w:marTop w:val="0"/>
                  <w:marBottom w:val="0"/>
                  <w:divBdr>
                    <w:top w:val="none" w:sz="0" w:space="0" w:color="auto"/>
                    <w:left w:val="none" w:sz="0" w:space="0" w:color="auto"/>
                    <w:bottom w:val="none" w:sz="0" w:space="0" w:color="auto"/>
                    <w:right w:val="none" w:sz="0" w:space="0" w:color="auto"/>
                  </w:divBdr>
                  <w:divsChild>
                    <w:div w:id="1683122318">
                      <w:marLeft w:val="0"/>
                      <w:marRight w:val="0"/>
                      <w:marTop w:val="0"/>
                      <w:marBottom w:val="0"/>
                      <w:divBdr>
                        <w:top w:val="none" w:sz="0" w:space="0" w:color="auto"/>
                        <w:left w:val="none" w:sz="0" w:space="0" w:color="auto"/>
                        <w:bottom w:val="none" w:sz="0" w:space="0" w:color="auto"/>
                        <w:right w:val="none" w:sz="0" w:space="0" w:color="auto"/>
                      </w:divBdr>
                    </w:div>
                  </w:divsChild>
                </w:div>
                <w:div w:id="1088234850">
                  <w:marLeft w:val="0"/>
                  <w:marRight w:val="0"/>
                  <w:marTop w:val="0"/>
                  <w:marBottom w:val="0"/>
                  <w:divBdr>
                    <w:top w:val="none" w:sz="0" w:space="0" w:color="auto"/>
                    <w:left w:val="none" w:sz="0" w:space="0" w:color="auto"/>
                    <w:bottom w:val="none" w:sz="0" w:space="0" w:color="auto"/>
                    <w:right w:val="none" w:sz="0" w:space="0" w:color="auto"/>
                  </w:divBdr>
                  <w:divsChild>
                    <w:div w:id="820388157">
                      <w:marLeft w:val="0"/>
                      <w:marRight w:val="0"/>
                      <w:marTop w:val="0"/>
                      <w:marBottom w:val="0"/>
                      <w:divBdr>
                        <w:top w:val="none" w:sz="0" w:space="0" w:color="auto"/>
                        <w:left w:val="none" w:sz="0" w:space="0" w:color="auto"/>
                        <w:bottom w:val="none" w:sz="0" w:space="0" w:color="auto"/>
                        <w:right w:val="none" w:sz="0" w:space="0" w:color="auto"/>
                      </w:divBdr>
                    </w:div>
                  </w:divsChild>
                </w:div>
                <w:div w:id="1132820365">
                  <w:marLeft w:val="0"/>
                  <w:marRight w:val="0"/>
                  <w:marTop w:val="0"/>
                  <w:marBottom w:val="0"/>
                  <w:divBdr>
                    <w:top w:val="none" w:sz="0" w:space="0" w:color="auto"/>
                    <w:left w:val="none" w:sz="0" w:space="0" w:color="auto"/>
                    <w:bottom w:val="none" w:sz="0" w:space="0" w:color="auto"/>
                    <w:right w:val="none" w:sz="0" w:space="0" w:color="auto"/>
                  </w:divBdr>
                  <w:divsChild>
                    <w:div w:id="1975595867">
                      <w:marLeft w:val="0"/>
                      <w:marRight w:val="0"/>
                      <w:marTop w:val="0"/>
                      <w:marBottom w:val="0"/>
                      <w:divBdr>
                        <w:top w:val="none" w:sz="0" w:space="0" w:color="auto"/>
                        <w:left w:val="none" w:sz="0" w:space="0" w:color="auto"/>
                        <w:bottom w:val="none" w:sz="0" w:space="0" w:color="auto"/>
                        <w:right w:val="none" w:sz="0" w:space="0" w:color="auto"/>
                      </w:divBdr>
                    </w:div>
                  </w:divsChild>
                </w:div>
                <w:div w:id="1166937971">
                  <w:marLeft w:val="0"/>
                  <w:marRight w:val="0"/>
                  <w:marTop w:val="0"/>
                  <w:marBottom w:val="0"/>
                  <w:divBdr>
                    <w:top w:val="none" w:sz="0" w:space="0" w:color="auto"/>
                    <w:left w:val="none" w:sz="0" w:space="0" w:color="auto"/>
                    <w:bottom w:val="none" w:sz="0" w:space="0" w:color="auto"/>
                    <w:right w:val="none" w:sz="0" w:space="0" w:color="auto"/>
                  </w:divBdr>
                  <w:divsChild>
                    <w:div w:id="620309962">
                      <w:marLeft w:val="0"/>
                      <w:marRight w:val="0"/>
                      <w:marTop w:val="0"/>
                      <w:marBottom w:val="0"/>
                      <w:divBdr>
                        <w:top w:val="none" w:sz="0" w:space="0" w:color="auto"/>
                        <w:left w:val="none" w:sz="0" w:space="0" w:color="auto"/>
                        <w:bottom w:val="none" w:sz="0" w:space="0" w:color="auto"/>
                        <w:right w:val="none" w:sz="0" w:space="0" w:color="auto"/>
                      </w:divBdr>
                    </w:div>
                  </w:divsChild>
                </w:div>
                <w:div w:id="1189292325">
                  <w:marLeft w:val="0"/>
                  <w:marRight w:val="0"/>
                  <w:marTop w:val="0"/>
                  <w:marBottom w:val="0"/>
                  <w:divBdr>
                    <w:top w:val="none" w:sz="0" w:space="0" w:color="auto"/>
                    <w:left w:val="none" w:sz="0" w:space="0" w:color="auto"/>
                    <w:bottom w:val="none" w:sz="0" w:space="0" w:color="auto"/>
                    <w:right w:val="none" w:sz="0" w:space="0" w:color="auto"/>
                  </w:divBdr>
                  <w:divsChild>
                    <w:div w:id="1599674014">
                      <w:marLeft w:val="0"/>
                      <w:marRight w:val="0"/>
                      <w:marTop w:val="0"/>
                      <w:marBottom w:val="0"/>
                      <w:divBdr>
                        <w:top w:val="none" w:sz="0" w:space="0" w:color="auto"/>
                        <w:left w:val="none" w:sz="0" w:space="0" w:color="auto"/>
                        <w:bottom w:val="none" w:sz="0" w:space="0" w:color="auto"/>
                        <w:right w:val="none" w:sz="0" w:space="0" w:color="auto"/>
                      </w:divBdr>
                    </w:div>
                  </w:divsChild>
                </w:div>
                <w:div w:id="1225795697">
                  <w:marLeft w:val="0"/>
                  <w:marRight w:val="0"/>
                  <w:marTop w:val="0"/>
                  <w:marBottom w:val="0"/>
                  <w:divBdr>
                    <w:top w:val="none" w:sz="0" w:space="0" w:color="auto"/>
                    <w:left w:val="none" w:sz="0" w:space="0" w:color="auto"/>
                    <w:bottom w:val="none" w:sz="0" w:space="0" w:color="auto"/>
                    <w:right w:val="none" w:sz="0" w:space="0" w:color="auto"/>
                  </w:divBdr>
                  <w:divsChild>
                    <w:div w:id="368340057">
                      <w:marLeft w:val="0"/>
                      <w:marRight w:val="0"/>
                      <w:marTop w:val="0"/>
                      <w:marBottom w:val="0"/>
                      <w:divBdr>
                        <w:top w:val="none" w:sz="0" w:space="0" w:color="auto"/>
                        <w:left w:val="none" w:sz="0" w:space="0" w:color="auto"/>
                        <w:bottom w:val="none" w:sz="0" w:space="0" w:color="auto"/>
                        <w:right w:val="none" w:sz="0" w:space="0" w:color="auto"/>
                      </w:divBdr>
                    </w:div>
                  </w:divsChild>
                </w:div>
                <w:div w:id="1266617802">
                  <w:marLeft w:val="0"/>
                  <w:marRight w:val="0"/>
                  <w:marTop w:val="0"/>
                  <w:marBottom w:val="0"/>
                  <w:divBdr>
                    <w:top w:val="none" w:sz="0" w:space="0" w:color="auto"/>
                    <w:left w:val="none" w:sz="0" w:space="0" w:color="auto"/>
                    <w:bottom w:val="none" w:sz="0" w:space="0" w:color="auto"/>
                    <w:right w:val="none" w:sz="0" w:space="0" w:color="auto"/>
                  </w:divBdr>
                  <w:divsChild>
                    <w:div w:id="803155509">
                      <w:marLeft w:val="0"/>
                      <w:marRight w:val="0"/>
                      <w:marTop w:val="0"/>
                      <w:marBottom w:val="0"/>
                      <w:divBdr>
                        <w:top w:val="none" w:sz="0" w:space="0" w:color="auto"/>
                        <w:left w:val="none" w:sz="0" w:space="0" w:color="auto"/>
                        <w:bottom w:val="none" w:sz="0" w:space="0" w:color="auto"/>
                        <w:right w:val="none" w:sz="0" w:space="0" w:color="auto"/>
                      </w:divBdr>
                    </w:div>
                  </w:divsChild>
                </w:div>
                <w:div w:id="1268125621">
                  <w:marLeft w:val="0"/>
                  <w:marRight w:val="0"/>
                  <w:marTop w:val="0"/>
                  <w:marBottom w:val="0"/>
                  <w:divBdr>
                    <w:top w:val="none" w:sz="0" w:space="0" w:color="auto"/>
                    <w:left w:val="none" w:sz="0" w:space="0" w:color="auto"/>
                    <w:bottom w:val="none" w:sz="0" w:space="0" w:color="auto"/>
                    <w:right w:val="none" w:sz="0" w:space="0" w:color="auto"/>
                  </w:divBdr>
                  <w:divsChild>
                    <w:div w:id="951129922">
                      <w:marLeft w:val="0"/>
                      <w:marRight w:val="0"/>
                      <w:marTop w:val="0"/>
                      <w:marBottom w:val="0"/>
                      <w:divBdr>
                        <w:top w:val="none" w:sz="0" w:space="0" w:color="auto"/>
                        <w:left w:val="none" w:sz="0" w:space="0" w:color="auto"/>
                        <w:bottom w:val="none" w:sz="0" w:space="0" w:color="auto"/>
                        <w:right w:val="none" w:sz="0" w:space="0" w:color="auto"/>
                      </w:divBdr>
                    </w:div>
                  </w:divsChild>
                </w:div>
                <w:div w:id="1365253080">
                  <w:marLeft w:val="0"/>
                  <w:marRight w:val="0"/>
                  <w:marTop w:val="0"/>
                  <w:marBottom w:val="0"/>
                  <w:divBdr>
                    <w:top w:val="none" w:sz="0" w:space="0" w:color="auto"/>
                    <w:left w:val="none" w:sz="0" w:space="0" w:color="auto"/>
                    <w:bottom w:val="none" w:sz="0" w:space="0" w:color="auto"/>
                    <w:right w:val="none" w:sz="0" w:space="0" w:color="auto"/>
                  </w:divBdr>
                  <w:divsChild>
                    <w:div w:id="1114599197">
                      <w:marLeft w:val="0"/>
                      <w:marRight w:val="0"/>
                      <w:marTop w:val="0"/>
                      <w:marBottom w:val="0"/>
                      <w:divBdr>
                        <w:top w:val="none" w:sz="0" w:space="0" w:color="auto"/>
                        <w:left w:val="none" w:sz="0" w:space="0" w:color="auto"/>
                        <w:bottom w:val="none" w:sz="0" w:space="0" w:color="auto"/>
                        <w:right w:val="none" w:sz="0" w:space="0" w:color="auto"/>
                      </w:divBdr>
                    </w:div>
                  </w:divsChild>
                </w:div>
                <w:div w:id="1385787344">
                  <w:marLeft w:val="0"/>
                  <w:marRight w:val="0"/>
                  <w:marTop w:val="0"/>
                  <w:marBottom w:val="0"/>
                  <w:divBdr>
                    <w:top w:val="none" w:sz="0" w:space="0" w:color="auto"/>
                    <w:left w:val="none" w:sz="0" w:space="0" w:color="auto"/>
                    <w:bottom w:val="none" w:sz="0" w:space="0" w:color="auto"/>
                    <w:right w:val="none" w:sz="0" w:space="0" w:color="auto"/>
                  </w:divBdr>
                  <w:divsChild>
                    <w:div w:id="1391004511">
                      <w:marLeft w:val="0"/>
                      <w:marRight w:val="0"/>
                      <w:marTop w:val="0"/>
                      <w:marBottom w:val="0"/>
                      <w:divBdr>
                        <w:top w:val="none" w:sz="0" w:space="0" w:color="auto"/>
                        <w:left w:val="none" w:sz="0" w:space="0" w:color="auto"/>
                        <w:bottom w:val="none" w:sz="0" w:space="0" w:color="auto"/>
                        <w:right w:val="none" w:sz="0" w:space="0" w:color="auto"/>
                      </w:divBdr>
                    </w:div>
                  </w:divsChild>
                </w:div>
                <w:div w:id="1489445724">
                  <w:marLeft w:val="0"/>
                  <w:marRight w:val="0"/>
                  <w:marTop w:val="0"/>
                  <w:marBottom w:val="0"/>
                  <w:divBdr>
                    <w:top w:val="none" w:sz="0" w:space="0" w:color="auto"/>
                    <w:left w:val="none" w:sz="0" w:space="0" w:color="auto"/>
                    <w:bottom w:val="none" w:sz="0" w:space="0" w:color="auto"/>
                    <w:right w:val="none" w:sz="0" w:space="0" w:color="auto"/>
                  </w:divBdr>
                  <w:divsChild>
                    <w:div w:id="1944922681">
                      <w:marLeft w:val="0"/>
                      <w:marRight w:val="0"/>
                      <w:marTop w:val="0"/>
                      <w:marBottom w:val="0"/>
                      <w:divBdr>
                        <w:top w:val="none" w:sz="0" w:space="0" w:color="auto"/>
                        <w:left w:val="none" w:sz="0" w:space="0" w:color="auto"/>
                        <w:bottom w:val="none" w:sz="0" w:space="0" w:color="auto"/>
                        <w:right w:val="none" w:sz="0" w:space="0" w:color="auto"/>
                      </w:divBdr>
                    </w:div>
                  </w:divsChild>
                </w:div>
                <w:div w:id="1740131853">
                  <w:marLeft w:val="0"/>
                  <w:marRight w:val="0"/>
                  <w:marTop w:val="0"/>
                  <w:marBottom w:val="0"/>
                  <w:divBdr>
                    <w:top w:val="none" w:sz="0" w:space="0" w:color="auto"/>
                    <w:left w:val="none" w:sz="0" w:space="0" w:color="auto"/>
                    <w:bottom w:val="none" w:sz="0" w:space="0" w:color="auto"/>
                    <w:right w:val="none" w:sz="0" w:space="0" w:color="auto"/>
                  </w:divBdr>
                  <w:divsChild>
                    <w:div w:id="488406211">
                      <w:marLeft w:val="0"/>
                      <w:marRight w:val="0"/>
                      <w:marTop w:val="0"/>
                      <w:marBottom w:val="0"/>
                      <w:divBdr>
                        <w:top w:val="none" w:sz="0" w:space="0" w:color="auto"/>
                        <w:left w:val="none" w:sz="0" w:space="0" w:color="auto"/>
                        <w:bottom w:val="none" w:sz="0" w:space="0" w:color="auto"/>
                        <w:right w:val="none" w:sz="0" w:space="0" w:color="auto"/>
                      </w:divBdr>
                    </w:div>
                  </w:divsChild>
                </w:div>
                <w:div w:id="1761297438">
                  <w:marLeft w:val="0"/>
                  <w:marRight w:val="0"/>
                  <w:marTop w:val="0"/>
                  <w:marBottom w:val="0"/>
                  <w:divBdr>
                    <w:top w:val="none" w:sz="0" w:space="0" w:color="auto"/>
                    <w:left w:val="none" w:sz="0" w:space="0" w:color="auto"/>
                    <w:bottom w:val="none" w:sz="0" w:space="0" w:color="auto"/>
                    <w:right w:val="none" w:sz="0" w:space="0" w:color="auto"/>
                  </w:divBdr>
                  <w:divsChild>
                    <w:div w:id="498891070">
                      <w:marLeft w:val="0"/>
                      <w:marRight w:val="0"/>
                      <w:marTop w:val="0"/>
                      <w:marBottom w:val="0"/>
                      <w:divBdr>
                        <w:top w:val="none" w:sz="0" w:space="0" w:color="auto"/>
                        <w:left w:val="none" w:sz="0" w:space="0" w:color="auto"/>
                        <w:bottom w:val="none" w:sz="0" w:space="0" w:color="auto"/>
                        <w:right w:val="none" w:sz="0" w:space="0" w:color="auto"/>
                      </w:divBdr>
                    </w:div>
                  </w:divsChild>
                </w:div>
                <w:div w:id="1780299571">
                  <w:marLeft w:val="0"/>
                  <w:marRight w:val="0"/>
                  <w:marTop w:val="0"/>
                  <w:marBottom w:val="0"/>
                  <w:divBdr>
                    <w:top w:val="none" w:sz="0" w:space="0" w:color="auto"/>
                    <w:left w:val="none" w:sz="0" w:space="0" w:color="auto"/>
                    <w:bottom w:val="none" w:sz="0" w:space="0" w:color="auto"/>
                    <w:right w:val="none" w:sz="0" w:space="0" w:color="auto"/>
                  </w:divBdr>
                  <w:divsChild>
                    <w:div w:id="1514803764">
                      <w:marLeft w:val="0"/>
                      <w:marRight w:val="0"/>
                      <w:marTop w:val="0"/>
                      <w:marBottom w:val="0"/>
                      <w:divBdr>
                        <w:top w:val="none" w:sz="0" w:space="0" w:color="auto"/>
                        <w:left w:val="none" w:sz="0" w:space="0" w:color="auto"/>
                        <w:bottom w:val="none" w:sz="0" w:space="0" w:color="auto"/>
                        <w:right w:val="none" w:sz="0" w:space="0" w:color="auto"/>
                      </w:divBdr>
                    </w:div>
                  </w:divsChild>
                </w:div>
                <w:div w:id="1793287790">
                  <w:marLeft w:val="0"/>
                  <w:marRight w:val="0"/>
                  <w:marTop w:val="0"/>
                  <w:marBottom w:val="0"/>
                  <w:divBdr>
                    <w:top w:val="none" w:sz="0" w:space="0" w:color="auto"/>
                    <w:left w:val="none" w:sz="0" w:space="0" w:color="auto"/>
                    <w:bottom w:val="none" w:sz="0" w:space="0" w:color="auto"/>
                    <w:right w:val="none" w:sz="0" w:space="0" w:color="auto"/>
                  </w:divBdr>
                  <w:divsChild>
                    <w:div w:id="391582834">
                      <w:marLeft w:val="0"/>
                      <w:marRight w:val="0"/>
                      <w:marTop w:val="0"/>
                      <w:marBottom w:val="0"/>
                      <w:divBdr>
                        <w:top w:val="none" w:sz="0" w:space="0" w:color="auto"/>
                        <w:left w:val="none" w:sz="0" w:space="0" w:color="auto"/>
                        <w:bottom w:val="none" w:sz="0" w:space="0" w:color="auto"/>
                        <w:right w:val="none" w:sz="0" w:space="0" w:color="auto"/>
                      </w:divBdr>
                    </w:div>
                  </w:divsChild>
                </w:div>
                <w:div w:id="1881475406">
                  <w:marLeft w:val="0"/>
                  <w:marRight w:val="0"/>
                  <w:marTop w:val="0"/>
                  <w:marBottom w:val="0"/>
                  <w:divBdr>
                    <w:top w:val="none" w:sz="0" w:space="0" w:color="auto"/>
                    <w:left w:val="none" w:sz="0" w:space="0" w:color="auto"/>
                    <w:bottom w:val="none" w:sz="0" w:space="0" w:color="auto"/>
                    <w:right w:val="none" w:sz="0" w:space="0" w:color="auto"/>
                  </w:divBdr>
                  <w:divsChild>
                    <w:div w:id="74063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15032">
      <w:bodyDiv w:val="1"/>
      <w:marLeft w:val="0"/>
      <w:marRight w:val="0"/>
      <w:marTop w:val="0"/>
      <w:marBottom w:val="0"/>
      <w:divBdr>
        <w:top w:val="none" w:sz="0" w:space="0" w:color="auto"/>
        <w:left w:val="none" w:sz="0" w:space="0" w:color="auto"/>
        <w:bottom w:val="none" w:sz="0" w:space="0" w:color="auto"/>
        <w:right w:val="none" w:sz="0" w:space="0" w:color="auto"/>
      </w:divBdr>
    </w:div>
    <w:div w:id="219287010">
      <w:bodyDiv w:val="1"/>
      <w:marLeft w:val="0"/>
      <w:marRight w:val="0"/>
      <w:marTop w:val="0"/>
      <w:marBottom w:val="0"/>
      <w:divBdr>
        <w:top w:val="none" w:sz="0" w:space="0" w:color="auto"/>
        <w:left w:val="none" w:sz="0" w:space="0" w:color="auto"/>
        <w:bottom w:val="none" w:sz="0" w:space="0" w:color="auto"/>
        <w:right w:val="none" w:sz="0" w:space="0" w:color="auto"/>
      </w:divBdr>
    </w:div>
    <w:div w:id="286474613">
      <w:bodyDiv w:val="1"/>
      <w:marLeft w:val="0"/>
      <w:marRight w:val="0"/>
      <w:marTop w:val="0"/>
      <w:marBottom w:val="0"/>
      <w:divBdr>
        <w:top w:val="none" w:sz="0" w:space="0" w:color="auto"/>
        <w:left w:val="none" w:sz="0" w:space="0" w:color="auto"/>
        <w:bottom w:val="none" w:sz="0" w:space="0" w:color="auto"/>
        <w:right w:val="none" w:sz="0" w:space="0" w:color="auto"/>
      </w:divBdr>
    </w:div>
    <w:div w:id="402947813">
      <w:bodyDiv w:val="1"/>
      <w:marLeft w:val="0"/>
      <w:marRight w:val="0"/>
      <w:marTop w:val="0"/>
      <w:marBottom w:val="0"/>
      <w:divBdr>
        <w:top w:val="none" w:sz="0" w:space="0" w:color="auto"/>
        <w:left w:val="none" w:sz="0" w:space="0" w:color="auto"/>
        <w:bottom w:val="none" w:sz="0" w:space="0" w:color="auto"/>
        <w:right w:val="none" w:sz="0" w:space="0" w:color="auto"/>
      </w:divBdr>
    </w:div>
    <w:div w:id="411704925">
      <w:bodyDiv w:val="1"/>
      <w:marLeft w:val="0"/>
      <w:marRight w:val="0"/>
      <w:marTop w:val="0"/>
      <w:marBottom w:val="0"/>
      <w:divBdr>
        <w:top w:val="none" w:sz="0" w:space="0" w:color="auto"/>
        <w:left w:val="none" w:sz="0" w:space="0" w:color="auto"/>
        <w:bottom w:val="none" w:sz="0" w:space="0" w:color="auto"/>
        <w:right w:val="none" w:sz="0" w:space="0" w:color="auto"/>
      </w:divBdr>
    </w:div>
    <w:div w:id="418645390">
      <w:bodyDiv w:val="1"/>
      <w:marLeft w:val="0"/>
      <w:marRight w:val="0"/>
      <w:marTop w:val="0"/>
      <w:marBottom w:val="0"/>
      <w:divBdr>
        <w:top w:val="none" w:sz="0" w:space="0" w:color="auto"/>
        <w:left w:val="none" w:sz="0" w:space="0" w:color="auto"/>
        <w:bottom w:val="none" w:sz="0" w:space="0" w:color="auto"/>
        <w:right w:val="none" w:sz="0" w:space="0" w:color="auto"/>
      </w:divBdr>
    </w:div>
    <w:div w:id="423839523">
      <w:bodyDiv w:val="1"/>
      <w:marLeft w:val="0"/>
      <w:marRight w:val="0"/>
      <w:marTop w:val="0"/>
      <w:marBottom w:val="0"/>
      <w:divBdr>
        <w:top w:val="none" w:sz="0" w:space="0" w:color="auto"/>
        <w:left w:val="none" w:sz="0" w:space="0" w:color="auto"/>
        <w:bottom w:val="none" w:sz="0" w:space="0" w:color="auto"/>
        <w:right w:val="none" w:sz="0" w:space="0" w:color="auto"/>
      </w:divBdr>
    </w:div>
    <w:div w:id="499539136">
      <w:bodyDiv w:val="1"/>
      <w:marLeft w:val="0"/>
      <w:marRight w:val="0"/>
      <w:marTop w:val="0"/>
      <w:marBottom w:val="0"/>
      <w:divBdr>
        <w:top w:val="none" w:sz="0" w:space="0" w:color="auto"/>
        <w:left w:val="none" w:sz="0" w:space="0" w:color="auto"/>
        <w:bottom w:val="none" w:sz="0" w:space="0" w:color="auto"/>
        <w:right w:val="none" w:sz="0" w:space="0" w:color="auto"/>
      </w:divBdr>
    </w:div>
    <w:div w:id="538906407">
      <w:bodyDiv w:val="1"/>
      <w:marLeft w:val="0"/>
      <w:marRight w:val="0"/>
      <w:marTop w:val="0"/>
      <w:marBottom w:val="0"/>
      <w:divBdr>
        <w:top w:val="none" w:sz="0" w:space="0" w:color="auto"/>
        <w:left w:val="none" w:sz="0" w:space="0" w:color="auto"/>
        <w:bottom w:val="none" w:sz="0" w:space="0" w:color="auto"/>
        <w:right w:val="none" w:sz="0" w:space="0" w:color="auto"/>
      </w:divBdr>
      <w:divsChild>
        <w:div w:id="14624378">
          <w:marLeft w:val="0"/>
          <w:marRight w:val="0"/>
          <w:marTop w:val="0"/>
          <w:marBottom w:val="0"/>
          <w:divBdr>
            <w:top w:val="none" w:sz="0" w:space="0" w:color="auto"/>
            <w:left w:val="none" w:sz="0" w:space="0" w:color="auto"/>
            <w:bottom w:val="none" w:sz="0" w:space="0" w:color="auto"/>
            <w:right w:val="none" w:sz="0" w:space="0" w:color="auto"/>
          </w:divBdr>
        </w:div>
        <w:div w:id="100029023">
          <w:marLeft w:val="0"/>
          <w:marRight w:val="0"/>
          <w:marTop w:val="0"/>
          <w:marBottom w:val="0"/>
          <w:divBdr>
            <w:top w:val="none" w:sz="0" w:space="0" w:color="auto"/>
            <w:left w:val="none" w:sz="0" w:space="0" w:color="auto"/>
            <w:bottom w:val="none" w:sz="0" w:space="0" w:color="auto"/>
            <w:right w:val="none" w:sz="0" w:space="0" w:color="auto"/>
          </w:divBdr>
        </w:div>
        <w:div w:id="655492944">
          <w:marLeft w:val="0"/>
          <w:marRight w:val="0"/>
          <w:marTop w:val="0"/>
          <w:marBottom w:val="0"/>
          <w:divBdr>
            <w:top w:val="none" w:sz="0" w:space="0" w:color="auto"/>
            <w:left w:val="none" w:sz="0" w:space="0" w:color="auto"/>
            <w:bottom w:val="none" w:sz="0" w:space="0" w:color="auto"/>
            <w:right w:val="none" w:sz="0" w:space="0" w:color="auto"/>
          </w:divBdr>
        </w:div>
        <w:div w:id="953681156">
          <w:marLeft w:val="0"/>
          <w:marRight w:val="0"/>
          <w:marTop w:val="0"/>
          <w:marBottom w:val="0"/>
          <w:divBdr>
            <w:top w:val="none" w:sz="0" w:space="0" w:color="auto"/>
            <w:left w:val="none" w:sz="0" w:space="0" w:color="auto"/>
            <w:bottom w:val="none" w:sz="0" w:space="0" w:color="auto"/>
            <w:right w:val="none" w:sz="0" w:space="0" w:color="auto"/>
          </w:divBdr>
        </w:div>
        <w:div w:id="1167670463">
          <w:marLeft w:val="0"/>
          <w:marRight w:val="0"/>
          <w:marTop w:val="0"/>
          <w:marBottom w:val="0"/>
          <w:divBdr>
            <w:top w:val="none" w:sz="0" w:space="0" w:color="auto"/>
            <w:left w:val="none" w:sz="0" w:space="0" w:color="auto"/>
            <w:bottom w:val="none" w:sz="0" w:space="0" w:color="auto"/>
            <w:right w:val="none" w:sz="0" w:space="0" w:color="auto"/>
          </w:divBdr>
          <w:divsChild>
            <w:div w:id="141971979">
              <w:marLeft w:val="0"/>
              <w:marRight w:val="0"/>
              <w:marTop w:val="0"/>
              <w:marBottom w:val="0"/>
              <w:divBdr>
                <w:top w:val="none" w:sz="0" w:space="0" w:color="auto"/>
                <w:left w:val="none" w:sz="0" w:space="0" w:color="auto"/>
                <w:bottom w:val="none" w:sz="0" w:space="0" w:color="auto"/>
                <w:right w:val="none" w:sz="0" w:space="0" w:color="auto"/>
              </w:divBdr>
            </w:div>
            <w:div w:id="200675160">
              <w:marLeft w:val="0"/>
              <w:marRight w:val="0"/>
              <w:marTop w:val="0"/>
              <w:marBottom w:val="0"/>
              <w:divBdr>
                <w:top w:val="none" w:sz="0" w:space="0" w:color="auto"/>
                <w:left w:val="none" w:sz="0" w:space="0" w:color="auto"/>
                <w:bottom w:val="none" w:sz="0" w:space="0" w:color="auto"/>
                <w:right w:val="none" w:sz="0" w:space="0" w:color="auto"/>
              </w:divBdr>
            </w:div>
            <w:div w:id="474757400">
              <w:marLeft w:val="0"/>
              <w:marRight w:val="0"/>
              <w:marTop w:val="0"/>
              <w:marBottom w:val="0"/>
              <w:divBdr>
                <w:top w:val="none" w:sz="0" w:space="0" w:color="auto"/>
                <w:left w:val="none" w:sz="0" w:space="0" w:color="auto"/>
                <w:bottom w:val="none" w:sz="0" w:space="0" w:color="auto"/>
                <w:right w:val="none" w:sz="0" w:space="0" w:color="auto"/>
              </w:divBdr>
            </w:div>
            <w:div w:id="491915705">
              <w:marLeft w:val="0"/>
              <w:marRight w:val="0"/>
              <w:marTop w:val="0"/>
              <w:marBottom w:val="0"/>
              <w:divBdr>
                <w:top w:val="none" w:sz="0" w:space="0" w:color="auto"/>
                <w:left w:val="none" w:sz="0" w:space="0" w:color="auto"/>
                <w:bottom w:val="none" w:sz="0" w:space="0" w:color="auto"/>
                <w:right w:val="none" w:sz="0" w:space="0" w:color="auto"/>
              </w:divBdr>
            </w:div>
            <w:div w:id="603223597">
              <w:marLeft w:val="0"/>
              <w:marRight w:val="0"/>
              <w:marTop w:val="0"/>
              <w:marBottom w:val="0"/>
              <w:divBdr>
                <w:top w:val="none" w:sz="0" w:space="0" w:color="auto"/>
                <w:left w:val="none" w:sz="0" w:space="0" w:color="auto"/>
                <w:bottom w:val="none" w:sz="0" w:space="0" w:color="auto"/>
                <w:right w:val="none" w:sz="0" w:space="0" w:color="auto"/>
              </w:divBdr>
            </w:div>
            <w:div w:id="605159722">
              <w:marLeft w:val="0"/>
              <w:marRight w:val="0"/>
              <w:marTop w:val="0"/>
              <w:marBottom w:val="0"/>
              <w:divBdr>
                <w:top w:val="none" w:sz="0" w:space="0" w:color="auto"/>
                <w:left w:val="none" w:sz="0" w:space="0" w:color="auto"/>
                <w:bottom w:val="none" w:sz="0" w:space="0" w:color="auto"/>
                <w:right w:val="none" w:sz="0" w:space="0" w:color="auto"/>
              </w:divBdr>
            </w:div>
            <w:div w:id="782958882">
              <w:marLeft w:val="0"/>
              <w:marRight w:val="0"/>
              <w:marTop w:val="0"/>
              <w:marBottom w:val="0"/>
              <w:divBdr>
                <w:top w:val="none" w:sz="0" w:space="0" w:color="auto"/>
                <w:left w:val="none" w:sz="0" w:space="0" w:color="auto"/>
                <w:bottom w:val="none" w:sz="0" w:space="0" w:color="auto"/>
                <w:right w:val="none" w:sz="0" w:space="0" w:color="auto"/>
              </w:divBdr>
            </w:div>
            <w:div w:id="799765889">
              <w:marLeft w:val="0"/>
              <w:marRight w:val="0"/>
              <w:marTop w:val="0"/>
              <w:marBottom w:val="0"/>
              <w:divBdr>
                <w:top w:val="none" w:sz="0" w:space="0" w:color="auto"/>
                <w:left w:val="none" w:sz="0" w:space="0" w:color="auto"/>
                <w:bottom w:val="none" w:sz="0" w:space="0" w:color="auto"/>
                <w:right w:val="none" w:sz="0" w:space="0" w:color="auto"/>
              </w:divBdr>
            </w:div>
            <w:div w:id="850413988">
              <w:marLeft w:val="0"/>
              <w:marRight w:val="0"/>
              <w:marTop w:val="0"/>
              <w:marBottom w:val="0"/>
              <w:divBdr>
                <w:top w:val="none" w:sz="0" w:space="0" w:color="auto"/>
                <w:left w:val="none" w:sz="0" w:space="0" w:color="auto"/>
                <w:bottom w:val="none" w:sz="0" w:space="0" w:color="auto"/>
                <w:right w:val="none" w:sz="0" w:space="0" w:color="auto"/>
              </w:divBdr>
            </w:div>
            <w:div w:id="952440657">
              <w:marLeft w:val="0"/>
              <w:marRight w:val="0"/>
              <w:marTop w:val="0"/>
              <w:marBottom w:val="0"/>
              <w:divBdr>
                <w:top w:val="none" w:sz="0" w:space="0" w:color="auto"/>
                <w:left w:val="none" w:sz="0" w:space="0" w:color="auto"/>
                <w:bottom w:val="none" w:sz="0" w:space="0" w:color="auto"/>
                <w:right w:val="none" w:sz="0" w:space="0" w:color="auto"/>
              </w:divBdr>
            </w:div>
            <w:div w:id="1108164552">
              <w:marLeft w:val="0"/>
              <w:marRight w:val="0"/>
              <w:marTop w:val="0"/>
              <w:marBottom w:val="0"/>
              <w:divBdr>
                <w:top w:val="none" w:sz="0" w:space="0" w:color="auto"/>
                <w:left w:val="none" w:sz="0" w:space="0" w:color="auto"/>
                <w:bottom w:val="none" w:sz="0" w:space="0" w:color="auto"/>
                <w:right w:val="none" w:sz="0" w:space="0" w:color="auto"/>
              </w:divBdr>
            </w:div>
            <w:div w:id="1145120102">
              <w:marLeft w:val="0"/>
              <w:marRight w:val="0"/>
              <w:marTop w:val="0"/>
              <w:marBottom w:val="0"/>
              <w:divBdr>
                <w:top w:val="none" w:sz="0" w:space="0" w:color="auto"/>
                <w:left w:val="none" w:sz="0" w:space="0" w:color="auto"/>
                <w:bottom w:val="none" w:sz="0" w:space="0" w:color="auto"/>
                <w:right w:val="none" w:sz="0" w:space="0" w:color="auto"/>
              </w:divBdr>
            </w:div>
            <w:div w:id="1164323571">
              <w:marLeft w:val="0"/>
              <w:marRight w:val="0"/>
              <w:marTop w:val="0"/>
              <w:marBottom w:val="0"/>
              <w:divBdr>
                <w:top w:val="none" w:sz="0" w:space="0" w:color="auto"/>
                <w:left w:val="none" w:sz="0" w:space="0" w:color="auto"/>
                <w:bottom w:val="none" w:sz="0" w:space="0" w:color="auto"/>
                <w:right w:val="none" w:sz="0" w:space="0" w:color="auto"/>
              </w:divBdr>
            </w:div>
            <w:div w:id="1588466866">
              <w:marLeft w:val="0"/>
              <w:marRight w:val="0"/>
              <w:marTop w:val="0"/>
              <w:marBottom w:val="0"/>
              <w:divBdr>
                <w:top w:val="none" w:sz="0" w:space="0" w:color="auto"/>
                <w:left w:val="none" w:sz="0" w:space="0" w:color="auto"/>
                <w:bottom w:val="none" w:sz="0" w:space="0" w:color="auto"/>
                <w:right w:val="none" w:sz="0" w:space="0" w:color="auto"/>
              </w:divBdr>
            </w:div>
            <w:div w:id="1882398272">
              <w:marLeft w:val="0"/>
              <w:marRight w:val="0"/>
              <w:marTop w:val="0"/>
              <w:marBottom w:val="0"/>
              <w:divBdr>
                <w:top w:val="none" w:sz="0" w:space="0" w:color="auto"/>
                <w:left w:val="none" w:sz="0" w:space="0" w:color="auto"/>
                <w:bottom w:val="none" w:sz="0" w:space="0" w:color="auto"/>
                <w:right w:val="none" w:sz="0" w:space="0" w:color="auto"/>
              </w:divBdr>
            </w:div>
            <w:div w:id="1973559009">
              <w:marLeft w:val="0"/>
              <w:marRight w:val="0"/>
              <w:marTop w:val="0"/>
              <w:marBottom w:val="0"/>
              <w:divBdr>
                <w:top w:val="none" w:sz="0" w:space="0" w:color="auto"/>
                <w:left w:val="none" w:sz="0" w:space="0" w:color="auto"/>
                <w:bottom w:val="none" w:sz="0" w:space="0" w:color="auto"/>
                <w:right w:val="none" w:sz="0" w:space="0" w:color="auto"/>
              </w:divBdr>
            </w:div>
            <w:div w:id="2039087960">
              <w:marLeft w:val="0"/>
              <w:marRight w:val="0"/>
              <w:marTop w:val="0"/>
              <w:marBottom w:val="0"/>
              <w:divBdr>
                <w:top w:val="none" w:sz="0" w:space="0" w:color="auto"/>
                <w:left w:val="none" w:sz="0" w:space="0" w:color="auto"/>
                <w:bottom w:val="none" w:sz="0" w:space="0" w:color="auto"/>
                <w:right w:val="none" w:sz="0" w:space="0" w:color="auto"/>
              </w:divBdr>
            </w:div>
            <w:div w:id="2042775433">
              <w:marLeft w:val="0"/>
              <w:marRight w:val="0"/>
              <w:marTop w:val="0"/>
              <w:marBottom w:val="0"/>
              <w:divBdr>
                <w:top w:val="none" w:sz="0" w:space="0" w:color="auto"/>
                <w:left w:val="none" w:sz="0" w:space="0" w:color="auto"/>
                <w:bottom w:val="none" w:sz="0" w:space="0" w:color="auto"/>
                <w:right w:val="none" w:sz="0" w:space="0" w:color="auto"/>
              </w:divBdr>
            </w:div>
            <w:div w:id="2058387041">
              <w:marLeft w:val="0"/>
              <w:marRight w:val="0"/>
              <w:marTop w:val="0"/>
              <w:marBottom w:val="0"/>
              <w:divBdr>
                <w:top w:val="none" w:sz="0" w:space="0" w:color="auto"/>
                <w:left w:val="none" w:sz="0" w:space="0" w:color="auto"/>
                <w:bottom w:val="none" w:sz="0" w:space="0" w:color="auto"/>
                <w:right w:val="none" w:sz="0" w:space="0" w:color="auto"/>
              </w:divBdr>
            </w:div>
            <w:div w:id="2119136450">
              <w:marLeft w:val="0"/>
              <w:marRight w:val="0"/>
              <w:marTop w:val="0"/>
              <w:marBottom w:val="0"/>
              <w:divBdr>
                <w:top w:val="none" w:sz="0" w:space="0" w:color="auto"/>
                <w:left w:val="none" w:sz="0" w:space="0" w:color="auto"/>
                <w:bottom w:val="none" w:sz="0" w:space="0" w:color="auto"/>
                <w:right w:val="none" w:sz="0" w:space="0" w:color="auto"/>
              </w:divBdr>
            </w:div>
          </w:divsChild>
        </w:div>
        <w:div w:id="1439836860">
          <w:marLeft w:val="0"/>
          <w:marRight w:val="0"/>
          <w:marTop w:val="0"/>
          <w:marBottom w:val="0"/>
          <w:divBdr>
            <w:top w:val="none" w:sz="0" w:space="0" w:color="auto"/>
            <w:left w:val="none" w:sz="0" w:space="0" w:color="auto"/>
            <w:bottom w:val="none" w:sz="0" w:space="0" w:color="auto"/>
            <w:right w:val="none" w:sz="0" w:space="0" w:color="auto"/>
          </w:divBdr>
          <w:divsChild>
            <w:div w:id="94441123">
              <w:marLeft w:val="0"/>
              <w:marRight w:val="0"/>
              <w:marTop w:val="0"/>
              <w:marBottom w:val="0"/>
              <w:divBdr>
                <w:top w:val="none" w:sz="0" w:space="0" w:color="auto"/>
                <w:left w:val="none" w:sz="0" w:space="0" w:color="auto"/>
                <w:bottom w:val="none" w:sz="0" w:space="0" w:color="auto"/>
                <w:right w:val="none" w:sz="0" w:space="0" w:color="auto"/>
              </w:divBdr>
            </w:div>
            <w:div w:id="154415430">
              <w:marLeft w:val="0"/>
              <w:marRight w:val="0"/>
              <w:marTop w:val="0"/>
              <w:marBottom w:val="0"/>
              <w:divBdr>
                <w:top w:val="none" w:sz="0" w:space="0" w:color="auto"/>
                <w:left w:val="none" w:sz="0" w:space="0" w:color="auto"/>
                <w:bottom w:val="none" w:sz="0" w:space="0" w:color="auto"/>
                <w:right w:val="none" w:sz="0" w:space="0" w:color="auto"/>
              </w:divBdr>
            </w:div>
            <w:div w:id="272522503">
              <w:marLeft w:val="0"/>
              <w:marRight w:val="0"/>
              <w:marTop w:val="0"/>
              <w:marBottom w:val="0"/>
              <w:divBdr>
                <w:top w:val="none" w:sz="0" w:space="0" w:color="auto"/>
                <w:left w:val="none" w:sz="0" w:space="0" w:color="auto"/>
                <w:bottom w:val="none" w:sz="0" w:space="0" w:color="auto"/>
                <w:right w:val="none" w:sz="0" w:space="0" w:color="auto"/>
              </w:divBdr>
            </w:div>
            <w:div w:id="304623595">
              <w:marLeft w:val="0"/>
              <w:marRight w:val="0"/>
              <w:marTop w:val="0"/>
              <w:marBottom w:val="0"/>
              <w:divBdr>
                <w:top w:val="none" w:sz="0" w:space="0" w:color="auto"/>
                <w:left w:val="none" w:sz="0" w:space="0" w:color="auto"/>
                <w:bottom w:val="none" w:sz="0" w:space="0" w:color="auto"/>
                <w:right w:val="none" w:sz="0" w:space="0" w:color="auto"/>
              </w:divBdr>
            </w:div>
            <w:div w:id="449737920">
              <w:marLeft w:val="0"/>
              <w:marRight w:val="0"/>
              <w:marTop w:val="0"/>
              <w:marBottom w:val="0"/>
              <w:divBdr>
                <w:top w:val="none" w:sz="0" w:space="0" w:color="auto"/>
                <w:left w:val="none" w:sz="0" w:space="0" w:color="auto"/>
                <w:bottom w:val="none" w:sz="0" w:space="0" w:color="auto"/>
                <w:right w:val="none" w:sz="0" w:space="0" w:color="auto"/>
              </w:divBdr>
            </w:div>
            <w:div w:id="482967109">
              <w:marLeft w:val="0"/>
              <w:marRight w:val="0"/>
              <w:marTop w:val="0"/>
              <w:marBottom w:val="0"/>
              <w:divBdr>
                <w:top w:val="none" w:sz="0" w:space="0" w:color="auto"/>
                <w:left w:val="none" w:sz="0" w:space="0" w:color="auto"/>
                <w:bottom w:val="none" w:sz="0" w:space="0" w:color="auto"/>
                <w:right w:val="none" w:sz="0" w:space="0" w:color="auto"/>
              </w:divBdr>
            </w:div>
            <w:div w:id="513615071">
              <w:marLeft w:val="0"/>
              <w:marRight w:val="0"/>
              <w:marTop w:val="0"/>
              <w:marBottom w:val="0"/>
              <w:divBdr>
                <w:top w:val="none" w:sz="0" w:space="0" w:color="auto"/>
                <w:left w:val="none" w:sz="0" w:space="0" w:color="auto"/>
                <w:bottom w:val="none" w:sz="0" w:space="0" w:color="auto"/>
                <w:right w:val="none" w:sz="0" w:space="0" w:color="auto"/>
              </w:divBdr>
            </w:div>
            <w:div w:id="546992238">
              <w:marLeft w:val="0"/>
              <w:marRight w:val="0"/>
              <w:marTop w:val="0"/>
              <w:marBottom w:val="0"/>
              <w:divBdr>
                <w:top w:val="none" w:sz="0" w:space="0" w:color="auto"/>
                <w:left w:val="none" w:sz="0" w:space="0" w:color="auto"/>
                <w:bottom w:val="none" w:sz="0" w:space="0" w:color="auto"/>
                <w:right w:val="none" w:sz="0" w:space="0" w:color="auto"/>
              </w:divBdr>
            </w:div>
            <w:div w:id="568619390">
              <w:marLeft w:val="0"/>
              <w:marRight w:val="0"/>
              <w:marTop w:val="0"/>
              <w:marBottom w:val="0"/>
              <w:divBdr>
                <w:top w:val="none" w:sz="0" w:space="0" w:color="auto"/>
                <w:left w:val="none" w:sz="0" w:space="0" w:color="auto"/>
                <w:bottom w:val="none" w:sz="0" w:space="0" w:color="auto"/>
                <w:right w:val="none" w:sz="0" w:space="0" w:color="auto"/>
              </w:divBdr>
            </w:div>
            <w:div w:id="595795147">
              <w:marLeft w:val="0"/>
              <w:marRight w:val="0"/>
              <w:marTop w:val="0"/>
              <w:marBottom w:val="0"/>
              <w:divBdr>
                <w:top w:val="none" w:sz="0" w:space="0" w:color="auto"/>
                <w:left w:val="none" w:sz="0" w:space="0" w:color="auto"/>
                <w:bottom w:val="none" w:sz="0" w:space="0" w:color="auto"/>
                <w:right w:val="none" w:sz="0" w:space="0" w:color="auto"/>
              </w:divBdr>
            </w:div>
            <w:div w:id="614673318">
              <w:marLeft w:val="0"/>
              <w:marRight w:val="0"/>
              <w:marTop w:val="0"/>
              <w:marBottom w:val="0"/>
              <w:divBdr>
                <w:top w:val="none" w:sz="0" w:space="0" w:color="auto"/>
                <w:left w:val="none" w:sz="0" w:space="0" w:color="auto"/>
                <w:bottom w:val="none" w:sz="0" w:space="0" w:color="auto"/>
                <w:right w:val="none" w:sz="0" w:space="0" w:color="auto"/>
              </w:divBdr>
            </w:div>
            <w:div w:id="970135057">
              <w:marLeft w:val="0"/>
              <w:marRight w:val="0"/>
              <w:marTop w:val="0"/>
              <w:marBottom w:val="0"/>
              <w:divBdr>
                <w:top w:val="none" w:sz="0" w:space="0" w:color="auto"/>
                <w:left w:val="none" w:sz="0" w:space="0" w:color="auto"/>
                <w:bottom w:val="none" w:sz="0" w:space="0" w:color="auto"/>
                <w:right w:val="none" w:sz="0" w:space="0" w:color="auto"/>
              </w:divBdr>
            </w:div>
            <w:div w:id="1020203600">
              <w:marLeft w:val="0"/>
              <w:marRight w:val="0"/>
              <w:marTop w:val="0"/>
              <w:marBottom w:val="0"/>
              <w:divBdr>
                <w:top w:val="none" w:sz="0" w:space="0" w:color="auto"/>
                <w:left w:val="none" w:sz="0" w:space="0" w:color="auto"/>
                <w:bottom w:val="none" w:sz="0" w:space="0" w:color="auto"/>
                <w:right w:val="none" w:sz="0" w:space="0" w:color="auto"/>
              </w:divBdr>
            </w:div>
            <w:div w:id="1025399256">
              <w:marLeft w:val="0"/>
              <w:marRight w:val="0"/>
              <w:marTop w:val="0"/>
              <w:marBottom w:val="0"/>
              <w:divBdr>
                <w:top w:val="none" w:sz="0" w:space="0" w:color="auto"/>
                <w:left w:val="none" w:sz="0" w:space="0" w:color="auto"/>
                <w:bottom w:val="none" w:sz="0" w:space="0" w:color="auto"/>
                <w:right w:val="none" w:sz="0" w:space="0" w:color="auto"/>
              </w:divBdr>
            </w:div>
            <w:div w:id="1273709118">
              <w:marLeft w:val="0"/>
              <w:marRight w:val="0"/>
              <w:marTop w:val="0"/>
              <w:marBottom w:val="0"/>
              <w:divBdr>
                <w:top w:val="none" w:sz="0" w:space="0" w:color="auto"/>
                <w:left w:val="none" w:sz="0" w:space="0" w:color="auto"/>
                <w:bottom w:val="none" w:sz="0" w:space="0" w:color="auto"/>
                <w:right w:val="none" w:sz="0" w:space="0" w:color="auto"/>
              </w:divBdr>
            </w:div>
            <w:div w:id="1290430020">
              <w:marLeft w:val="0"/>
              <w:marRight w:val="0"/>
              <w:marTop w:val="0"/>
              <w:marBottom w:val="0"/>
              <w:divBdr>
                <w:top w:val="none" w:sz="0" w:space="0" w:color="auto"/>
                <w:left w:val="none" w:sz="0" w:space="0" w:color="auto"/>
                <w:bottom w:val="none" w:sz="0" w:space="0" w:color="auto"/>
                <w:right w:val="none" w:sz="0" w:space="0" w:color="auto"/>
              </w:divBdr>
            </w:div>
            <w:div w:id="1557937103">
              <w:marLeft w:val="0"/>
              <w:marRight w:val="0"/>
              <w:marTop w:val="0"/>
              <w:marBottom w:val="0"/>
              <w:divBdr>
                <w:top w:val="none" w:sz="0" w:space="0" w:color="auto"/>
                <w:left w:val="none" w:sz="0" w:space="0" w:color="auto"/>
                <w:bottom w:val="none" w:sz="0" w:space="0" w:color="auto"/>
                <w:right w:val="none" w:sz="0" w:space="0" w:color="auto"/>
              </w:divBdr>
            </w:div>
            <w:div w:id="1626884943">
              <w:marLeft w:val="0"/>
              <w:marRight w:val="0"/>
              <w:marTop w:val="0"/>
              <w:marBottom w:val="0"/>
              <w:divBdr>
                <w:top w:val="none" w:sz="0" w:space="0" w:color="auto"/>
                <w:left w:val="none" w:sz="0" w:space="0" w:color="auto"/>
                <w:bottom w:val="none" w:sz="0" w:space="0" w:color="auto"/>
                <w:right w:val="none" w:sz="0" w:space="0" w:color="auto"/>
              </w:divBdr>
            </w:div>
            <w:div w:id="1773014650">
              <w:marLeft w:val="0"/>
              <w:marRight w:val="0"/>
              <w:marTop w:val="0"/>
              <w:marBottom w:val="0"/>
              <w:divBdr>
                <w:top w:val="none" w:sz="0" w:space="0" w:color="auto"/>
                <w:left w:val="none" w:sz="0" w:space="0" w:color="auto"/>
                <w:bottom w:val="none" w:sz="0" w:space="0" w:color="auto"/>
                <w:right w:val="none" w:sz="0" w:space="0" w:color="auto"/>
              </w:divBdr>
            </w:div>
            <w:div w:id="1996570255">
              <w:marLeft w:val="0"/>
              <w:marRight w:val="0"/>
              <w:marTop w:val="0"/>
              <w:marBottom w:val="0"/>
              <w:divBdr>
                <w:top w:val="none" w:sz="0" w:space="0" w:color="auto"/>
                <w:left w:val="none" w:sz="0" w:space="0" w:color="auto"/>
                <w:bottom w:val="none" w:sz="0" w:space="0" w:color="auto"/>
                <w:right w:val="none" w:sz="0" w:space="0" w:color="auto"/>
              </w:divBdr>
            </w:div>
          </w:divsChild>
        </w:div>
        <w:div w:id="1627933801">
          <w:marLeft w:val="0"/>
          <w:marRight w:val="0"/>
          <w:marTop w:val="0"/>
          <w:marBottom w:val="0"/>
          <w:divBdr>
            <w:top w:val="none" w:sz="0" w:space="0" w:color="auto"/>
            <w:left w:val="none" w:sz="0" w:space="0" w:color="auto"/>
            <w:bottom w:val="none" w:sz="0" w:space="0" w:color="auto"/>
            <w:right w:val="none" w:sz="0" w:space="0" w:color="auto"/>
          </w:divBdr>
        </w:div>
        <w:div w:id="1939021269">
          <w:marLeft w:val="0"/>
          <w:marRight w:val="0"/>
          <w:marTop w:val="0"/>
          <w:marBottom w:val="0"/>
          <w:divBdr>
            <w:top w:val="none" w:sz="0" w:space="0" w:color="auto"/>
            <w:left w:val="none" w:sz="0" w:space="0" w:color="auto"/>
            <w:bottom w:val="none" w:sz="0" w:space="0" w:color="auto"/>
            <w:right w:val="none" w:sz="0" w:space="0" w:color="auto"/>
          </w:divBdr>
        </w:div>
        <w:div w:id="2002468637">
          <w:marLeft w:val="0"/>
          <w:marRight w:val="0"/>
          <w:marTop w:val="0"/>
          <w:marBottom w:val="0"/>
          <w:divBdr>
            <w:top w:val="none" w:sz="0" w:space="0" w:color="auto"/>
            <w:left w:val="none" w:sz="0" w:space="0" w:color="auto"/>
            <w:bottom w:val="none" w:sz="0" w:space="0" w:color="auto"/>
            <w:right w:val="none" w:sz="0" w:space="0" w:color="auto"/>
          </w:divBdr>
        </w:div>
        <w:div w:id="2065399092">
          <w:marLeft w:val="0"/>
          <w:marRight w:val="0"/>
          <w:marTop w:val="0"/>
          <w:marBottom w:val="0"/>
          <w:divBdr>
            <w:top w:val="none" w:sz="0" w:space="0" w:color="auto"/>
            <w:left w:val="none" w:sz="0" w:space="0" w:color="auto"/>
            <w:bottom w:val="none" w:sz="0" w:space="0" w:color="auto"/>
            <w:right w:val="none" w:sz="0" w:space="0" w:color="auto"/>
          </w:divBdr>
        </w:div>
      </w:divsChild>
    </w:div>
    <w:div w:id="928857171">
      <w:bodyDiv w:val="1"/>
      <w:marLeft w:val="0"/>
      <w:marRight w:val="0"/>
      <w:marTop w:val="0"/>
      <w:marBottom w:val="0"/>
      <w:divBdr>
        <w:top w:val="none" w:sz="0" w:space="0" w:color="auto"/>
        <w:left w:val="none" w:sz="0" w:space="0" w:color="auto"/>
        <w:bottom w:val="none" w:sz="0" w:space="0" w:color="auto"/>
        <w:right w:val="none" w:sz="0" w:space="0" w:color="auto"/>
      </w:divBdr>
    </w:div>
    <w:div w:id="944724680">
      <w:bodyDiv w:val="1"/>
      <w:marLeft w:val="0"/>
      <w:marRight w:val="0"/>
      <w:marTop w:val="0"/>
      <w:marBottom w:val="0"/>
      <w:divBdr>
        <w:top w:val="none" w:sz="0" w:space="0" w:color="auto"/>
        <w:left w:val="none" w:sz="0" w:space="0" w:color="auto"/>
        <w:bottom w:val="none" w:sz="0" w:space="0" w:color="auto"/>
        <w:right w:val="none" w:sz="0" w:space="0" w:color="auto"/>
      </w:divBdr>
      <w:divsChild>
        <w:div w:id="286863251">
          <w:marLeft w:val="0"/>
          <w:marRight w:val="0"/>
          <w:marTop w:val="0"/>
          <w:marBottom w:val="0"/>
          <w:divBdr>
            <w:top w:val="none" w:sz="0" w:space="0" w:color="auto"/>
            <w:left w:val="none" w:sz="0" w:space="0" w:color="auto"/>
            <w:bottom w:val="none" w:sz="0" w:space="0" w:color="auto"/>
            <w:right w:val="none" w:sz="0" w:space="0" w:color="auto"/>
          </w:divBdr>
        </w:div>
        <w:div w:id="980618158">
          <w:marLeft w:val="0"/>
          <w:marRight w:val="0"/>
          <w:marTop w:val="0"/>
          <w:marBottom w:val="0"/>
          <w:divBdr>
            <w:top w:val="none" w:sz="0" w:space="0" w:color="auto"/>
            <w:left w:val="none" w:sz="0" w:space="0" w:color="auto"/>
            <w:bottom w:val="none" w:sz="0" w:space="0" w:color="auto"/>
            <w:right w:val="none" w:sz="0" w:space="0" w:color="auto"/>
          </w:divBdr>
        </w:div>
        <w:div w:id="1107040576">
          <w:marLeft w:val="0"/>
          <w:marRight w:val="0"/>
          <w:marTop w:val="0"/>
          <w:marBottom w:val="0"/>
          <w:divBdr>
            <w:top w:val="none" w:sz="0" w:space="0" w:color="auto"/>
            <w:left w:val="none" w:sz="0" w:space="0" w:color="auto"/>
            <w:bottom w:val="none" w:sz="0" w:space="0" w:color="auto"/>
            <w:right w:val="none" w:sz="0" w:space="0" w:color="auto"/>
          </w:divBdr>
          <w:divsChild>
            <w:div w:id="1228414426">
              <w:marLeft w:val="-75"/>
              <w:marRight w:val="0"/>
              <w:marTop w:val="30"/>
              <w:marBottom w:val="30"/>
              <w:divBdr>
                <w:top w:val="none" w:sz="0" w:space="0" w:color="auto"/>
                <w:left w:val="none" w:sz="0" w:space="0" w:color="auto"/>
                <w:bottom w:val="none" w:sz="0" w:space="0" w:color="auto"/>
                <w:right w:val="none" w:sz="0" w:space="0" w:color="auto"/>
              </w:divBdr>
              <w:divsChild>
                <w:div w:id="239364097">
                  <w:marLeft w:val="0"/>
                  <w:marRight w:val="0"/>
                  <w:marTop w:val="0"/>
                  <w:marBottom w:val="0"/>
                  <w:divBdr>
                    <w:top w:val="none" w:sz="0" w:space="0" w:color="auto"/>
                    <w:left w:val="none" w:sz="0" w:space="0" w:color="auto"/>
                    <w:bottom w:val="none" w:sz="0" w:space="0" w:color="auto"/>
                    <w:right w:val="none" w:sz="0" w:space="0" w:color="auto"/>
                  </w:divBdr>
                  <w:divsChild>
                    <w:div w:id="459493695">
                      <w:marLeft w:val="0"/>
                      <w:marRight w:val="0"/>
                      <w:marTop w:val="0"/>
                      <w:marBottom w:val="0"/>
                      <w:divBdr>
                        <w:top w:val="none" w:sz="0" w:space="0" w:color="auto"/>
                        <w:left w:val="none" w:sz="0" w:space="0" w:color="auto"/>
                        <w:bottom w:val="none" w:sz="0" w:space="0" w:color="auto"/>
                        <w:right w:val="none" w:sz="0" w:space="0" w:color="auto"/>
                      </w:divBdr>
                    </w:div>
                  </w:divsChild>
                </w:div>
                <w:div w:id="588317048">
                  <w:marLeft w:val="0"/>
                  <w:marRight w:val="0"/>
                  <w:marTop w:val="0"/>
                  <w:marBottom w:val="0"/>
                  <w:divBdr>
                    <w:top w:val="none" w:sz="0" w:space="0" w:color="auto"/>
                    <w:left w:val="none" w:sz="0" w:space="0" w:color="auto"/>
                    <w:bottom w:val="none" w:sz="0" w:space="0" w:color="auto"/>
                    <w:right w:val="none" w:sz="0" w:space="0" w:color="auto"/>
                  </w:divBdr>
                  <w:divsChild>
                    <w:div w:id="1704019920">
                      <w:marLeft w:val="0"/>
                      <w:marRight w:val="0"/>
                      <w:marTop w:val="0"/>
                      <w:marBottom w:val="0"/>
                      <w:divBdr>
                        <w:top w:val="none" w:sz="0" w:space="0" w:color="auto"/>
                        <w:left w:val="none" w:sz="0" w:space="0" w:color="auto"/>
                        <w:bottom w:val="none" w:sz="0" w:space="0" w:color="auto"/>
                        <w:right w:val="none" w:sz="0" w:space="0" w:color="auto"/>
                      </w:divBdr>
                    </w:div>
                  </w:divsChild>
                </w:div>
                <w:div w:id="623804073">
                  <w:marLeft w:val="0"/>
                  <w:marRight w:val="0"/>
                  <w:marTop w:val="0"/>
                  <w:marBottom w:val="0"/>
                  <w:divBdr>
                    <w:top w:val="none" w:sz="0" w:space="0" w:color="auto"/>
                    <w:left w:val="none" w:sz="0" w:space="0" w:color="auto"/>
                    <w:bottom w:val="none" w:sz="0" w:space="0" w:color="auto"/>
                    <w:right w:val="none" w:sz="0" w:space="0" w:color="auto"/>
                  </w:divBdr>
                  <w:divsChild>
                    <w:div w:id="1685664275">
                      <w:marLeft w:val="0"/>
                      <w:marRight w:val="0"/>
                      <w:marTop w:val="0"/>
                      <w:marBottom w:val="0"/>
                      <w:divBdr>
                        <w:top w:val="none" w:sz="0" w:space="0" w:color="auto"/>
                        <w:left w:val="none" w:sz="0" w:space="0" w:color="auto"/>
                        <w:bottom w:val="none" w:sz="0" w:space="0" w:color="auto"/>
                        <w:right w:val="none" w:sz="0" w:space="0" w:color="auto"/>
                      </w:divBdr>
                    </w:div>
                  </w:divsChild>
                </w:div>
                <w:div w:id="784471421">
                  <w:marLeft w:val="0"/>
                  <w:marRight w:val="0"/>
                  <w:marTop w:val="0"/>
                  <w:marBottom w:val="0"/>
                  <w:divBdr>
                    <w:top w:val="none" w:sz="0" w:space="0" w:color="auto"/>
                    <w:left w:val="none" w:sz="0" w:space="0" w:color="auto"/>
                    <w:bottom w:val="none" w:sz="0" w:space="0" w:color="auto"/>
                    <w:right w:val="none" w:sz="0" w:space="0" w:color="auto"/>
                  </w:divBdr>
                  <w:divsChild>
                    <w:div w:id="334915309">
                      <w:marLeft w:val="0"/>
                      <w:marRight w:val="0"/>
                      <w:marTop w:val="0"/>
                      <w:marBottom w:val="0"/>
                      <w:divBdr>
                        <w:top w:val="none" w:sz="0" w:space="0" w:color="auto"/>
                        <w:left w:val="none" w:sz="0" w:space="0" w:color="auto"/>
                        <w:bottom w:val="none" w:sz="0" w:space="0" w:color="auto"/>
                        <w:right w:val="none" w:sz="0" w:space="0" w:color="auto"/>
                      </w:divBdr>
                    </w:div>
                  </w:divsChild>
                </w:div>
                <w:div w:id="985813885">
                  <w:marLeft w:val="0"/>
                  <w:marRight w:val="0"/>
                  <w:marTop w:val="0"/>
                  <w:marBottom w:val="0"/>
                  <w:divBdr>
                    <w:top w:val="none" w:sz="0" w:space="0" w:color="auto"/>
                    <w:left w:val="none" w:sz="0" w:space="0" w:color="auto"/>
                    <w:bottom w:val="none" w:sz="0" w:space="0" w:color="auto"/>
                    <w:right w:val="none" w:sz="0" w:space="0" w:color="auto"/>
                  </w:divBdr>
                  <w:divsChild>
                    <w:div w:id="1456144425">
                      <w:marLeft w:val="0"/>
                      <w:marRight w:val="0"/>
                      <w:marTop w:val="0"/>
                      <w:marBottom w:val="0"/>
                      <w:divBdr>
                        <w:top w:val="none" w:sz="0" w:space="0" w:color="auto"/>
                        <w:left w:val="none" w:sz="0" w:space="0" w:color="auto"/>
                        <w:bottom w:val="none" w:sz="0" w:space="0" w:color="auto"/>
                        <w:right w:val="none" w:sz="0" w:space="0" w:color="auto"/>
                      </w:divBdr>
                    </w:div>
                  </w:divsChild>
                </w:div>
                <w:div w:id="1281375773">
                  <w:marLeft w:val="0"/>
                  <w:marRight w:val="0"/>
                  <w:marTop w:val="0"/>
                  <w:marBottom w:val="0"/>
                  <w:divBdr>
                    <w:top w:val="none" w:sz="0" w:space="0" w:color="auto"/>
                    <w:left w:val="none" w:sz="0" w:space="0" w:color="auto"/>
                    <w:bottom w:val="none" w:sz="0" w:space="0" w:color="auto"/>
                    <w:right w:val="none" w:sz="0" w:space="0" w:color="auto"/>
                  </w:divBdr>
                  <w:divsChild>
                    <w:div w:id="676886919">
                      <w:marLeft w:val="0"/>
                      <w:marRight w:val="0"/>
                      <w:marTop w:val="0"/>
                      <w:marBottom w:val="0"/>
                      <w:divBdr>
                        <w:top w:val="none" w:sz="0" w:space="0" w:color="auto"/>
                        <w:left w:val="none" w:sz="0" w:space="0" w:color="auto"/>
                        <w:bottom w:val="none" w:sz="0" w:space="0" w:color="auto"/>
                        <w:right w:val="none" w:sz="0" w:space="0" w:color="auto"/>
                      </w:divBdr>
                    </w:div>
                  </w:divsChild>
                </w:div>
                <w:div w:id="1574465638">
                  <w:marLeft w:val="0"/>
                  <w:marRight w:val="0"/>
                  <w:marTop w:val="0"/>
                  <w:marBottom w:val="0"/>
                  <w:divBdr>
                    <w:top w:val="none" w:sz="0" w:space="0" w:color="auto"/>
                    <w:left w:val="none" w:sz="0" w:space="0" w:color="auto"/>
                    <w:bottom w:val="none" w:sz="0" w:space="0" w:color="auto"/>
                    <w:right w:val="none" w:sz="0" w:space="0" w:color="auto"/>
                  </w:divBdr>
                  <w:divsChild>
                    <w:div w:id="413554733">
                      <w:marLeft w:val="0"/>
                      <w:marRight w:val="0"/>
                      <w:marTop w:val="0"/>
                      <w:marBottom w:val="0"/>
                      <w:divBdr>
                        <w:top w:val="none" w:sz="0" w:space="0" w:color="auto"/>
                        <w:left w:val="none" w:sz="0" w:space="0" w:color="auto"/>
                        <w:bottom w:val="none" w:sz="0" w:space="0" w:color="auto"/>
                        <w:right w:val="none" w:sz="0" w:space="0" w:color="auto"/>
                      </w:divBdr>
                    </w:div>
                  </w:divsChild>
                </w:div>
                <w:div w:id="1774476817">
                  <w:marLeft w:val="0"/>
                  <w:marRight w:val="0"/>
                  <w:marTop w:val="0"/>
                  <w:marBottom w:val="0"/>
                  <w:divBdr>
                    <w:top w:val="none" w:sz="0" w:space="0" w:color="auto"/>
                    <w:left w:val="none" w:sz="0" w:space="0" w:color="auto"/>
                    <w:bottom w:val="none" w:sz="0" w:space="0" w:color="auto"/>
                    <w:right w:val="none" w:sz="0" w:space="0" w:color="auto"/>
                  </w:divBdr>
                  <w:divsChild>
                    <w:div w:id="1316102793">
                      <w:marLeft w:val="0"/>
                      <w:marRight w:val="0"/>
                      <w:marTop w:val="0"/>
                      <w:marBottom w:val="0"/>
                      <w:divBdr>
                        <w:top w:val="none" w:sz="0" w:space="0" w:color="auto"/>
                        <w:left w:val="none" w:sz="0" w:space="0" w:color="auto"/>
                        <w:bottom w:val="none" w:sz="0" w:space="0" w:color="auto"/>
                        <w:right w:val="none" w:sz="0" w:space="0" w:color="auto"/>
                      </w:divBdr>
                    </w:div>
                  </w:divsChild>
                </w:div>
                <w:div w:id="1785924457">
                  <w:marLeft w:val="0"/>
                  <w:marRight w:val="0"/>
                  <w:marTop w:val="0"/>
                  <w:marBottom w:val="0"/>
                  <w:divBdr>
                    <w:top w:val="none" w:sz="0" w:space="0" w:color="auto"/>
                    <w:left w:val="none" w:sz="0" w:space="0" w:color="auto"/>
                    <w:bottom w:val="none" w:sz="0" w:space="0" w:color="auto"/>
                    <w:right w:val="none" w:sz="0" w:space="0" w:color="auto"/>
                  </w:divBdr>
                  <w:divsChild>
                    <w:div w:id="1868178040">
                      <w:marLeft w:val="0"/>
                      <w:marRight w:val="0"/>
                      <w:marTop w:val="0"/>
                      <w:marBottom w:val="0"/>
                      <w:divBdr>
                        <w:top w:val="none" w:sz="0" w:space="0" w:color="auto"/>
                        <w:left w:val="none" w:sz="0" w:space="0" w:color="auto"/>
                        <w:bottom w:val="none" w:sz="0" w:space="0" w:color="auto"/>
                        <w:right w:val="none" w:sz="0" w:space="0" w:color="auto"/>
                      </w:divBdr>
                    </w:div>
                  </w:divsChild>
                </w:div>
                <w:div w:id="1871382644">
                  <w:marLeft w:val="0"/>
                  <w:marRight w:val="0"/>
                  <w:marTop w:val="0"/>
                  <w:marBottom w:val="0"/>
                  <w:divBdr>
                    <w:top w:val="none" w:sz="0" w:space="0" w:color="auto"/>
                    <w:left w:val="none" w:sz="0" w:space="0" w:color="auto"/>
                    <w:bottom w:val="none" w:sz="0" w:space="0" w:color="auto"/>
                    <w:right w:val="none" w:sz="0" w:space="0" w:color="auto"/>
                  </w:divBdr>
                  <w:divsChild>
                    <w:div w:id="1499615731">
                      <w:marLeft w:val="0"/>
                      <w:marRight w:val="0"/>
                      <w:marTop w:val="0"/>
                      <w:marBottom w:val="0"/>
                      <w:divBdr>
                        <w:top w:val="none" w:sz="0" w:space="0" w:color="auto"/>
                        <w:left w:val="none" w:sz="0" w:space="0" w:color="auto"/>
                        <w:bottom w:val="none" w:sz="0" w:space="0" w:color="auto"/>
                        <w:right w:val="none" w:sz="0" w:space="0" w:color="auto"/>
                      </w:divBdr>
                    </w:div>
                  </w:divsChild>
                </w:div>
                <w:div w:id="1914462668">
                  <w:marLeft w:val="0"/>
                  <w:marRight w:val="0"/>
                  <w:marTop w:val="0"/>
                  <w:marBottom w:val="0"/>
                  <w:divBdr>
                    <w:top w:val="none" w:sz="0" w:space="0" w:color="auto"/>
                    <w:left w:val="none" w:sz="0" w:space="0" w:color="auto"/>
                    <w:bottom w:val="none" w:sz="0" w:space="0" w:color="auto"/>
                    <w:right w:val="none" w:sz="0" w:space="0" w:color="auto"/>
                  </w:divBdr>
                  <w:divsChild>
                    <w:div w:id="355084514">
                      <w:marLeft w:val="0"/>
                      <w:marRight w:val="0"/>
                      <w:marTop w:val="0"/>
                      <w:marBottom w:val="0"/>
                      <w:divBdr>
                        <w:top w:val="none" w:sz="0" w:space="0" w:color="auto"/>
                        <w:left w:val="none" w:sz="0" w:space="0" w:color="auto"/>
                        <w:bottom w:val="none" w:sz="0" w:space="0" w:color="auto"/>
                        <w:right w:val="none" w:sz="0" w:space="0" w:color="auto"/>
                      </w:divBdr>
                    </w:div>
                  </w:divsChild>
                </w:div>
                <w:div w:id="1962805383">
                  <w:marLeft w:val="0"/>
                  <w:marRight w:val="0"/>
                  <w:marTop w:val="0"/>
                  <w:marBottom w:val="0"/>
                  <w:divBdr>
                    <w:top w:val="none" w:sz="0" w:space="0" w:color="auto"/>
                    <w:left w:val="none" w:sz="0" w:space="0" w:color="auto"/>
                    <w:bottom w:val="none" w:sz="0" w:space="0" w:color="auto"/>
                    <w:right w:val="none" w:sz="0" w:space="0" w:color="auto"/>
                  </w:divBdr>
                  <w:divsChild>
                    <w:div w:id="129571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5044">
          <w:marLeft w:val="0"/>
          <w:marRight w:val="0"/>
          <w:marTop w:val="0"/>
          <w:marBottom w:val="0"/>
          <w:divBdr>
            <w:top w:val="none" w:sz="0" w:space="0" w:color="auto"/>
            <w:left w:val="none" w:sz="0" w:space="0" w:color="auto"/>
            <w:bottom w:val="none" w:sz="0" w:space="0" w:color="auto"/>
            <w:right w:val="none" w:sz="0" w:space="0" w:color="auto"/>
          </w:divBdr>
        </w:div>
        <w:div w:id="1362972633">
          <w:marLeft w:val="0"/>
          <w:marRight w:val="0"/>
          <w:marTop w:val="0"/>
          <w:marBottom w:val="0"/>
          <w:divBdr>
            <w:top w:val="none" w:sz="0" w:space="0" w:color="auto"/>
            <w:left w:val="none" w:sz="0" w:space="0" w:color="auto"/>
            <w:bottom w:val="none" w:sz="0" w:space="0" w:color="auto"/>
            <w:right w:val="none" w:sz="0" w:space="0" w:color="auto"/>
          </w:divBdr>
        </w:div>
        <w:div w:id="1447315481">
          <w:marLeft w:val="0"/>
          <w:marRight w:val="0"/>
          <w:marTop w:val="0"/>
          <w:marBottom w:val="0"/>
          <w:divBdr>
            <w:top w:val="none" w:sz="0" w:space="0" w:color="auto"/>
            <w:left w:val="none" w:sz="0" w:space="0" w:color="auto"/>
            <w:bottom w:val="none" w:sz="0" w:space="0" w:color="auto"/>
            <w:right w:val="none" w:sz="0" w:space="0" w:color="auto"/>
          </w:divBdr>
        </w:div>
        <w:div w:id="1604802031">
          <w:marLeft w:val="0"/>
          <w:marRight w:val="0"/>
          <w:marTop w:val="0"/>
          <w:marBottom w:val="0"/>
          <w:divBdr>
            <w:top w:val="none" w:sz="0" w:space="0" w:color="auto"/>
            <w:left w:val="none" w:sz="0" w:space="0" w:color="auto"/>
            <w:bottom w:val="none" w:sz="0" w:space="0" w:color="auto"/>
            <w:right w:val="none" w:sz="0" w:space="0" w:color="auto"/>
          </w:divBdr>
        </w:div>
        <w:div w:id="1617133268">
          <w:marLeft w:val="0"/>
          <w:marRight w:val="0"/>
          <w:marTop w:val="0"/>
          <w:marBottom w:val="0"/>
          <w:divBdr>
            <w:top w:val="none" w:sz="0" w:space="0" w:color="auto"/>
            <w:left w:val="none" w:sz="0" w:space="0" w:color="auto"/>
            <w:bottom w:val="none" w:sz="0" w:space="0" w:color="auto"/>
            <w:right w:val="none" w:sz="0" w:space="0" w:color="auto"/>
          </w:divBdr>
        </w:div>
        <w:div w:id="1668942040">
          <w:marLeft w:val="0"/>
          <w:marRight w:val="0"/>
          <w:marTop w:val="0"/>
          <w:marBottom w:val="0"/>
          <w:divBdr>
            <w:top w:val="none" w:sz="0" w:space="0" w:color="auto"/>
            <w:left w:val="none" w:sz="0" w:space="0" w:color="auto"/>
            <w:bottom w:val="none" w:sz="0" w:space="0" w:color="auto"/>
            <w:right w:val="none" w:sz="0" w:space="0" w:color="auto"/>
          </w:divBdr>
        </w:div>
      </w:divsChild>
    </w:div>
    <w:div w:id="1003166057">
      <w:bodyDiv w:val="1"/>
      <w:marLeft w:val="0"/>
      <w:marRight w:val="0"/>
      <w:marTop w:val="0"/>
      <w:marBottom w:val="0"/>
      <w:divBdr>
        <w:top w:val="none" w:sz="0" w:space="0" w:color="auto"/>
        <w:left w:val="none" w:sz="0" w:space="0" w:color="auto"/>
        <w:bottom w:val="none" w:sz="0" w:space="0" w:color="auto"/>
        <w:right w:val="none" w:sz="0" w:space="0" w:color="auto"/>
      </w:divBdr>
    </w:div>
    <w:div w:id="1031423168">
      <w:bodyDiv w:val="1"/>
      <w:marLeft w:val="0"/>
      <w:marRight w:val="0"/>
      <w:marTop w:val="0"/>
      <w:marBottom w:val="0"/>
      <w:divBdr>
        <w:top w:val="none" w:sz="0" w:space="0" w:color="auto"/>
        <w:left w:val="none" w:sz="0" w:space="0" w:color="auto"/>
        <w:bottom w:val="none" w:sz="0" w:space="0" w:color="auto"/>
        <w:right w:val="none" w:sz="0" w:space="0" w:color="auto"/>
      </w:divBdr>
    </w:div>
    <w:div w:id="1152790141">
      <w:bodyDiv w:val="1"/>
      <w:marLeft w:val="0"/>
      <w:marRight w:val="0"/>
      <w:marTop w:val="0"/>
      <w:marBottom w:val="0"/>
      <w:divBdr>
        <w:top w:val="none" w:sz="0" w:space="0" w:color="auto"/>
        <w:left w:val="none" w:sz="0" w:space="0" w:color="auto"/>
        <w:bottom w:val="none" w:sz="0" w:space="0" w:color="auto"/>
        <w:right w:val="none" w:sz="0" w:space="0" w:color="auto"/>
      </w:divBdr>
    </w:div>
    <w:div w:id="118621584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9005298">
      <w:bodyDiv w:val="1"/>
      <w:marLeft w:val="0"/>
      <w:marRight w:val="0"/>
      <w:marTop w:val="0"/>
      <w:marBottom w:val="0"/>
      <w:divBdr>
        <w:top w:val="none" w:sz="0" w:space="0" w:color="auto"/>
        <w:left w:val="none" w:sz="0" w:space="0" w:color="auto"/>
        <w:bottom w:val="none" w:sz="0" w:space="0" w:color="auto"/>
        <w:right w:val="none" w:sz="0" w:space="0" w:color="auto"/>
      </w:divBdr>
    </w:div>
    <w:div w:id="1272396752">
      <w:bodyDiv w:val="1"/>
      <w:marLeft w:val="0"/>
      <w:marRight w:val="0"/>
      <w:marTop w:val="0"/>
      <w:marBottom w:val="0"/>
      <w:divBdr>
        <w:top w:val="none" w:sz="0" w:space="0" w:color="auto"/>
        <w:left w:val="none" w:sz="0" w:space="0" w:color="auto"/>
        <w:bottom w:val="none" w:sz="0" w:space="0" w:color="auto"/>
        <w:right w:val="none" w:sz="0" w:space="0" w:color="auto"/>
      </w:divBdr>
    </w:div>
    <w:div w:id="1273784415">
      <w:bodyDiv w:val="1"/>
      <w:marLeft w:val="0"/>
      <w:marRight w:val="0"/>
      <w:marTop w:val="0"/>
      <w:marBottom w:val="0"/>
      <w:divBdr>
        <w:top w:val="none" w:sz="0" w:space="0" w:color="auto"/>
        <w:left w:val="none" w:sz="0" w:space="0" w:color="auto"/>
        <w:bottom w:val="none" w:sz="0" w:space="0" w:color="auto"/>
        <w:right w:val="none" w:sz="0" w:space="0" w:color="auto"/>
      </w:divBdr>
    </w:div>
    <w:div w:id="1335646510">
      <w:bodyDiv w:val="1"/>
      <w:marLeft w:val="0"/>
      <w:marRight w:val="0"/>
      <w:marTop w:val="0"/>
      <w:marBottom w:val="0"/>
      <w:divBdr>
        <w:top w:val="none" w:sz="0" w:space="0" w:color="auto"/>
        <w:left w:val="none" w:sz="0" w:space="0" w:color="auto"/>
        <w:bottom w:val="none" w:sz="0" w:space="0" w:color="auto"/>
        <w:right w:val="none" w:sz="0" w:space="0" w:color="auto"/>
      </w:divBdr>
    </w:div>
    <w:div w:id="1409183899">
      <w:bodyDiv w:val="1"/>
      <w:marLeft w:val="0"/>
      <w:marRight w:val="0"/>
      <w:marTop w:val="0"/>
      <w:marBottom w:val="0"/>
      <w:divBdr>
        <w:top w:val="none" w:sz="0" w:space="0" w:color="auto"/>
        <w:left w:val="none" w:sz="0" w:space="0" w:color="auto"/>
        <w:bottom w:val="none" w:sz="0" w:space="0" w:color="auto"/>
        <w:right w:val="none" w:sz="0" w:space="0" w:color="auto"/>
      </w:divBdr>
    </w:div>
    <w:div w:id="1454713100">
      <w:bodyDiv w:val="1"/>
      <w:marLeft w:val="0"/>
      <w:marRight w:val="0"/>
      <w:marTop w:val="0"/>
      <w:marBottom w:val="0"/>
      <w:divBdr>
        <w:top w:val="none" w:sz="0" w:space="0" w:color="auto"/>
        <w:left w:val="none" w:sz="0" w:space="0" w:color="auto"/>
        <w:bottom w:val="none" w:sz="0" w:space="0" w:color="auto"/>
        <w:right w:val="none" w:sz="0" w:space="0" w:color="auto"/>
      </w:divBdr>
    </w:div>
    <w:div w:id="1477334829">
      <w:bodyDiv w:val="1"/>
      <w:marLeft w:val="0"/>
      <w:marRight w:val="0"/>
      <w:marTop w:val="0"/>
      <w:marBottom w:val="0"/>
      <w:divBdr>
        <w:top w:val="none" w:sz="0" w:space="0" w:color="auto"/>
        <w:left w:val="none" w:sz="0" w:space="0" w:color="auto"/>
        <w:bottom w:val="none" w:sz="0" w:space="0" w:color="auto"/>
        <w:right w:val="none" w:sz="0" w:space="0" w:color="auto"/>
      </w:divBdr>
    </w:div>
    <w:div w:id="1509562871">
      <w:bodyDiv w:val="1"/>
      <w:marLeft w:val="0"/>
      <w:marRight w:val="0"/>
      <w:marTop w:val="0"/>
      <w:marBottom w:val="0"/>
      <w:divBdr>
        <w:top w:val="none" w:sz="0" w:space="0" w:color="auto"/>
        <w:left w:val="none" w:sz="0" w:space="0" w:color="auto"/>
        <w:bottom w:val="none" w:sz="0" w:space="0" w:color="auto"/>
        <w:right w:val="none" w:sz="0" w:space="0" w:color="auto"/>
      </w:divBdr>
    </w:div>
    <w:div w:id="1519811781">
      <w:bodyDiv w:val="1"/>
      <w:marLeft w:val="0"/>
      <w:marRight w:val="0"/>
      <w:marTop w:val="0"/>
      <w:marBottom w:val="0"/>
      <w:divBdr>
        <w:top w:val="none" w:sz="0" w:space="0" w:color="auto"/>
        <w:left w:val="none" w:sz="0" w:space="0" w:color="auto"/>
        <w:bottom w:val="none" w:sz="0" w:space="0" w:color="auto"/>
        <w:right w:val="none" w:sz="0" w:space="0" w:color="auto"/>
      </w:divBdr>
    </w:div>
    <w:div w:id="1535388857">
      <w:bodyDiv w:val="1"/>
      <w:marLeft w:val="0"/>
      <w:marRight w:val="0"/>
      <w:marTop w:val="0"/>
      <w:marBottom w:val="0"/>
      <w:divBdr>
        <w:top w:val="none" w:sz="0" w:space="0" w:color="auto"/>
        <w:left w:val="none" w:sz="0" w:space="0" w:color="auto"/>
        <w:bottom w:val="none" w:sz="0" w:space="0" w:color="auto"/>
        <w:right w:val="none" w:sz="0" w:space="0" w:color="auto"/>
      </w:divBdr>
    </w:div>
    <w:div w:id="1566837916">
      <w:marLeft w:val="0"/>
      <w:marRight w:val="0"/>
      <w:marTop w:val="0"/>
      <w:marBottom w:val="0"/>
      <w:divBdr>
        <w:top w:val="none" w:sz="0" w:space="0" w:color="auto"/>
        <w:left w:val="none" w:sz="0" w:space="0" w:color="auto"/>
        <w:bottom w:val="none" w:sz="0" w:space="0" w:color="auto"/>
        <w:right w:val="none" w:sz="0" w:space="0" w:color="auto"/>
      </w:divBdr>
      <w:divsChild>
        <w:div w:id="2066483466">
          <w:marLeft w:val="0"/>
          <w:marRight w:val="0"/>
          <w:marTop w:val="0"/>
          <w:marBottom w:val="0"/>
          <w:divBdr>
            <w:top w:val="none" w:sz="0" w:space="0" w:color="auto"/>
            <w:left w:val="none" w:sz="0" w:space="0" w:color="auto"/>
            <w:bottom w:val="none" w:sz="0" w:space="0" w:color="auto"/>
            <w:right w:val="none" w:sz="0" w:space="0" w:color="auto"/>
          </w:divBdr>
        </w:div>
      </w:divsChild>
    </w:div>
    <w:div w:id="1582255749">
      <w:bodyDiv w:val="1"/>
      <w:marLeft w:val="0"/>
      <w:marRight w:val="0"/>
      <w:marTop w:val="0"/>
      <w:marBottom w:val="0"/>
      <w:divBdr>
        <w:top w:val="none" w:sz="0" w:space="0" w:color="auto"/>
        <w:left w:val="none" w:sz="0" w:space="0" w:color="auto"/>
        <w:bottom w:val="none" w:sz="0" w:space="0" w:color="auto"/>
        <w:right w:val="none" w:sz="0" w:space="0" w:color="auto"/>
      </w:divBdr>
    </w:div>
    <w:div w:id="1617524849">
      <w:bodyDiv w:val="1"/>
      <w:marLeft w:val="0"/>
      <w:marRight w:val="0"/>
      <w:marTop w:val="0"/>
      <w:marBottom w:val="0"/>
      <w:divBdr>
        <w:top w:val="none" w:sz="0" w:space="0" w:color="auto"/>
        <w:left w:val="none" w:sz="0" w:space="0" w:color="auto"/>
        <w:bottom w:val="none" w:sz="0" w:space="0" w:color="auto"/>
        <w:right w:val="none" w:sz="0" w:space="0" w:color="auto"/>
      </w:divBdr>
    </w:div>
    <w:div w:id="1665012286">
      <w:bodyDiv w:val="1"/>
      <w:marLeft w:val="0"/>
      <w:marRight w:val="0"/>
      <w:marTop w:val="0"/>
      <w:marBottom w:val="0"/>
      <w:divBdr>
        <w:top w:val="none" w:sz="0" w:space="0" w:color="auto"/>
        <w:left w:val="none" w:sz="0" w:space="0" w:color="auto"/>
        <w:bottom w:val="none" w:sz="0" w:space="0" w:color="auto"/>
        <w:right w:val="none" w:sz="0" w:space="0" w:color="auto"/>
      </w:divBdr>
    </w:div>
    <w:div w:id="1677339507">
      <w:bodyDiv w:val="1"/>
      <w:marLeft w:val="0"/>
      <w:marRight w:val="0"/>
      <w:marTop w:val="0"/>
      <w:marBottom w:val="0"/>
      <w:divBdr>
        <w:top w:val="none" w:sz="0" w:space="0" w:color="auto"/>
        <w:left w:val="none" w:sz="0" w:space="0" w:color="auto"/>
        <w:bottom w:val="none" w:sz="0" w:space="0" w:color="auto"/>
        <w:right w:val="none" w:sz="0" w:space="0" w:color="auto"/>
      </w:divBdr>
    </w:div>
    <w:div w:id="1726446587">
      <w:bodyDiv w:val="1"/>
      <w:marLeft w:val="0"/>
      <w:marRight w:val="0"/>
      <w:marTop w:val="0"/>
      <w:marBottom w:val="0"/>
      <w:divBdr>
        <w:top w:val="none" w:sz="0" w:space="0" w:color="auto"/>
        <w:left w:val="none" w:sz="0" w:space="0" w:color="auto"/>
        <w:bottom w:val="none" w:sz="0" w:space="0" w:color="auto"/>
        <w:right w:val="none" w:sz="0" w:space="0" w:color="auto"/>
      </w:divBdr>
    </w:div>
    <w:div w:id="1825047126">
      <w:bodyDiv w:val="1"/>
      <w:marLeft w:val="0"/>
      <w:marRight w:val="0"/>
      <w:marTop w:val="0"/>
      <w:marBottom w:val="0"/>
      <w:divBdr>
        <w:top w:val="none" w:sz="0" w:space="0" w:color="auto"/>
        <w:left w:val="none" w:sz="0" w:space="0" w:color="auto"/>
        <w:bottom w:val="none" w:sz="0" w:space="0" w:color="auto"/>
        <w:right w:val="none" w:sz="0" w:space="0" w:color="auto"/>
      </w:divBdr>
    </w:div>
    <w:div w:id="1927105837">
      <w:bodyDiv w:val="1"/>
      <w:marLeft w:val="0"/>
      <w:marRight w:val="0"/>
      <w:marTop w:val="0"/>
      <w:marBottom w:val="0"/>
      <w:divBdr>
        <w:top w:val="none" w:sz="0" w:space="0" w:color="auto"/>
        <w:left w:val="none" w:sz="0" w:space="0" w:color="auto"/>
        <w:bottom w:val="none" w:sz="0" w:space="0" w:color="auto"/>
        <w:right w:val="none" w:sz="0" w:space="0" w:color="auto"/>
      </w:divBdr>
    </w:div>
    <w:div w:id="2017078469">
      <w:bodyDiv w:val="1"/>
      <w:marLeft w:val="0"/>
      <w:marRight w:val="0"/>
      <w:marTop w:val="0"/>
      <w:marBottom w:val="0"/>
      <w:divBdr>
        <w:top w:val="none" w:sz="0" w:space="0" w:color="auto"/>
        <w:left w:val="none" w:sz="0" w:space="0" w:color="auto"/>
        <w:bottom w:val="none" w:sz="0" w:space="0" w:color="auto"/>
        <w:right w:val="none" w:sz="0" w:space="0" w:color="auto"/>
      </w:divBdr>
    </w:div>
    <w:div w:id="2032140463">
      <w:bodyDiv w:val="1"/>
      <w:marLeft w:val="0"/>
      <w:marRight w:val="0"/>
      <w:marTop w:val="0"/>
      <w:marBottom w:val="0"/>
      <w:divBdr>
        <w:top w:val="none" w:sz="0" w:space="0" w:color="auto"/>
        <w:left w:val="none" w:sz="0" w:space="0" w:color="auto"/>
        <w:bottom w:val="none" w:sz="0" w:space="0" w:color="auto"/>
        <w:right w:val="none" w:sz="0" w:space="0" w:color="auto"/>
      </w:divBdr>
      <w:divsChild>
        <w:div w:id="917834653">
          <w:marLeft w:val="0"/>
          <w:marRight w:val="0"/>
          <w:marTop w:val="0"/>
          <w:marBottom w:val="0"/>
          <w:divBdr>
            <w:top w:val="none" w:sz="0" w:space="0" w:color="auto"/>
            <w:left w:val="none" w:sz="0" w:space="0" w:color="auto"/>
            <w:bottom w:val="none" w:sz="0" w:space="0" w:color="auto"/>
            <w:right w:val="none" w:sz="0" w:space="0" w:color="auto"/>
          </w:divBdr>
        </w:div>
      </w:divsChild>
    </w:div>
    <w:div w:id="2073656880">
      <w:bodyDiv w:val="1"/>
      <w:marLeft w:val="0"/>
      <w:marRight w:val="0"/>
      <w:marTop w:val="0"/>
      <w:marBottom w:val="0"/>
      <w:divBdr>
        <w:top w:val="none" w:sz="0" w:space="0" w:color="auto"/>
        <w:left w:val="none" w:sz="0" w:space="0" w:color="auto"/>
        <w:bottom w:val="none" w:sz="0" w:space="0" w:color="auto"/>
        <w:right w:val="none" w:sz="0" w:space="0" w:color="auto"/>
      </w:divBdr>
    </w:div>
    <w:div w:id="2097708188">
      <w:bodyDiv w:val="1"/>
      <w:marLeft w:val="0"/>
      <w:marRight w:val="0"/>
      <w:marTop w:val="0"/>
      <w:marBottom w:val="0"/>
      <w:divBdr>
        <w:top w:val="none" w:sz="0" w:space="0" w:color="auto"/>
        <w:left w:val="none" w:sz="0" w:space="0" w:color="auto"/>
        <w:bottom w:val="none" w:sz="0" w:space="0" w:color="auto"/>
        <w:right w:val="none" w:sz="0" w:space="0" w:color="auto"/>
      </w:divBdr>
    </w:div>
    <w:div w:id="210811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image" Target="media/image9.png"/><Relationship Id="rId39" Type="http://schemas.openxmlformats.org/officeDocument/2006/relationships/hyperlink" Target="https://dgm.gob.do/" TargetMode="External"/><Relationship Id="rId21" Type="http://schemas.openxmlformats.org/officeDocument/2006/relationships/image" Target="media/image8.png"/><Relationship Id="rId34" Type="http://schemas.openxmlformats.org/officeDocument/2006/relationships/chart" Target="charts/chart6.xml"/><Relationship Id="rId42" Type="http://schemas.openxmlformats.org/officeDocument/2006/relationships/chart" Target="charts/chart8.xml"/><Relationship Id="rId47" Type="http://schemas.openxmlformats.org/officeDocument/2006/relationships/chart" Target="charts/chart10.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12.svg"/><Relationship Id="rId11" Type="http://schemas.openxmlformats.org/officeDocument/2006/relationships/image" Target="media/image1.png"/><Relationship Id="rId24" Type="http://schemas.openxmlformats.org/officeDocument/2006/relationships/footer" Target="footer4.xml"/><Relationship Id="rId32" Type="http://schemas.openxmlformats.org/officeDocument/2006/relationships/chart" Target="charts/chart4.xml"/><Relationship Id="rId37" Type="http://schemas.openxmlformats.org/officeDocument/2006/relationships/image" Target="media/image16.png"/><Relationship Id="rId40" Type="http://schemas.openxmlformats.org/officeDocument/2006/relationships/hyperlink" Target="https://museosrd.gob.do/" TargetMode="External"/><Relationship Id="rId45" Type="http://schemas.openxmlformats.org/officeDocument/2006/relationships/chart" Target="charts/chart9.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hart" Target="charts/chart2.xml"/><Relationship Id="rId28" Type="http://schemas.openxmlformats.org/officeDocument/2006/relationships/image" Target="media/image11.png"/><Relationship Id="rId36" Type="http://schemas.openxmlformats.org/officeDocument/2006/relationships/image" Target="media/image15.sv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1.xml"/><Relationship Id="rId27" Type="http://schemas.openxmlformats.org/officeDocument/2006/relationships/image" Target="media/image10.svg"/><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header" Target="header2.xml"/><Relationship Id="rId48" Type="http://schemas.openxmlformats.org/officeDocument/2006/relationships/chart" Target="charts/chart1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3.xml"/><Relationship Id="rId33" Type="http://schemas.openxmlformats.org/officeDocument/2006/relationships/chart" Target="charts/chart5.xml"/><Relationship Id="rId38" Type="http://schemas.openxmlformats.org/officeDocument/2006/relationships/image" Target="media/image17.svg"/><Relationship Id="rId46" Type="http://schemas.openxmlformats.org/officeDocument/2006/relationships/hyperlink" Target="mailto:info@dgm.gob.do" TargetMode="External"/><Relationship Id="rId20" Type="http://schemas.openxmlformats.org/officeDocument/2006/relationships/image" Target="media/image7.png"/><Relationship Id="rId4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1.bin"/></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museodeartemoderno.sharepoint.com/sites/Monitoreo/Documentos%20compartidos/MEMORIAS/2025/Gr&#225;ficos%20-2025%20(Borrador).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elizabeth.canario.DGM\Documents\OneDrive_2024-05-24%20(1)\DIRECCION%20GENERAL%20DE%20MUSEOS\PROCESO%20ELABORACION%20DE%20MEMORIA\MEMORIA%20ANUAL%202025\MISIONALES\Tablas%20y%20graficos.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Eliza\OneDrive\Documents\DIRECCION%20GENERAL%20DE%20MUSEOS\MEMORIAS-DGM-2025\Tablas%20y%20graficos.xlsx" TargetMode="External"/></Relationships>
</file>

<file path=word/charts/_rels/chart8.xml.rels><?xml version="1.0" encoding="UTF-8" standalone="yes"?>
<Relationships xmlns="http://schemas.openxmlformats.org/package/2006/relationships"><Relationship Id="rId2" Type="http://schemas.openxmlformats.org/officeDocument/2006/relationships/oleObject" Target="file:///C:\Users\Eliza\OneDrive\Documents\DIRECCION%20GENERAL%20DE%20MUSEOS\MEMORIAS-DGM-2025\Tablas%20y%20graficos.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elizabeth.canario.DGM\Documents\OneDrive_2024-05-24%20(1)\DIRECCION%20GENERAL%20DE%20MUSEOS\PROCESO%20ELABORACION%20DE%20MEMORIA\MEMORIA%20ANUAL%202025\MISIONALES\Tablas%20y%20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solidFill>
                  <a:schemeClr val="tx1">
                    <a:lumMod val="65000"/>
                    <a:lumOff val="35000"/>
                  </a:schemeClr>
                </a:solidFill>
                <a:latin typeface="Times New Roman" panose="02020603050405020304" pitchFamily="18" charset="0"/>
                <a:cs typeface="Times New Roman" panose="02020603050405020304" pitchFamily="18" charset="0"/>
              </a:rPr>
              <a:t>Avance en el Registro y Digitalización de Bienes de las</a:t>
            </a:r>
            <a:r>
              <a:rPr lang="en-US" sz="1100" b="1" baseline="0">
                <a:solidFill>
                  <a:schemeClr val="tx1">
                    <a:lumMod val="65000"/>
                    <a:lumOff val="35000"/>
                  </a:schemeClr>
                </a:solidFill>
                <a:latin typeface="Times New Roman" panose="02020603050405020304" pitchFamily="18" charset="0"/>
                <a:cs typeface="Times New Roman" panose="02020603050405020304" pitchFamily="18" charset="0"/>
              </a:rPr>
              <a:t> Colecciones Permanente - </a:t>
            </a:r>
            <a:r>
              <a:rPr lang="en-US" sz="1100" b="1">
                <a:solidFill>
                  <a:schemeClr val="tx1">
                    <a:lumMod val="65000"/>
                    <a:lumOff val="35000"/>
                  </a:schemeClr>
                </a:solidFill>
                <a:latin typeface="Times New Roman" panose="02020603050405020304" pitchFamily="18" charset="0"/>
                <a:cs typeface="Times New Roman" panose="02020603050405020304" pitchFamily="18" charset="0"/>
              </a:rPr>
              <a:t>al</a:t>
            </a:r>
            <a:r>
              <a:rPr lang="en-US" sz="1100" b="1" baseline="0">
                <a:solidFill>
                  <a:schemeClr val="tx1">
                    <a:lumMod val="65000"/>
                    <a:lumOff val="35000"/>
                  </a:schemeClr>
                </a:solidFill>
                <a:latin typeface="Times New Roman" panose="02020603050405020304" pitchFamily="18" charset="0"/>
                <a:cs typeface="Times New Roman" panose="02020603050405020304" pitchFamily="18" charset="0"/>
              </a:rPr>
              <a:t> 15 de diciembre de 2025</a:t>
            </a:r>
            <a:endParaRPr lang="en-US" sz="1100" b="1">
              <a:solidFill>
                <a:schemeClr val="tx1">
                  <a:lumMod val="65000"/>
                  <a:lumOff val="35000"/>
                </a:schemeClr>
              </a:solidFill>
              <a:latin typeface="Times New Roman" panose="02020603050405020304" pitchFamily="18" charset="0"/>
              <a:cs typeface="Times New Roman" panose="02020603050405020304" pitchFamily="18" charset="0"/>
            </a:endParaRPr>
          </a:p>
        </c:rich>
      </c:tx>
      <c:layout>
        <c:manualLayout>
          <c:xMode val="edge"/>
          <c:yMode val="edge"/>
          <c:x val="9.4717782020734387E-2"/>
          <c:y val="2.4989243147885202E-2"/>
        </c:manualLayout>
      </c:layout>
      <c:overlay val="0"/>
      <c:spPr>
        <a:noFill/>
        <a:ln>
          <a:noFill/>
        </a:ln>
        <a:effectLst/>
      </c:spPr>
      <c:txPr>
        <a:bodyPr rot="0" spcFirstLastPara="1" vertOverflow="ellipsis" vert="horz" wrap="square" anchor="ctr" anchorCtr="1"/>
        <a:lstStyle/>
        <a:p>
          <a:pPr algn="ct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7363462331183757"/>
          <c:y val="0.21215158583831614"/>
          <c:w val="0.62709985397788004"/>
          <c:h val="0.78784841416168383"/>
        </c:manualLayout>
      </c:layout>
      <c:pie3DChart>
        <c:varyColors val="1"/>
        <c:ser>
          <c:idx val="0"/>
          <c:order val="0"/>
          <c:dPt>
            <c:idx val="0"/>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64B-4F60-B10B-CDBF70B4EDC3}"/>
              </c:ext>
            </c:extLst>
          </c:dPt>
          <c:dPt>
            <c:idx val="1"/>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3-A64B-4F60-B10B-CDBF70B4EDC3}"/>
              </c:ext>
            </c:extLst>
          </c:dPt>
          <c:dLbls>
            <c:dLbl>
              <c:idx val="0"/>
              <c:layout>
                <c:manualLayout>
                  <c:x val="-8.6219814501590789E-2"/>
                  <c:y val="-0.2436056108508293"/>
                </c:manualLayout>
              </c:layout>
              <c:tx>
                <c:rich>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211D18FF-4983-4A02-88E1-CE72ED237B75}" type="CATEGORYNAME">
                      <a:rPr lang="en-US" sz="1100" b="1">
                        <a:solidFill>
                          <a:schemeClr val="bg1"/>
                        </a:solidFill>
                      </a:rPr>
                      <a:pPr>
                        <a:defRPr sz="1100" b="1">
                          <a:solidFill>
                            <a:schemeClr val="bg1"/>
                          </a:solidFill>
                          <a:latin typeface="Times New Roman" panose="02020603050405020304" pitchFamily="18" charset="0"/>
                          <a:cs typeface="Times New Roman" panose="02020603050405020304" pitchFamily="18" charset="0"/>
                        </a:defRPr>
                      </a:pPr>
                      <a:t>[NOMBRE DE CATEGORÍA]</a:t>
                    </a:fld>
                    <a:r>
                      <a:rPr lang="en-US" sz="1100" b="1" baseline="0">
                        <a:solidFill>
                          <a:schemeClr val="bg1"/>
                        </a:solidFill>
                      </a:rPr>
                      <a:t>
20,448
98%</a:t>
                    </a:r>
                  </a:p>
                </c:rich>
              </c:tx>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A64B-4F60-B10B-CDBF70B4EDC3}"/>
                </c:ext>
              </c:extLst>
            </c:dLbl>
            <c:dLbl>
              <c:idx val="1"/>
              <c:layout>
                <c:manualLayout>
                  <c:x val="-0.12349045937325709"/>
                  <c:y val="0.2039363860775629"/>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fld id="{35EF3F60-E8AE-4CCE-985C-F1BE94C8EB9D}" type="CATEGORYNAME">
                      <a:rPr lang="en-US" sz="1100" b="0">
                        <a:solidFill>
                          <a:schemeClr val="tx1">
                            <a:lumMod val="65000"/>
                            <a:lumOff val="35000"/>
                          </a:schemeClr>
                        </a:solidFill>
                      </a:rPr>
                      <a:pPr>
                        <a:defRPr sz="1100">
                          <a:solidFill>
                            <a:schemeClr val="tx1">
                              <a:lumMod val="65000"/>
                              <a:lumOff val="35000"/>
                            </a:schemeClr>
                          </a:solidFill>
                          <a:latin typeface="Times New Roman" panose="02020603050405020304" pitchFamily="18" charset="0"/>
                          <a:cs typeface="Times New Roman" panose="02020603050405020304" pitchFamily="18" charset="0"/>
                        </a:defRPr>
                      </a:pPr>
                      <a:t>[NOMBRE DE CATEGORÍA]</a:t>
                    </a:fld>
                    <a:r>
                      <a:rPr lang="en-US" sz="1100" b="0" baseline="0">
                        <a:solidFill>
                          <a:schemeClr val="tx1">
                            <a:lumMod val="65000"/>
                            <a:lumOff val="35000"/>
                          </a:schemeClr>
                        </a:solidFill>
                      </a:rPr>
                      <a:t>
437
2%</a:t>
                    </a:r>
                  </a:p>
                </c:rich>
              </c:tx>
              <c:spPr>
                <a:noFill/>
                <a:ln>
                  <a:noFill/>
                </a:ln>
                <a:effectLst/>
              </c:spPr>
              <c:txPr>
                <a:bodyPr rot="0" spcFirstLastPara="1" vertOverflow="ellipsis" vert="horz" wrap="square" lIns="38100" tIns="19050" rIns="38100" bIns="19050" anchor="ctr" anchorCtr="1">
                  <a:noAutofit/>
                </a:bodyPr>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1"/>
              <c:showBubbleSize val="0"/>
              <c:separator>
</c:separator>
              <c:extLst>
                <c:ext xmlns:c15="http://schemas.microsoft.com/office/drawing/2012/chart" uri="{CE6537A1-D6FC-4f65-9D91-7224C49458BB}">
                  <c15:layout>
                    <c:manualLayout>
                      <c:w val="0.27363811666398841"/>
                      <c:h val="0.21933259312831691"/>
                    </c:manualLayout>
                  </c15:layout>
                  <c15:dlblFieldTable/>
                  <c15:showDataLabelsRange val="0"/>
                </c:ext>
                <c:ext xmlns:c16="http://schemas.microsoft.com/office/drawing/2014/chart" uri="{C3380CC4-5D6E-409C-BE32-E72D297353CC}">
                  <c16:uniqueId val="{00000003-A64B-4F60-B10B-CDBF70B4EDC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varios!$N$23:$N$24</c:f>
              <c:strCache>
                <c:ptCount val="2"/>
                <c:pt idx="0">
                  <c:v>Digitalizados</c:v>
                </c:pt>
                <c:pt idx="1">
                  <c:v>Por digitalizar</c:v>
                </c:pt>
              </c:strCache>
            </c:strRef>
          </c:cat>
          <c:val>
            <c:numRef>
              <c:f>varios!$O$23:$O$24</c:f>
              <c:numCache>
                <c:formatCode>#,##0</c:formatCode>
                <c:ptCount val="2"/>
                <c:pt idx="0">
                  <c:v>19262</c:v>
                </c:pt>
                <c:pt idx="1">
                  <c:v>1616</c:v>
                </c:pt>
              </c:numCache>
            </c:numRef>
          </c:val>
          <c:extLst>
            <c:ext xmlns:c16="http://schemas.microsoft.com/office/drawing/2014/chart" uri="{C3380CC4-5D6E-409C-BE32-E72D297353CC}">
              <c16:uniqueId val="{00000004-A64B-4F60-B10B-CDBF70B4EDC3}"/>
            </c:ext>
          </c:extLst>
        </c:ser>
        <c:dLbls>
          <c:showLegendKey val="0"/>
          <c:showVal val="1"/>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Servicios Ofrecidos por la OAI</a:t>
            </a: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Enero-diciembre 2025</a:t>
            </a:r>
          </a:p>
        </c:rich>
      </c:tx>
      <c:overlay val="0"/>
      <c:spPr>
        <a:noFill/>
        <a:ln>
          <a:noFill/>
        </a:ln>
        <a:effectLst/>
      </c:spPr>
      <c:txPr>
        <a:bodyPr rot="0" spcFirstLastPara="1" vertOverflow="ellipsis" vert="horz" wrap="square" anchor="ctr" anchorCtr="1"/>
        <a:lstStyle/>
        <a:p>
          <a:pPr>
            <a:defRPr lang="en-US" sz="1200" b="0" i="0" u="none" strike="noStrike" kern="1200" spc="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9175564705301701"/>
          <c:y val="0.18595667965746701"/>
          <c:w val="0.54274054398903604"/>
          <c:h val="0.72685207278383102"/>
        </c:manualLayout>
      </c:layout>
      <c:pieChart>
        <c:varyColors val="1"/>
        <c:ser>
          <c:idx val="0"/>
          <c:order val="0"/>
          <c:tx>
            <c:strRef>
              <c:f>Hoja2!$C$4</c:f>
              <c:strCache>
                <c:ptCount val="1"/>
                <c:pt idx="0">
                  <c:v>Totales</c:v>
                </c:pt>
              </c:strCache>
            </c:strRef>
          </c:tx>
          <c:dPt>
            <c:idx val="0"/>
            <c:bubble3D val="0"/>
            <c:spPr>
              <a:solidFill>
                <a:schemeClr val="accent5">
                  <a:lumMod val="75000"/>
                </a:schemeClr>
              </a:solidFill>
              <a:ln w="19050">
                <a:solidFill>
                  <a:schemeClr val="lt1"/>
                </a:solidFill>
              </a:ln>
              <a:effectLst/>
            </c:spPr>
            <c:extLst>
              <c:ext xmlns:c16="http://schemas.microsoft.com/office/drawing/2014/chart" uri="{C3380CC4-5D6E-409C-BE32-E72D297353CC}">
                <c16:uniqueId val="{00000001-D6A4-490E-B259-5D04BCC59B93}"/>
              </c:ext>
            </c:extLst>
          </c:dPt>
          <c:dPt>
            <c:idx val="1"/>
            <c:bubble3D val="0"/>
            <c:spPr>
              <a:solidFill>
                <a:schemeClr val="accent5">
                  <a:lumMod val="60000"/>
                  <a:lumOff val="40000"/>
                </a:schemeClr>
              </a:solidFill>
              <a:ln w="19050">
                <a:solidFill>
                  <a:schemeClr val="lt1"/>
                </a:solidFill>
              </a:ln>
              <a:effectLst/>
            </c:spPr>
            <c:extLst>
              <c:ext xmlns:c16="http://schemas.microsoft.com/office/drawing/2014/chart" uri="{C3380CC4-5D6E-409C-BE32-E72D297353CC}">
                <c16:uniqueId val="{00000003-D6A4-490E-B259-5D04BCC59B93}"/>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D6A4-490E-B259-5D04BCC59B93}"/>
              </c:ext>
            </c:extLst>
          </c:dPt>
          <c:dPt>
            <c:idx val="3"/>
            <c:bubble3D val="0"/>
            <c:spPr>
              <a:solidFill>
                <a:schemeClr val="accent1"/>
              </a:solidFill>
              <a:ln w="19050">
                <a:solidFill>
                  <a:schemeClr val="lt1"/>
                </a:solidFill>
              </a:ln>
              <a:effectLst/>
            </c:spPr>
            <c:extLst>
              <c:ext xmlns:c16="http://schemas.microsoft.com/office/drawing/2014/chart" uri="{C3380CC4-5D6E-409C-BE32-E72D297353CC}">
                <c16:uniqueId val="{00000007-D6A4-490E-B259-5D04BCC59B9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6A4-490E-B259-5D04BCC59B9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6A4-490E-B259-5D04BCC59B93}"/>
              </c:ext>
            </c:extLst>
          </c:dPt>
          <c:dLbls>
            <c:dLbl>
              <c:idx val="0"/>
              <c:layout>
                <c:manualLayout>
                  <c:x val="-8.3310897549797036E-3"/>
                  <c:y val="-0.19780714018779513"/>
                </c:manualLayout>
              </c:layout>
              <c:spPr>
                <a:xfrm>
                  <a:off x="180492" y="1277949"/>
                  <a:ext cx="761375" cy="843395"/>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lang="en-US" sz="800" b="0" i="0" u="none" strike="noStrike" kern="1200" baseline="0">
                      <a:ln>
                        <a:noFill/>
                      </a:ln>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56104"/>
                        <a:gd name="adj2" fmla="val 101673"/>
                        <a:gd name="adj3" fmla="val 111111"/>
                        <a:gd name="adj4" fmla="val 113912"/>
                      </a:avLst>
                    </a:prstGeom>
                    <a:noFill/>
                    <a:ln>
                      <a:noFill/>
                    </a:ln>
                  </c15:spPr>
                  <c15:layout>
                    <c:manualLayout>
                      <c:w val="0.14465150535652241"/>
                      <c:h val="0.18389995060773395"/>
                    </c:manualLayout>
                  </c15:layout>
                </c:ext>
                <c:ext xmlns:c16="http://schemas.microsoft.com/office/drawing/2014/chart" uri="{C3380CC4-5D6E-409C-BE32-E72D297353CC}">
                  <c16:uniqueId val="{00000001-D6A4-490E-B259-5D04BCC59B93}"/>
                </c:ext>
              </c:extLst>
            </c:dLbl>
            <c:dLbl>
              <c:idx val="1"/>
              <c:layout>
                <c:manualLayout>
                  <c:x val="3.0707109797203164E-2"/>
                  <c:y val="-5.9787280695589598E-2"/>
                </c:manualLayout>
              </c:layout>
              <c:spPr>
                <a:xfrm>
                  <a:off x="4043328" y="1000548"/>
                  <a:ext cx="949744" cy="482924"/>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lang="en-US" sz="800" b="0" i="0" u="none" strike="noStrike" kern="1200" baseline="0">
                      <a:ln>
                        <a:noFill/>
                      </a:ln>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52872"/>
                        <a:gd name="adj2" fmla="val -6989"/>
                        <a:gd name="adj3" fmla="val 100687"/>
                        <a:gd name="adj4" fmla="val -30545"/>
                      </a:avLst>
                    </a:prstGeom>
                    <a:noFill/>
                    <a:ln>
                      <a:noFill/>
                    </a:ln>
                  </c15:spPr>
                  <c15:layout>
                    <c:manualLayout>
                      <c:w val="0.17336969686606762"/>
                      <c:h val="0.13575712594505177"/>
                    </c:manualLayout>
                  </c15:layout>
                </c:ext>
                <c:ext xmlns:c16="http://schemas.microsoft.com/office/drawing/2014/chart" uri="{C3380CC4-5D6E-409C-BE32-E72D297353CC}">
                  <c16:uniqueId val="{00000003-D6A4-490E-B259-5D04BCC59B93}"/>
                </c:ext>
              </c:extLst>
            </c:dLbl>
            <c:dLbl>
              <c:idx val="2"/>
              <c:layout>
                <c:manualLayout>
                  <c:x val="3.1104528429792486E-2"/>
                  <c:y val="-3.3185330758315076E-2"/>
                </c:manualLayout>
              </c:layout>
              <c:spPr>
                <a:xfrm>
                  <a:off x="4072356" y="1726283"/>
                  <a:ext cx="686982" cy="297856"/>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lang="en-US" sz="800" b="0" i="0" u="none" strike="noStrike" kern="1200" baseline="0">
                      <a:ln>
                        <a:noFill/>
                      </a:ln>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50957"/>
                        <a:gd name="adj2" fmla="val -3515"/>
                        <a:gd name="adj3" fmla="val 78382"/>
                        <a:gd name="adj4" fmla="val -33738"/>
                      </a:avLst>
                    </a:prstGeom>
                    <a:noFill/>
                    <a:ln>
                      <a:noFill/>
                    </a:ln>
                  </c15:spPr>
                  <c15:layout>
                    <c:manualLayout>
                      <c:w val="0.12540429959948901"/>
                      <c:h val="8.3731665894704294E-2"/>
                    </c:manualLayout>
                  </c15:layout>
                </c:ext>
                <c:ext xmlns:c16="http://schemas.microsoft.com/office/drawing/2014/chart" uri="{C3380CC4-5D6E-409C-BE32-E72D297353CC}">
                  <c16:uniqueId val="{00000005-D6A4-490E-B259-5D04BCC59B93}"/>
                </c:ext>
              </c:extLst>
            </c:dLbl>
            <c:dLbl>
              <c:idx val="3"/>
              <c:layout>
                <c:manualLayout>
                  <c:x val="2.9694175674429855E-2"/>
                  <c:y val="6.2276830265906157E-2"/>
                </c:manualLayout>
              </c:layout>
              <c:spPr>
                <a:xfrm>
                  <a:off x="4044298" y="2176424"/>
                  <a:ext cx="1089355" cy="633176"/>
                </a:xfrm>
                <a:solidFill>
                  <a:sysClr val="window" lastClr="FFFFFF"/>
                </a:solidFill>
                <a:ln w="9525" cap="flat" cmpd="sng" algn="ctr">
                  <a:solidFill>
                    <a:sysClr val="windowText" lastClr="000000">
                      <a:lumMod val="25000"/>
                      <a:lumOff val="7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c:spPr>
              <c:txPr>
                <a:bodyPr rot="0" spcFirstLastPara="1" vertOverflow="clip" horzOverflow="clip" vert="horz" wrap="square" lIns="36576" tIns="18288" rIns="36576" bIns="18288" anchor="ctr" anchorCtr="1">
                  <a:spAutoFit/>
                </a:bodyPr>
                <a:lstStyle/>
                <a:p>
                  <a:pPr>
                    <a:defRPr lang="en-US" sz="800" b="0" i="0" u="none" strike="noStrike" kern="1200" baseline="0">
                      <a:ln>
                        <a:noFill/>
                      </a:ln>
                      <a:solidFill>
                        <a:schemeClr val="dk1">
                          <a:lumMod val="65000"/>
                          <a:lumOff val="35000"/>
                        </a:schemeClr>
                      </a:solidFill>
                      <a:latin typeface="+mn-lt"/>
                      <a:ea typeface="+mn-ea"/>
                      <a:cs typeface="+mn-cs"/>
                    </a:defRPr>
                  </a:pPr>
                  <a:endParaRPr lang="en-US"/>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borderCallout1">
                      <a:avLst>
                        <a:gd name="adj1" fmla="val 40014"/>
                        <a:gd name="adj2" fmla="val -4728"/>
                        <a:gd name="adj3" fmla="val 3768"/>
                        <a:gd name="adj4" fmla="val -21852"/>
                      </a:avLst>
                    </a:prstGeom>
                    <a:noFill/>
                    <a:ln>
                      <a:noFill/>
                    </a:ln>
                  </c15:spPr>
                  <c15:layout>
                    <c:manualLayout>
                      <c:w val="0.19885475770468974"/>
                      <c:h val="0.17799509213356296"/>
                    </c:manualLayout>
                  </c15:layout>
                </c:ext>
                <c:ext xmlns:c16="http://schemas.microsoft.com/office/drawing/2014/chart" uri="{C3380CC4-5D6E-409C-BE32-E72D297353CC}">
                  <c16:uniqueId val="{00000007-D6A4-490E-B259-5D04BCC59B93}"/>
                </c:ext>
              </c:extLst>
            </c:dLbl>
            <c:dLbl>
              <c:idx val="4"/>
              <c:delete val="1"/>
              <c:extLst>
                <c:ext xmlns:c15="http://schemas.microsoft.com/office/drawing/2012/chart" uri="{CE6537A1-D6FC-4f65-9D91-7224C49458BB}"/>
                <c:ext xmlns:c16="http://schemas.microsoft.com/office/drawing/2014/chart" uri="{C3380CC4-5D6E-409C-BE32-E72D297353CC}">
                  <c16:uniqueId val="{00000009-D6A4-490E-B259-5D04BCC59B93}"/>
                </c:ext>
              </c:extLst>
            </c:dLbl>
            <c:dLbl>
              <c:idx val="5"/>
              <c:delete val="1"/>
              <c:extLst>
                <c:ext xmlns:c15="http://schemas.microsoft.com/office/drawing/2012/chart" uri="{CE6537A1-D6FC-4f65-9D91-7224C49458BB}"/>
                <c:ext xmlns:c16="http://schemas.microsoft.com/office/drawing/2014/chart" uri="{C3380CC4-5D6E-409C-BE32-E72D297353CC}">
                  <c16:uniqueId val="{0000000B-D6A4-490E-B259-5D04BCC59B93}"/>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lang="en-US" sz="900" b="0" i="0" u="none" strike="noStrike" kern="1200" baseline="0">
                    <a:ln>
                      <a:noFill/>
                    </a:ln>
                    <a:solidFill>
                      <a:schemeClr val="dk1">
                        <a:lumMod val="65000"/>
                        <a:lumOff val="35000"/>
                      </a:schemeClr>
                    </a:solidFill>
                    <a:latin typeface="+mn-lt"/>
                    <a:ea typeface="+mn-ea"/>
                    <a:cs typeface="+mn-cs"/>
                  </a:defRPr>
                </a:pPr>
                <a:endParaRPr lang="en-US"/>
              </a:p>
            </c:txPr>
            <c:dLblPos val="bestFit"/>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borderCallout1">
                    <a:avLst/>
                  </a:prstGeom>
                  <a:noFill/>
                  <a:ln>
                    <a:noFill/>
                  </a:ln>
                </c15:spPr>
              </c:ext>
            </c:extLst>
          </c:dLbls>
          <c:cat>
            <c:strRef>
              <c:f>Hoja2!$B$5:$B$10</c:f>
              <c:strCache>
                <c:ptCount val="6"/>
                <c:pt idx="0">
                  <c:v>Servicios ofrecidos por los museos</c:v>
                </c:pt>
                <c:pt idx="1">
                  <c:v>Solicitudes de empleo/Pasantías </c:v>
                </c:pt>
                <c:pt idx="2">
                  <c:v>Invitaciones </c:v>
                </c:pt>
                <c:pt idx="3">
                  <c:v>Sistema Único de Acceso a la Información Pública (SAIP)</c:v>
                </c:pt>
                <c:pt idx="4">
                  <c:v>Compras y Contrataciones </c:v>
                </c:pt>
                <c:pt idx="5">
                  <c:v>Sugerencias y Quejas </c:v>
                </c:pt>
              </c:strCache>
            </c:strRef>
          </c:cat>
          <c:val>
            <c:numRef>
              <c:f>Hoja2!$C$5:$C$10</c:f>
              <c:numCache>
                <c:formatCode>General</c:formatCode>
                <c:ptCount val="6"/>
                <c:pt idx="0">
                  <c:v>415</c:v>
                </c:pt>
                <c:pt idx="1">
                  <c:v>35</c:v>
                </c:pt>
                <c:pt idx="2">
                  <c:v>17</c:v>
                </c:pt>
                <c:pt idx="3">
                  <c:v>8</c:v>
                </c:pt>
                <c:pt idx="4">
                  <c:v>0</c:v>
                </c:pt>
                <c:pt idx="5">
                  <c:v>0</c:v>
                </c:pt>
              </c:numCache>
            </c:numRef>
          </c:val>
          <c:extLst>
            <c:ext xmlns:c16="http://schemas.microsoft.com/office/drawing/2014/chart" uri="{C3380CC4-5D6E-409C-BE32-E72D297353CC}">
              <c16:uniqueId val="{0000000C-D6A4-490E-B259-5D04BCC59B93}"/>
            </c:ext>
          </c:extLst>
        </c:ser>
        <c:dLbls>
          <c:showLegendKey val="0"/>
          <c:showVal val="0"/>
          <c:showCatName val="0"/>
          <c:showSerName val="0"/>
          <c:showPercent val="0"/>
          <c:showBubbleSize val="0"/>
          <c:showLeaderLines val="1"/>
        </c:dLbls>
        <c:firstSliceAng val="104"/>
      </c:pieChart>
      <c:spPr>
        <a:noFill/>
        <a:ln>
          <a:noFill/>
        </a:ln>
        <a:effectLst/>
      </c:spPr>
    </c:plotArea>
    <c:plotVisOnly val="1"/>
    <c:dispBlanksAs val="gap"/>
    <c:showDLblsOverMax val="0"/>
    <c:extLst>
      <c:ext uri="{0b15fc19-7d7d-44ad-8c2d-2c3a37ce22c3}">
        <chartProps xmlns="https://web.wps.cn/et/2018/main" chartId="{0ff39845-9f4f-405c-b004-c09f9e5cb853}"/>
      </c:ext>
    </c:extLst>
  </c:chart>
  <c:spPr>
    <a:solidFill>
      <a:schemeClr val="bg1"/>
    </a:solidFill>
    <a:ln w="9525" cap="flat" cmpd="sng" algn="ctr">
      <a:solidFill>
        <a:schemeClr val="bg2">
          <a:lumMod val="50000"/>
        </a:schemeClr>
      </a:solidFill>
      <a:round/>
    </a:ln>
    <a:effectLst/>
  </c:spPr>
  <c:txPr>
    <a:bodyPr/>
    <a:lstStyle/>
    <a:p>
      <a:pPr>
        <a:defRPr lang="en-US">
          <a:ln>
            <a:noFill/>
          </a:ln>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Puntiacion Portal de</a:t>
            </a:r>
            <a:r>
              <a:rPr lang="en-US" sz="1200" baseline="0">
                <a:latin typeface="Times New Roman" panose="02020603050405020304" pitchFamily="18" charset="0"/>
                <a:cs typeface="Times New Roman" panose="02020603050405020304" pitchFamily="18" charset="0"/>
              </a:rPr>
              <a:t> Transparencia</a:t>
            </a:r>
            <a:endParaRPr lang="en-US" sz="1200">
              <a:latin typeface="Times New Roman" panose="02020603050405020304" pitchFamily="18" charset="0"/>
              <a:cs typeface="Times New Roman" panose="02020603050405020304" pitchFamily="18" charset="0"/>
            </a:endParaRP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Enero-Diciembre 2025 </a:t>
            </a:r>
          </a:p>
        </c:rich>
      </c:tx>
      <c:layout>
        <c:manualLayout>
          <c:xMode val="edge"/>
          <c:yMode val="edge"/>
          <c:x val="0.28923439050770383"/>
          <c:y val="3.618853198905692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4.9402238817064188E-2"/>
                  <c:y val="-5.0940862455707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54-4220-ACAB-5C307A63CB6C}"/>
                </c:ext>
              </c:extLst>
            </c:dLbl>
            <c:dLbl>
              <c:idx val="3"/>
              <c:layout>
                <c:manualLayout>
                  <c:x val="-4.9402238817064167E-2"/>
                  <c:y val="-5.09408624557075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54-4220-ACAB-5C307A63CB6C}"/>
                </c:ext>
              </c:extLst>
            </c:dLbl>
            <c:dLbl>
              <c:idx val="5"/>
              <c:layout>
                <c:manualLayout>
                  <c:x val="-4.6884932334999976E-2"/>
                  <c:y val="-5.09408624557075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554-4220-ACAB-5C307A63CB6C}"/>
                </c:ext>
              </c:extLst>
            </c:dLbl>
            <c:dLbl>
              <c:idx val="7"/>
              <c:layout>
                <c:manualLayout>
                  <c:x val="-4.6884932334999976E-2"/>
                  <c:y val="-4.6236087108730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54-4220-ACAB-5C307A63CB6C}"/>
                </c:ext>
              </c:extLst>
            </c:dLbl>
            <c:dLbl>
              <c:idx val="9"/>
              <c:layout>
                <c:manualLayout>
                  <c:x val="-4.6884932334999976E-2"/>
                  <c:y val="-6.5055188496639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554-4220-ACAB-5C307A63CB6C}"/>
                </c:ext>
              </c:extLst>
            </c:dLbl>
            <c:dLbl>
              <c:idx val="11"/>
              <c:layout>
                <c:manualLayout>
                  <c:x val="-3.4780255992230044E-2"/>
                  <c:y val="-4.6236087108730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54-4220-ACAB-5C307A63CB6C}"/>
                </c:ext>
              </c:extLst>
            </c:dLbl>
            <c:numFmt formatCode="General" sourceLinked="0"/>
            <c:spPr>
              <a:noFill/>
              <a:ln>
                <a:noFill/>
              </a:ln>
              <a:effectLst/>
            </c:spPr>
            <c:txPr>
              <a:bodyPr rot="0" spcFirstLastPara="1" vertOverflow="ellipsis" vert="horz" wrap="square" lIns="38100" tIns="19050" rIns="38100" bIns="19050" anchor="t" anchorCtr="0">
                <a:spAutoFit/>
              </a:bodyPr>
              <a:lstStyle/>
              <a:p>
                <a:pPr>
                  <a:defRPr sz="9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varios!$B$160:$B$171</c:f>
              <c:strCache>
                <c:ptCount val="12"/>
                <c:pt idx="0">
                  <c:v>Ene</c:v>
                </c:pt>
                <c:pt idx="1">
                  <c:v>Feb</c:v>
                </c:pt>
                <c:pt idx="2">
                  <c:v>Mar</c:v>
                </c:pt>
                <c:pt idx="3">
                  <c:v>Abr</c:v>
                </c:pt>
                <c:pt idx="4">
                  <c:v>May</c:v>
                </c:pt>
                <c:pt idx="5">
                  <c:v>Jun</c:v>
                </c:pt>
                <c:pt idx="6">
                  <c:v>Jul</c:v>
                </c:pt>
                <c:pt idx="7">
                  <c:v>Ago</c:v>
                </c:pt>
                <c:pt idx="8">
                  <c:v>Sept</c:v>
                </c:pt>
                <c:pt idx="9">
                  <c:v>Oct</c:v>
                </c:pt>
                <c:pt idx="10">
                  <c:v>Nov</c:v>
                </c:pt>
                <c:pt idx="11">
                  <c:v>Dic</c:v>
                </c:pt>
              </c:strCache>
            </c:strRef>
          </c:cat>
          <c:val>
            <c:numRef>
              <c:f>varios!$C$160:$C$171</c:f>
              <c:numCache>
                <c:formatCode>General</c:formatCode>
                <c:ptCount val="12"/>
                <c:pt idx="0">
                  <c:v>75.88</c:v>
                </c:pt>
                <c:pt idx="1">
                  <c:v>85.55</c:v>
                </c:pt>
                <c:pt idx="2">
                  <c:v>93.49</c:v>
                </c:pt>
                <c:pt idx="3">
                  <c:v>95.04</c:v>
                </c:pt>
                <c:pt idx="4">
                  <c:v>95.7</c:v>
                </c:pt>
                <c:pt idx="5">
                  <c:v>96.37</c:v>
                </c:pt>
                <c:pt idx="6">
                  <c:v>94.16</c:v>
                </c:pt>
                <c:pt idx="7">
                  <c:v>96.37</c:v>
                </c:pt>
                <c:pt idx="8">
                  <c:v>96.37</c:v>
                </c:pt>
                <c:pt idx="9">
                  <c:v>94.16</c:v>
                </c:pt>
                <c:pt idx="10">
                  <c:v>95.7</c:v>
                </c:pt>
                <c:pt idx="11">
                  <c:v>96.37</c:v>
                </c:pt>
              </c:numCache>
            </c:numRef>
          </c:val>
          <c:smooth val="0"/>
          <c:extLst>
            <c:ext xmlns:c16="http://schemas.microsoft.com/office/drawing/2014/chart" uri="{C3380CC4-5D6E-409C-BE32-E72D297353CC}">
              <c16:uniqueId val="{00000006-C554-4220-ACAB-5C307A63CB6C}"/>
            </c:ext>
          </c:extLst>
        </c:ser>
        <c:dLbls>
          <c:dLblPos val="ctr"/>
          <c:showLegendKey val="0"/>
          <c:showVal val="1"/>
          <c:showCatName val="0"/>
          <c:showSerName val="0"/>
          <c:showPercent val="0"/>
          <c:showBubbleSize val="0"/>
        </c:dLbls>
        <c:marker val="1"/>
        <c:smooth val="0"/>
        <c:axId val="2126633311"/>
        <c:axId val="2126626655"/>
      </c:lineChart>
      <c:catAx>
        <c:axId val="2126633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6626655"/>
        <c:crosses val="autoZero"/>
        <c:auto val="1"/>
        <c:lblAlgn val="ctr"/>
        <c:lblOffset val="100"/>
        <c:noMultiLvlLbl val="0"/>
      </c:catAx>
      <c:valAx>
        <c:axId val="21266266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126633311"/>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solidFill>
                  <a:schemeClr val="tx1">
                    <a:lumMod val="65000"/>
                    <a:lumOff val="35000"/>
                  </a:schemeClr>
                </a:solidFill>
                <a:latin typeface="Times New Roman" panose="02020603050405020304" pitchFamily="18" charset="0"/>
                <a:cs typeface="Times New Roman" panose="02020603050405020304" pitchFamily="18" charset="0"/>
              </a:rPr>
              <a:t>Gastos</a:t>
            </a:r>
            <a:r>
              <a:rPr lang="en-US" sz="1100" b="1" baseline="0">
                <a:solidFill>
                  <a:schemeClr val="tx1">
                    <a:lumMod val="65000"/>
                    <a:lumOff val="35000"/>
                  </a:schemeClr>
                </a:solidFill>
                <a:latin typeface="Times New Roman" panose="02020603050405020304" pitchFamily="18" charset="0"/>
                <a:cs typeface="Times New Roman" panose="02020603050405020304" pitchFamily="18" charset="0"/>
              </a:rPr>
              <a:t> de Mantenimiento Preventivo y Correctivo</a:t>
            </a:r>
            <a:endParaRPr lang="en-US" sz="1100" b="1">
              <a:solidFill>
                <a:schemeClr val="tx1">
                  <a:lumMod val="65000"/>
                  <a:lumOff val="35000"/>
                </a:schemeClr>
              </a:solidFill>
              <a:latin typeface="Times New Roman" panose="02020603050405020304" pitchFamily="18" charset="0"/>
              <a:cs typeface="Times New Roman" panose="02020603050405020304" pitchFamily="18" charset="0"/>
            </a:endParaRPr>
          </a:p>
          <a:p>
            <a:pPr>
              <a:defRPr sz="1100" b="1">
                <a:latin typeface="Times New Roman" panose="02020603050405020304" pitchFamily="18" charset="0"/>
                <a:cs typeface="Times New Roman" panose="02020603050405020304" pitchFamily="18" charset="0"/>
              </a:defRPr>
            </a:pPr>
            <a:r>
              <a:rPr lang="en-US" sz="1100" b="1">
                <a:solidFill>
                  <a:schemeClr val="tx1">
                    <a:lumMod val="65000"/>
                    <a:lumOff val="35000"/>
                  </a:schemeClr>
                </a:solidFill>
                <a:latin typeface="Times New Roman" panose="02020603050405020304" pitchFamily="18" charset="0"/>
                <a:cs typeface="Times New Roman" panose="02020603050405020304" pitchFamily="18" charset="0"/>
              </a:rPr>
              <a:t>al</a:t>
            </a:r>
            <a:r>
              <a:rPr lang="en-US" sz="1100" b="1" baseline="0">
                <a:solidFill>
                  <a:schemeClr val="tx1">
                    <a:lumMod val="65000"/>
                    <a:lumOff val="35000"/>
                  </a:schemeClr>
                </a:solidFill>
                <a:latin typeface="Times New Roman" panose="02020603050405020304" pitchFamily="18" charset="0"/>
                <a:cs typeface="Times New Roman" panose="02020603050405020304" pitchFamily="18" charset="0"/>
              </a:rPr>
              <a:t> 15 de diciembre de 2025</a:t>
            </a:r>
            <a:endParaRPr lang="en-US" sz="1100" b="1">
              <a:solidFill>
                <a:schemeClr val="tx1">
                  <a:lumMod val="65000"/>
                  <a:lumOff val="35000"/>
                </a:schemeClr>
              </a:solidFill>
              <a:latin typeface="Times New Roman" panose="02020603050405020304" pitchFamily="18" charset="0"/>
              <a:cs typeface="Times New Roman" panose="02020603050405020304" pitchFamily="18" charset="0"/>
            </a:endParaRPr>
          </a:p>
        </c:rich>
      </c:tx>
      <c:layout>
        <c:manualLayout>
          <c:xMode val="edge"/>
          <c:yMode val="edge"/>
          <c:x val="0.195980024968789"/>
          <c:y val="2.3006134969325152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716535433070868E-2"/>
          <c:y val="9.8114113227054101E-2"/>
          <c:w val="0.57362470140670629"/>
          <c:h val="0.90141510740231323"/>
        </c:manualLayout>
      </c:layout>
      <c:pie3DChart>
        <c:varyColors val="1"/>
        <c:ser>
          <c:idx val="0"/>
          <c:order val="0"/>
          <c:spPr>
            <a:solidFill>
              <a:srgbClr val="142F62"/>
            </a:solidFill>
          </c:spPr>
          <c:dPt>
            <c:idx val="0"/>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1-E4EB-4F02-96FC-E026F88F2B5D}"/>
              </c:ext>
            </c:extLst>
          </c:dPt>
          <c:dPt>
            <c:idx val="1"/>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3-E4EB-4F02-96FC-E026F88F2B5D}"/>
              </c:ext>
            </c:extLst>
          </c:dPt>
          <c:dPt>
            <c:idx val="2"/>
            <c:bubble3D val="0"/>
            <c:spPr>
              <a:solidFill>
                <a:srgbClr val="41CEDA"/>
              </a:solidFill>
              <a:ln w="25400">
                <a:solidFill>
                  <a:schemeClr val="lt1"/>
                </a:solidFill>
              </a:ln>
              <a:effectLst/>
              <a:sp3d contourW="25400">
                <a:contourClr>
                  <a:schemeClr val="lt1"/>
                </a:contourClr>
              </a:sp3d>
            </c:spPr>
            <c:extLst>
              <c:ext xmlns:c16="http://schemas.microsoft.com/office/drawing/2014/chart" uri="{C3380CC4-5D6E-409C-BE32-E72D297353CC}">
                <c16:uniqueId val="{00000005-E4EB-4F02-96FC-E026F88F2B5D}"/>
              </c:ext>
            </c:extLst>
          </c:dPt>
          <c:dPt>
            <c:idx val="3"/>
            <c:bubble3D val="0"/>
            <c:spPr>
              <a:solidFill>
                <a:srgbClr val="D9D9D9"/>
              </a:solidFill>
              <a:ln w="25400">
                <a:solidFill>
                  <a:schemeClr val="lt1"/>
                </a:solidFill>
              </a:ln>
              <a:effectLst/>
              <a:sp3d contourW="25400">
                <a:contourClr>
                  <a:schemeClr val="lt1"/>
                </a:contourClr>
              </a:sp3d>
            </c:spPr>
            <c:extLst>
              <c:ext xmlns:c16="http://schemas.microsoft.com/office/drawing/2014/chart" uri="{C3380CC4-5D6E-409C-BE32-E72D297353CC}">
                <c16:uniqueId val="{00000007-E4EB-4F02-96FC-E026F88F2B5D}"/>
              </c:ext>
            </c:extLst>
          </c:dPt>
          <c:dLbls>
            <c:dLbl>
              <c:idx val="0"/>
              <c:layout>
                <c:manualLayout>
                  <c:x val="-0.15862101506974549"/>
                  <c:y val="-0.23594633109511617"/>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baseline="0"/>
                      <a:t>RD$</a:t>
                    </a:r>
                    <a:fld id="{B2CC5E64-6DA3-44C2-9A8D-307409E04867}" type="VALUE">
                      <a:rPr lang="en-US" baseline="0"/>
                      <a:pPr>
                        <a:defRPr b="1">
                          <a:solidFill>
                            <a:schemeClr val="bg1"/>
                          </a:solidFill>
                          <a:latin typeface="Times New Roman" panose="02020603050405020304" pitchFamily="18" charset="0"/>
                          <a:cs typeface="Times New Roman" panose="02020603050405020304" pitchFamily="18" charset="0"/>
                        </a:defRPr>
                      </a:pPr>
                      <a:t>[VALOR]</a:t>
                    </a:fld>
                    <a:r>
                      <a:rPr lang="en-US" baseline="0"/>
                      <a:t>
</a:t>
                    </a:r>
                    <a:fld id="{2936D593-59BB-4504-9E99-686389C32E7A}" type="PERCENTAGE">
                      <a:rPr lang="en-US" baseline="0"/>
                      <a:pPr>
                        <a:defRPr b="1">
                          <a:solidFill>
                            <a:schemeClr val="bg1"/>
                          </a:solidFill>
                          <a:latin typeface="Times New Roman" panose="02020603050405020304" pitchFamily="18" charset="0"/>
                          <a:cs typeface="Times New Roman" panose="02020603050405020304" pitchFamily="18" charset="0"/>
                        </a:defRPr>
                      </a:pPr>
                      <a:t>[PORCENTAJE]</a:t>
                    </a:fld>
                    <a:endParaRPr lang="en-US" baseline="0"/>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1"/>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4EB-4F02-96FC-E026F88F2B5D}"/>
                </c:ext>
              </c:extLst>
            </c:dLbl>
            <c:dLbl>
              <c:idx val="1"/>
              <c:layout>
                <c:manualLayout>
                  <c:x val="-6.1620218820961983E-2"/>
                  <c:y val="3.6466535433070796E-2"/>
                </c:manualLayout>
              </c:layout>
              <c:tx>
                <c:rich>
                  <a:bodyPr/>
                  <a:lstStyle/>
                  <a:p>
                    <a:r>
                      <a:rPr lang="en-US" baseline="0"/>
                      <a:t>RD$</a:t>
                    </a:r>
                    <a:fld id="{1AB129EF-D509-48F9-B92B-11571C2074F9}" type="VALUE">
                      <a:rPr lang="en-US" baseline="0"/>
                      <a:pPr/>
                      <a:t>[VALOR]</a:t>
                    </a:fld>
                    <a:r>
                      <a:rPr lang="en-US" baseline="0"/>
                      <a:t>
</a:t>
                    </a:r>
                    <a:fld id="{F52B0C16-A614-48AC-8C18-8F1DBCCA230B}" type="PERCENTAGE">
                      <a:rPr lang="en-US" baseline="0"/>
                      <a:pPr/>
                      <a:t>[PORCENTAJE]</a:t>
                    </a:fld>
                    <a:endParaRPr lang="en-US" baseline="0"/>
                  </a:p>
                </c:rich>
              </c:tx>
              <c:showLegendKey val="0"/>
              <c:showVal val="1"/>
              <c:showCatName val="0"/>
              <c:showSerName val="1"/>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4EB-4F02-96FC-E026F88F2B5D}"/>
                </c:ext>
              </c:extLst>
            </c:dLbl>
            <c:dLbl>
              <c:idx val="2"/>
              <c:layout>
                <c:manualLayout>
                  <c:x val="1.9422758257644278E-3"/>
                  <c:y val="2.149554886778174E-3"/>
                </c:manualLayout>
              </c:layout>
              <c:tx>
                <c:rich>
                  <a:bodyPr/>
                  <a:lstStyle/>
                  <a:p>
                    <a:r>
                      <a:rPr lang="en-US" baseline="0"/>
                      <a:t>RD$</a:t>
                    </a:r>
                    <a:fld id="{1C8DF90E-C6EF-483B-989F-757703FD497B}" type="VALUE">
                      <a:rPr lang="en-US" baseline="0"/>
                      <a:pPr/>
                      <a:t>[VALOR]</a:t>
                    </a:fld>
                    <a:r>
                      <a:rPr lang="en-US" baseline="0"/>
                      <a:t>
</a:t>
                    </a:r>
                    <a:fld id="{0B690058-81BB-46B2-8546-AB66B5B7D52F}" type="PERCENTAGE">
                      <a:rPr lang="en-US" baseline="0"/>
                      <a:pPr/>
                      <a:t>[PORCENTAJE]</a:t>
                    </a:fld>
                    <a:endParaRPr lang="en-US" baseline="0"/>
                  </a:p>
                </c:rich>
              </c:tx>
              <c:showLegendKey val="0"/>
              <c:showVal val="1"/>
              <c:showCatName val="0"/>
              <c:showSerName val="1"/>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4EB-4F02-96FC-E026F88F2B5D}"/>
                </c:ext>
              </c:extLst>
            </c:dLbl>
            <c:dLbl>
              <c:idx val="3"/>
              <c:layout>
                <c:manualLayout>
                  <c:x val="9.2172776155789463E-2"/>
                  <c:y val="-2.1631201391237139E-2"/>
                </c:manualLayout>
              </c:layout>
              <c:tx>
                <c:rich>
                  <a:bodyPr/>
                  <a:lstStyle/>
                  <a:p>
                    <a:r>
                      <a:rPr lang="en-US" baseline="0"/>
                      <a:t>RD$</a:t>
                    </a:r>
                    <a:fld id="{0C71DA98-4CDF-4D7E-B181-A6458DFC9F49}" type="VALUE">
                      <a:rPr lang="en-US" baseline="0"/>
                      <a:pPr/>
                      <a:t>[VALOR]</a:t>
                    </a:fld>
                    <a:r>
                      <a:rPr lang="en-US" baseline="0"/>
                      <a:t>
</a:t>
                    </a:r>
                    <a:fld id="{D98612B3-9EBB-4A07-AC66-D42BBBD791A7}" type="PERCENTAGE">
                      <a:rPr lang="en-US" baseline="0"/>
                      <a:pPr/>
                      <a:t>[PORCENTAJE]</a:t>
                    </a:fld>
                    <a:endParaRPr lang="en-US" baseline="0"/>
                  </a:p>
                </c:rich>
              </c:tx>
              <c:showLegendKey val="0"/>
              <c:showVal val="1"/>
              <c:showCatName val="0"/>
              <c:showSerName val="1"/>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4EB-4F02-96FC-E026F88F2B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MX"/>
              </a:p>
            </c:txPr>
            <c:showLegendKey val="0"/>
            <c:showVal val="1"/>
            <c:showCatName val="0"/>
            <c:showSerName val="1"/>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inversion!$C$5:$C$8</c:f>
              <c:strCache>
                <c:ptCount val="4"/>
                <c:pt idx="0">
                  <c:v>Revisiones periódicas y reparaciones menores en edificaciones y áreas exteriores</c:v>
                </c:pt>
                <c:pt idx="1">
                  <c:v>Mantenimiento de ascensores</c:v>
                </c:pt>
                <c:pt idx="2">
                  <c:v>Mantenimiento de unidades aires acondicionados</c:v>
                </c:pt>
                <c:pt idx="3">
                  <c:v>Mantenimiento y reparación plantas eléctricas </c:v>
                </c:pt>
              </c:strCache>
            </c:strRef>
          </c:cat>
          <c:val>
            <c:numRef>
              <c:f>inversion!$E$5:$E$8</c:f>
              <c:numCache>
                <c:formatCode>#,##0.00</c:formatCode>
                <c:ptCount val="4"/>
                <c:pt idx="0">
                  <c:v>12243555</c:v>
                </c:pt>
                <c:pt idx="1">
                  <c:v>673249</c:v>
                </c:pt>
                <c:pt idx="2">
                  <c:v>544564</c:v>
                </c:pt>
                <c:pt idx="3">
                  <c:v>138178</c:v>
                </c:pt>
              </c:numCache>
            </c:numRef>
          </c:val>
          <c:extLst>
            <c:ext xmlns:c16="http://schemas.microsoft.com/office/drawing/2014/chart" uri="{C3380CC4-5D6E-409C-BE32-E72D297353CC}">
              <c16:uniqueId val="{00000008-E4EB-4F02-96FC-E026F88F2B5D}"/>
            </c:ext>
          </c:extLst>
        </c:ser>
        <c:dLbls>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7247476087960911"/>
          <c:y val="0.29276393652480559"/>
          <c:w val="0.31254396571215115"/>
          <c:h val="0.5459518863823004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Proporción de Servidores por Grupo Ocupacional</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hPercent val="100"/>
      <c:rotY val="10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377510040160636E-2"/>
          <c:y val="0.13237232229180779"/>
          <c:w val="0.79317269076305219"/>
          <c:h val="0.69255238512122763"/>
        </c:manualLayout>
      </c:layout>
      <c:pie3DChart>
        <c:varyColors val="1"/>
        <c:ser>
          <c:idx val="0"/>
          <c:order val="0"/>
          <c:dPt>
            <c:idx val="0"/>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BE5-4B85-9D51-0C92F05EC7D3}"/>
              </c:ext>
            </c:extLst>
          </c:dPt>
          <c:dPt>
            <c:idx val="1"/>
            <c:bubble3D val="0"/>
            <c:spPr>
              <a:solidFill>
                <a:schemeClr val="accent5">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BE5-4B85-9D51-0C92F05EC7D3}"/>
              </c:ext>
            </c:extLst>
          </c:dPt>
          <c:dPt>
            <c:idx val="2"/>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5-ABE5-4B85-9D51-0C92F05EC7D3}"/>
              </c:ext>
            </c:extLst>
          </c:dPt>
          <c:dPt>
            <c:idx val="3"/>
            <c:bubble3D val="0"/>
            <c:spPr>
              <a:solidFill>
                <a:schemeClr val="accent5">
                  <a:lumMod val="60000"/>
                  <a:lumOff val="40000"/>
                </a:schemeClr>
              </a:solidFill>
              <a:ln w="25400">
                <a:solidFill>
                  <a:schemeClr val="accent5">
                    <a:lumMod val="60000"/>
                    <a:lumOff val="40000"/>
                  </a:schemeClr>
                </a:solidFill>
              </a:ln>
              <a:effectLst/>
              <a:sp3d contourW="25400">
                <a:contourClr>
                  <a:schemeClr val="accent5">
                    <a:lumMod val="60000"/>
                    <a:lumOff val="40000"/>
                  </a:schemeClr>
                </a:contourClr>
              </a:sp3d>
            </c:spPr>
            <c:extLst>
              <c:ext xmlns:c16="http://schemas.microsoft.com/office/drawing/2014/chart" uri="{C3380CC4-5D6E-409C-BE32-E72D297353CC}">
                <c16:uniqueId val="{00000007-ABE5-4B85-9D51-0C92F05EC7D3}"/>
              </c:ext>
            </c:extLst>
          </c:dPt>
          <c:dPt>
            <c:idx val="4"/>
            <c:bubble3D val="0"/>
            <c:spPr>
              <a:solidFill>
                <a:srgbClr val="0070C0"/>
              </a:solidFill>
              <a:ln w="25400">
                <a:solidFill>
                  <a:schemeClr val="lt1"/>
                </a:solidFill>
              </a:ln>
              <a:effectLst/>
              <a:sp3d contourW="25400">
                <a:contourClr>
                  <a:schemeClr val="lt1"/>
                </a:contourClr>
              </a:sp3d>
            </c:spPr>
            <c:extLst>
              <c:ext xmlns:c16="http://schemas.microsoft.com/office/drawing/2014/chart" uri="{C3380CC4-5D6E-409C-BE32-E72D297353CC}">
                <c16:uniqueId val="{00000009-ABE5-4B85-9D51-0C92F05EC7D3}"/>
              </c:ext>
            </c:extLst>
          </c:dPt>
          <c:dLbls>
            <c:dLbl>
              <c:idx val="0"/>
              <c:layout>
                <c:manualLayout>
                  <c:x val="-0.14281092875438756"/>
                  <c:y val="-0.17150138932580858"/>
                </c:manualLayout>
              </c:layout>
              <c:tx>
                <c:rich>
                  <a:bodyPr/>
                  <a:lstStyle/>
                  <a:p>
                    <a:fld id="{A63D76A7-C48A-4E9F-A786-95700ADEB842}" type="CELLRANGE">
                      <a:rPr lang="en-US" baseline="0"/>
                      <a:pPr/>
                      <a:t>[CELLRANGE]</a:t>
                    </a:fld>
                    <a:r>
                      <a:rPr lang="en-US" baseline="0"/>
                      <a:t>, </a:t>
                    </a:r>
                    <a:fld id="{4B28A4B4-7648-4AD5-B9B8-28953A25E409}" type="PERCENTAGE">
                      <a:rPr lang="en-US" baseline="0"/>
                      <a:pPr/>
                      <a:t>[PORCENTAJE]</a:t>
                    </a:fld>
                    <a:endParaRPr lang="en-US" baseline="0"/>
                  </a:p>
                </c:rich>
              </c:tx>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ABE5-4B85-9D51-0C92F05EC7D3}"/>
                </c:ext>
              </c:extLst>
            </c:dLbl>
            <c:dLbl>
              <c:idx val="1"/>
              <c:layout>
                <c:manualLayout>
                  <c:x val="0.20982038389779592"/>
                  <c:y val="3.7795261291429334E-3"/>
                </c:manualLayout>
              </c:layout>
              <c:tx>
                <c:rich>
                  <a:bodyPr/>
                  <a:lstStyle/>
                  <a:p>
                    <a:fld id="{9F821A6B-DCDD-496D-A1B1-94264B75F3D7}" type="CELLRANGE">
                      <a:rPr lang="en-US" b="1" baseline="0">
                        <a:latin typeface="Times New Roman" panose="02020603050405020304" pitchFamily="18" charset="0"/>
                        <a:cs typeface="Times New Roman" panose="02020603050405020304" pitchFamily="18" charset="0"/>
                      </a:rPr>
                      <a:pPr/>
                      <a:t>[CELLRANGE]</a:t>
                    </a:fld>
                    <a:r>
                      <a:rPr lang="en-US" b="1" baseline="0">
                        <a:latin typeface="Times New Roman" panose="02020603050405020304" pitchFamily="18" charset="0"/>
                        <a:cs typeface="Times New Roman" panose="02020603050405020304" pitchFamily="18" charset="0"/>
                      </a:rPr>
                      <a:t>, </a:t>
                    </a:r>
                    <a:fld id="{C4F5F054-BCB4-4A59-ACC1-907CD40EC22F}" type="PERCENTAGE">
                      <a:rPr lang="en-US" b="1" baseline="0">
                        <a:latin typeface="Times New Roman" panose="02020603050405020304" pitchFamily="18" charset="0"/>
                        <a:cs typeface="Times New Roman" panose="02020603050405020304" pitchFamily="18" charset="0"/>
                      </a:rPr>
                      <a:pPr/>
                      <a:t>[PORCENTAJE]</a:t>
                    </a:fld>
                    <a:endParaRPr lang="en-US" b="1" baseline="0">
                      <a:latin typeface="Times New Roman" panose="02020603050405020304" pitchFamily="18" charset="0"/>
                      <a:cs typeface="Times New Roman" panose="02020603050405020304" pitchFamily="18" charset="0"/>
                    </a:endParaRPr>
                  </a:p>
                </c:rich>
              </c:tx>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BE5-4B85-9D51-0C92F05EC7D3}"/>
                </c:ext>
              </c:extLst>
            </c:dLbl>
            <c:dLbl>
              <c:idx val="2"/>
              <c:layout>
                <c:manualLayout>
                  <c:x val="-0.10671878202487767"/>
                  <c:y val="0.11669051986865164"/>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fld id="{FBAF1C8E-BC6D-4844-BD6C-D0596C76514A}" type="CELLRANGE">
                      <a:rPr lang="en-US" sz="900" baseline="0"/>
                      <a:pPr>
                        <a:defRPr b="1">
                          <a:solidFill>
                            <a:schemeClr val="bg1"/>
                          </a:solidFill>
                          <a:latin typeface="Times New Roman" panose="02020603050405020304" pitchFamily="18" charset="0"/>
                          <a:cs typeface="Times New Roman" panose="02020603050405020304" pitchFamily="18" charset="0"/>
                        </a:defRPr>
                      </a:pPr>
                      <a:t>[CELLRANGE]</a:t>
                    </a:fld>
                    <a:r>
                      <a:rPr lang="en-US" sz="900" baseline="0"/>
                      <a:t>, </a:t>
                    </a:r>
                    <a:fld id="{9A6A8B2E-52AF-42B4-8ABD-DBE96190CCFA}" type="PERCENTAGE">
                      <a:rPr lang="en-US" sz="900" baseline="0"/>
                      <a:pPr>
                        <a:defRPr b="1">
                          <a:solidFill>
                            <a:schemeClr val="bg1"/>
                          </a:solidFill>
                          <a:latin typeface="Times New Roman" panose="02020603050405020304" pitchFamily="18" charset="0"/>
                          <a:cs typeface="Times New Roman" panose="02020603050405020304" pitchFamily="18" charset="0"/>
                        </a:defRPr>
                      </a:pPr>
                      <a:t>[PORCENTAJE]</a:t>
                    </a:fld>
                    <a:endParaRPr lang="en-US" sz="900" baseline="0"/>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0942772600733473"/>
                      <c:h val="9.8686680404799498E-2"/>
                    </c:manualLayout>
                  </c15:layout>
                  <c15:dlblFieldTable/>
                  <c15:showDataLabelsRange val="1"/>
                </c:ext>
                <c:ext xmlns:c16="http://schemas.microsoft.com/office/drawing/2014/chart" uri="{C3380CC4-5D6E-409C-BE32-E72D297353CC}">
                  <c16:uniqueId val="{00000005-ABE5-4B85-9D51-0C92F05EC7D3}"/>
                </c:ext>
              </c:extLst>
            </c:dLbl>
            <c:dLbl>
              <c:idx val="3"/>
              <c:layout>
                <c:manualLayout>
                  <c:x val="-0.15288729722037764"/>
                  <c:y val="5.5859618033295769E-2"/>
                </c:manualLayout>
              </c:layout>
              <c:tx>
                <c:rich>
                  <a:bodyPr/>
                  <a:lstStyle/>
                  <a:p>
                    <a:fld id="{62DBB0BA-2061-4628-9E81-AFF9E50C1E26}" type="CELLRANGE">
                      <a:rPr lang="en-US" baseline="0"/>
                      <a:pPr/>
                      <a:t>[CELLRANGE]</a:t>
                    </a:fld>
                    <a:r>
                      <a:rPr lang="en-US" baseline="0"/>
                      <a:t>, </a:t>
                    </a:r>
                    <a:fld id="{CFF85A5E-FEED-4443-94BC-156FAB099939}" type="PERCENTAGE">
                      <a:rPr lang="en-US" baseline="0"/>
                      <a:pPr/>
                      <a:t>[PORCENTAJE]</a:t>
                    </a:fld>
                    <a:endParaRPr lang="en-US" baseline="0"/>
                  </a:p>
                </c:rich>
              </c:tx>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ABE5-4B85-9D51-0C92F05EC7D3}"/>
                </c:ext>
              </c:extLst>
            </c:dLbl>
            <c:dLbl>
              <c:idx val="4"/>
              <c:layout>
                <c:manualLayout>
                  <c:x val="-0.18625921006862095"/>
                  <c:y val="4.102431589725862E-3"/>
                </c:manualLayout>
              </c:layout>
              <c:tx>
                <c:rich>
                  <a:bodyPr/>
                  <a:lstStyle/>
                  <a:p>
                    <a:fld id="{93310631-4480-4AF0-BFAC-FC8355276E5F}" type="CELLRANGE">
                      <a:rPr lang="en-US" baseline="0"/>
                      <a:pPr/>
                      <a:t>[CELLRANGE]</a:t>
                    </a:fld>
                    <a:r>
                      <a:rPr lang="en-US" baseline="0"/>
                      <a:t>, </a:t>
                    </a:r>
                    <a:fld id="{935B0A00-26AE-4665-B499-578DFBCA1783}" type="PERCENTAGE">
                      <a:rPr lang="en-US" baseline="0"/>
                      <a:pPr/>
                      <a:t>[PORCENTAJE]</a:t>
                    </a:fld>
                    <a:endParaRPr lang="en-US" baseline="0"/>
                  </a:p>
                </c:rich>
              </c:tx>
              <c:showLegendKey val="0"/>
              <c:showVal val="0"/>
              <c:showCatName val="0"/>
              <c:showSerName val="0"/>
              <c:showPercent val="1"/>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BE5-4B85-9D51-0C92F05EC7D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0"/>
            <c:extLst>
              <c:ext xmlns:c15="http://schemas.microsoft.com/office/drawing/2012/chart" uri="{CE6537A1-D6FC-4f65-9D91-7224C49458BB}">
                <c15:showDataLabelsRange val="1"/>
              </c:ext>
            </c:extLst>
          </c:dLbls>
          <c:cat>
            <c:multiLvlStrRef>
              <c:f>RRHH!$D$7:$E$11</c:f>
              <c:multiLvlStrCache>
                <c:ptCount val="5"/>
                <c:lvl>
                  <c:pt idx="0">
                    <c:v>Servicios Generales</c:v>
                  </c:pt>
                  <c:pt idx="1">
                    <c:v>Supervisión y Apoyo</c:v>
                  </c:pt>
                  <c:pt idx="2">
                    <c:v>Técnicos</c:v>
                  </c:pt>
                  <c:pt idx="3">
                    <c:v>Profesionales</c:v>
                  </c:pt>
                  <c:pt idx="4">
                    <c:v>Dirección</c:v>
                  </c:pt>
                </c:lvl>
                <c:lvl>
                  <c:pt idx="0">
                    <c:v>GO-I</c:v>
                  </c:pt>
                  <c:pt idx="1">
                    <c:v>GO-II</c:v>
                  </c:pt>
                  <c:pt idx="2">
                    <c:v>GO-III</c:v>
                  </c:pt>
                  <c:pt idx="3">
                    <c:v>GO-IV</c:v>
                  </c:pt>
                  <c:pt idx="4">
                    <c:v>GO-V</c:v>
                  </c:pt>
                </c:lvl>
              </c:multiLvlStrCache>
            </c:multiLvlStrRef>
          </c:cat>
          <c:val>
            <c:numRef>
              <c:f>RRHH!$F$7:$F$11</c:f>
              <c:numCache>
                <c:formatCode>General</c:formatCode>
                <c:ptCount val="5"/>
                <c:pt idx="0">
                  <c:v>105</c:v>
                </c:pt>
                <c:pt idx="1">
                  <c:v>220</c:v>
                </c:pt>
                <c:pt idx="2">
                  <c:v>25</c:v>
                </c:pt>
                <c:pt idx="3">
                  <c:v>53</c:v>
                </c:pt>
                <c:pt idx="4">
                  <c:v>37</c:v>
                </c:pt>
              </c:numCache>
            </c:numRef>
          </c:val>
          <c:extLst>
            <c:ext xmlns:c15="http://schemas.microsoft.com/office/drawing/2012/chart" uri="{02D57815-91ED-43cb-92C2-25804820EDAC}">
              <c15:datalabelsRange>
                <c15:f>RRHH!$D$7:$D$11</c15:f>
                <c15:dlblRangeCache>
                  <c:ptCount val="5"/>
                  <c:pt idx="0">
                    <c:v>GO-I</c:v>
                  </c:pt>
                  <c:pt idx="1">
                    <c:v>GO-II</c:v>
                  </c:pt>
                  <c:pt idx="2">
                    <c:v>GO-III</c:v>
                  </c:pt>
                  <c:pt idx="3">
                    <c:v>GO-IV</c:v>
                  </c:pt>
                  <c:pt idx="4">
                    <c:v>GO-V</c:v>
                  </c:pt>
                </c15:dlblRangeCache>
              </c15:datalabelsRange>
            </c:ext>
            <c:ext xmlns:c16="http://schemas.microsoft.com/office/drawing/2014/chart" uri="{C3380CC4-5D6E-409C-BE32-E72D297353CC}">
              <c16:uniqueId val="{0000000A-ABE5-4B85-9D51-0C92F05EC7D3}"/>
            </c:ext>
          </c:extLst>
        </c:ser>
        <c:dLbls>
          <c:showLegendKey val="0"/>
          <c:showVal val="0"/>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000" b="1">
                <a:solidFill>
                  <a:srgbClr val="767171"/>
                </a:solidFill>
              </a:rPr>
              <a:t>Proporción de Servidores por Sexo</a:t>
            </a:r>
            <a:br>
              <a:rPr lang="en-US" sz="1000" b="1">
                <a:solidFill>
                  <a:srgbClr val="767171"/>
                </a:solidFill>
              </a:rPr>
            </a:br>
            <a:r>
              <a:rPr lang="en-US" sz="1000" b="1">
                <a:solidFill>
                  <a:srgbClr val="767171"/>
                </a:solidFill>
              </a:rPr>
              <a:t>a diciembre de 2025</a:t>
            </a:r>
          </a:p>
        </c:rich>
      </c:tx>
      <c:overlay val="0"/>
      <c:spPr>
        <a:noFill/>
        <a:ln>
          <a:noFill/>
        </a:ln>
        <a:effectLst/>
      </c:spPr>
    </c:title>
    <c:autoTitleDeleted val="0"/>
    <c:view3D>
      <c:rotX val="30"/>
      <c:rotY val="1"/>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2"/>
          <c:order val="0"/>
          <c:tx>
            <c:strRef>
              <c:f>'GRAF. GENERO '!$B$19</c:f>
              <c:strCache>
                <c:ptCount val="1"/>
                <c:pt idx="0">
                  <c:v>PORCENTUAL </c:v>
                </c:pt>
              </c:strCache>
            </c:strRef>
          </c:tx>
          <c:spPr>
            <a:solidFill>
              <a:schemeClr val="accent5">
                <a:lumMod val="40000"/>
                <a:lumOff val="60000"/>
              </a:schemeClr>
            </a:solidFill>
            <a:ln>
              <a:solidFill>
                <a:schemeClr val="tx1"/>
              </a:solidFill>
            </a:ln>
          </c:spPr>
          <c:dPt>
            <c:idx val="0"/>
            <c:bubble3D val="0"/>
            <c:spPr>
              <a:solidFill>
                <a:srgbClr val="44A4EC"/>
              </a:solidFill>
              <a:ln>
                <a:solidFill>
                  <a:schemeClr val="tx1"/>
                </a:solidFill>
              </a:ln>
            </c:spPr>
            <c:extLst>
              <c:ext xmlns:c16="http://schemas.microsoft.com/office/drawing/2014/chart" uri="{C3380CC4-5D6E-409C-BE32-E72D297353CC}">
                <c16:uniqueId val="{00000001-B528-42D3-BF3A-488D0CC88AA2}"/>
              </c:ext>
            </c:extLst>
          </c:dPt>
          <c:dPt>
            <c:idx val="1"/>
            <c:bubble3D val="0"/>
            <c:spPr>
              <a:solidFill>
                <a:srgbClr val="4472C4">
                  <a:lumMod val="75000"/>
                </a:srgbClr>
              </a:solidFill>
              <a:ln>
                <a:solidFill>
                  <a:schemeClr val="tx1"/>
                </a:solidFill>
              </a:ln>
            </c:spPr>
            <c:extLst>
              <c:ext xmlns:c16="http://schemas.microsoft.com/office/drawing/2014/chart" uri="{C3380CC4-5D6E-409C-BE32-E72D297353CC}">
                <c16:uniqueId val="{00000003-B528-42D3-BF3A-488D0CC88AA2}"/>
              </c:ext>
            </c:extLst>
          </c:dPt>
          <c:dLbls>
            <c:dLbl>
              <c:idx val="0"/>
              <c:layout>
                <c:manualLayout>
                  <c:x val="-0.19818913503687688"/>
                  <c:y val="1.0409593296250859E-2"/>
                </c:manualLayout>
              </c:layout>
              <c:tx>
                <c:rich>
                  <a:bodyPr/>
                  <a:lstStyle/>
                  <a:p>
                    <a:r>
                      <a:rPr lang="en-US" baseline="0">
                        <a:solidFill>
                          <a:schemeClr val="bg1"/>
                        </a:solidFill>
                      </a:rPr>
                      <a:t>Hombres</a:t>
                    </a:r>
                  </a:p>
                  <a:p>
                    <a:r>
                      <a:rPr lang="en-US" baseline="0">
                        <a:solidFill>
                          <a:schemeClr val="bg1"/>
                        </a:solidFill>
                      </a:rPr>
                      <a:t>48.41%</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528-42D3-BF3A-488D0CC88AA2}"/>
                </c:ext>
              </c:extLst>
            </c:dLbl>
            <c:dLbl>
              <c:idx val="1"/>
              <c:layout>
                <c:manualLayout>
                  <c:x val="0.18049424521416688"/>
                  <c:y val="-9.9651247722475106E-2"/>
                </c:manualLayout>
              </c:layout>
              <c:tx>
                <c:rich>
                  <a:bodyPr/>
                  <a:lstStyle/>
                  <a:p>
                    <a:r>
                      <a:rPr lang="en-US"/>
                      <a:t>Mujeres</a:t>
                    </a:r>
                  </a:p>
                  <a:p>
                    <a:r>
                      <a:rPr lang="en-US"/>
                      <a:t>51.59%</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528-42D3-BF3A-488D0CC88AA2}"/>
                </c:ext>
              </c:extLst>
            </c:dLbl>
            <c:spPr>
              <a:noFill/>
              <a:ln>
                <a:noFill/>
              </a:ln>
              <a:effectLst/>
            </c:spPr>
            <c:txPr>
              <a:bodyPr wrap="square" lIns="38100" tIns="19050" rIns="38100" bIns="19050" anchor="ctr">
                <a:spAutoFit/>
              </a:bodyPr>
              <a:lstStyle/>
              <a:p>
                <a:pPr>
                  <a:defRPr sz="1000" baseline="0">
                    <a:solidFill>
                      <a:schemeClr val="bg1"/>
                    </a:solidFill>
                  </a:defRPr>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'GRAF. GENERO '!$A$20:$A$21</c:f>
              <c:strCache>
                <c:ptCount val="2"/>
                <c:pt idx="0">
                  <c:v>MASCULINO </c:v>
                </c:pt>
                <c:pt idx="1">
                  <c:v>FEMENINO </c:v>
                </c:pt>
              </c:strCache>
            </c:strRef>
          </c:cat>
          <c:val>
            <c:numRef>
              <c:f>'GRAF. GENERO '!$B$20:$B$21</c:f>
              <c:numCache>
                <c:formatCode>0.00%</c:formatCode>
                <c:ptCount val="2"/>
                <c:pt idx="0">
                  <c:v>0.48409999999999997</c:v>
                </c:pt>
                <c:pt idx="1">
                  <c:v>0.51590000000000003</c:v>
                </c:pt>
              </c:numCache>
            </c:numRef>
          </c:val>
          <c:extLst>
            <c:ext xmlns:c16="http://schemas.microsoft.com/office/drawing/2014/chart" uri="{C3380CC4-5D6E-409C-BE32-E72D297353CC}">
              <c16:uniqueId val="{00000004-B528-42D3-BF3A-488D0CC88AA2}"/>
            </c:ext>
          </c:extLst>
        </c:ser>
        <c:ser>
          <c:idx val="0"/>
          <c:order val="1"/>
          <c:tx>
            <c:strRef>
              <c:f>RRHH!$C$21</c:f>
              <c:strCache>
                <c:ptCount val="1"/>
                <c:pt idx="0">
                  <c:v>#REF!</c:v>
                </c:pt>
              </c:strCache>
            </c:strRef>
          </c:tx>
          <c:explosion val="1"/>
          <c:dPt>
            <c:idx val="0"/>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6-B528-42D3-BF3A-488D0CC88AA2}"/>
              </c:ext>
            </c:extLst>
          </c:dPt>
          <c:dPt>
            <c:idx val="1"/>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8-B528-42D3-BF3A-488D0CC88AA2}"/>
              </c:ext>
            </c:extLst>
          </c:dPt>
          <c:dLbls>
            <c:dLbl>
              <c:idx val="0"/>
              <c:layout>
                <c:manualLayout>
                  <c:x val="-0.17921394729299095"/>
                  <c:y val="6.054593175853018E-2"/>
                </c:manualLayout>
              </c:layout>
              <c:tx>
                <c:rich>
                  <a:bodyPr/>
                  <a:lstStyle/>
                  <a:p>
                    <a:r>
                      <a:rPr lang="en-US"/>
                      <a:t>0</a:t>
                    </a:r>
                    <a:r>
                      <a:rPr lang="en-US" baseline="0"/>
                      <a:t>
48.64%</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6-B528-42D3-BF3A-488D0CC88AA2}"/>
                </c:ext>
              </c:extLst>
            </c:dLbl>
            <c:dLbl>
              <c:idx val="1"/>
              <c:layout>
                <c:manualLayout>
                  <c:x val="0.17201503987590416"/>
                  <c:y val="-7.4621037754896119E-2"/>
                </c:manualLayout>
              </c:layout>
              <c:tx>
                <c:rich>
                  <a:bodyPr/>
                  <a:lstStyle/>
                  <a:p>
                    <a:r>
                      <a:rPr lang="en-US"/>
                      <a:t>0</a:t>
                    </a:r>
                    <a:r>
                      <a:rPr lang="en-US" baseline="0"/>
                      <a:t>
51.36%</a:t>
                    </a:r>
                  </a:p>
                </c:rich>
              </c:tx>
              <c:dLblPos val="bestFit"/>
              <c:showLegendKey val="0"/>
              <c:showVal val="0"/>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8-B528-42D3-BF3A-488D0CC88AA2}"/>
                </c:ext>
              </c:extLst>
            </c:dLbl>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numRef>
              <c:f>'[1]EST-T'!$B$128:$B$129</c:f>
              <c:numCache>
                <c:formatCode>General</c:formatCode>
                <c:ptCount val="2"/>
                <c:pt idx="0">
                  <c:v>0</c:v>
                </c:pt>
                <c:pt idx="1">
                  <c:v>0</c:v>
                </c:pt>
              </c:numCache>
            </c:numRef>
          </c:cat>
          <c:val>
            <c:numRef>
              <c:f>[1]RRHH!$C$28:$D$28</c:f>
              <c:numCache>
                <c:formatCode>General</c:formatCode>
                <c:ptCount val="2"/>
                <c:pt idx="0">
                  <c:v>0</c:v>
                </c:pt>
                <c:pt idx="1">
                  <c:v>0</c:v>
                </c:pt>
              </c:numCache>
              <c:extLst/>
            </c:numRef>
          </c:val>
          <c:extLst>
            <c:ext xmlns:c16="http://schemas.microsoft.com/office/drawing/2014/chart" uri="{C3380CC4-5D6E-409C-BE32-E72D297353CC}">
              <c16:uniqueId val="{00000009-B528-42D3-BF3A-488D0CC88AA2}"/>
            </c:ext>
          </c:extLst>
        </c:ser>
        <c:ser>
          <c:idx val="1"/>
          <c:order val="2"/>
          <c:tx>
            <c:strRef>
              <c:f>'EST-T'!$D$127</c:f>
              <c:strCache>
                <c:ptCount val="1"/>
                <c:pt idx="0">
                  <c:v>#REF!</c:v>
                </c:pt>
              </c:strCache>
              <c:extLst xmlns:c15="http://schemas.microsoft.com/office/drawing/2012/chart"/>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B-B528-42D3-BF3A-488D0CC88AA2}"/>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D-B528-42D3-BF3A-488D0CC88AA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F-B528-42D3-BF3A-488D0CC88AA2}"/>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numRef>
              <c:f>'[1]EST-T'!$B$128:$B$129</c:f>
              <c:numCache>
                <c:formatCode>General</c:formatCode>
                <c:ptCount val="2"/>
                <c:pt idx="0">
                  <c:v>0</c:v>
                </c:pt>
                <c:pt idx="1">
                  <c:v>0</c:v>
                </c:pt>
              </c:numCache>
            </c:numRef>
          </c:cat>
          <c:val>
            <c:numRef>
              <c:f>'[1]EST-T'!$D$128:$D$130</c:f>
              <c:numCache>
                <c:formatCode>General</c:formatCode>
                <c:ptCount val="3"/>
                <c:pt idx="0">
                  <c:v>0</c:v>
                </c:pt>
                <c:pt idx="1">
                  <c:v>0</c:v>
                </c:pt>
                <c:pt idx="2">
                  <c:v>0</c:v>
                </c:pt>
              </c:numCache>
              <c:extLst/>
            </c:numRef>
          </c:val>
          <c:extLst xmlns:c15="http://schemas.microsoft.com/office/drawing/2012/chart">
            <c:ext xmlns:c16="http://schemas.microsoft.com/office/drawing/2014/chart" uri="{C3380CC4-5D6E-409C-BE32-E72D297353CC}">
              <c16:uniqueId val="{00000010-B528-42D3-BF3A-488D0CC88AA2}"/>
            </c:ext>
          </c:extLst>
        </c:ser>
        <c:dLbls>
          <c:dLblPos val="bestFit"/>
          <c:showLegendKey val="0"/>
          <c:showVal val="1"/>
          <c:showCatName val="0"/>
          <c:showSerName val="0"/>
          <c:showPercent val="0"/>
          <c:showBubbleSize val="0"/>
          <c:showLeaderLines val="1"/>
        </c:dLbls>
        <c:extLst/>
      </c:pie3DChart>
    </c:plotArea>
    <c:plotVisOnly val="1"/>
    <c:dispBlanksAs val="gap"/>
    <c:showDLblsOverMax val="0"/>
    <c:extLst/>
  </c:chart>
  <c:txPr>
    <a:bodyPr/>
    <a:lstStyle/>
    <a:p>
      <a:pPr>
        <a:defRPr sz="110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Cantidad</a:t>
            </a:r>
            <a:r>
              <a:rPr lang="es-DO" sz="1200" baseline="0"/>
              <a:t> de Servidores por Grupo Ocupacional y Sexo</a:t>
            </a:r>
            <a:endParaRPr lang="es-DO"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'GRAFICO GRUPO OCUPACIONAL '!$C$7:$C$8</c:f>
              <c:strCache>
                <c:ptCount val="2"/>
                <c:pt idx="1">
                  <c:v>Hombres </c:v>
                </c:pt>
              </c:strCache>
            </c:strRef>
          </c:tx>
          <c:spPr>
            <a:solidFill>
              <a:srgbClr val="66CCF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GRUPO OCUPACIONAL '!$B$9:$B$13</c:f>
              <c:strCache>
                <c:ptCount val="5"/>
                <c:pt idx="0">
                  <c:v>GO-I</c:v>
                </c:pt>
                <c:pt idx="1">
                  <c:v>GO-II</c:v>
                </c:pt>
                <c:pt idx="2">
                  <c:v>GO-III</c:v>
                </c:pt>
                <c:pt idx="3">
                  <c:v>GO-IV</c:v>
                </c:pt>
                <c:pt idx="4">
                  <c:v>GO-V</c:v>
                </c:pt>
              </c:strCache>
            </c:strRef>
          </c:cat>
          <c:val>
            <c:numRef>
              <c:f>'GRAFICO GRUPO OCUPACIONAL '!$C$9:$C$13</c:f>
              <c:numCache>
                <c:formatCode>General</c:formatCode>
                <c:ptCount val="5"/>
                <c:pt idx="0">
                  <c:v>66</c:v>
                </c:pt>
                <c:pt idx="1">
                  <c:v>85</c:v>
                </c:pt>
                <c:pt idx="2">
                  <c:v>17</c:v>
                </c:pt>
                <c:pt idx="3">
                  <c:v>26</c:v>
                </c:pt>
                <c:pt idx="4">
                  <c:v>19</c:v>
                </c:pt>
              </c:numCache>
            </c:numRef>
          </c:val>
          <c:extLst>
            <c:ext xmlns:c16="http://schemas.microsoft.com/office/drawing/2014/chart" uri="{C3380CC4-5D6E-409C-BE32-E72D297353CC}">
              <c16:uniqueId val="{00000000-E613-49FA-A858-6740680562B6}"/>
            </c:ext>
          </c:extLst>
        </c:ser>
        <c:ser>
          <c:idx val="1"/>
          <c:order val="1"/>
          <c:tx>
            <c:strRef>
              <c:f>'GRAFICO GRUPO OCUPACIONAL '!$D$7:$D$8</c:f>
              <c:strCache>
                <c:ptCount val="2"/>
                <c:pt idx="1">
                  <c:v>Mujeres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GRUPO OCUPACIONAL '!$B$9:$B$13</c:f>
              <c:strCache>
                <c:ptCount val="5"/>
                <c:pt idx="0">
                  <c:v>GO-I</c:v>
                </c:pt>
                <c:pt idx="1">
                  <c:v>GO-II</c:v>
                </c:pt>
                <c:pt idx="2">
                  <c:v>GO-III</c:v>
                </c:pt>
                <c:pt idx="3">
                  <c:v>GO-IV</c:v>
                </c:pt>
                <c:pt idx="4">
                  <c:v>GO-V</c:v>
                </c:pt>
              </c:strCache>
            </c:strRef>
          </c:cat>
          <c:val>
            <c:numRef>
              <c:f>'GRAFICO GRUPO OCUPACIONAL '!$D$9:$D$13</c:f>
              <c:numCache>
                <c:formatCode>General</c:formatCode>
                <c:ptCount val="5"/>
                <c:pt idx="0">
                  <c:v>39</c:v>
                </c:pt>
                <c:pt idx="1">
                  <c:v>135</c:v>
                </c:pt>
                <c:pt idx="2">
                  <c:v>8</c:v>
                </c:pt>
                <c:pt idx="3">
                  <c:v>27</c:v>
                </c:pt>
                <c:pt idx="4">
                  <c:v>18</c:v>
                </c:pt>
              </c:numCache>
            </c:numRef>
          </c:val>
          <c:extLst>
            <c:ext xmlns:c16="http://schemas.microsoft.com/office/drawing/2014/chart" uri="{C3380CC4-5D6E-409C-BE32-E72D297353CC}">
              <c16:uniqueId val="{00000001-E613-49FA-A858-6740680562B6}"/>
            </c:ext>
          </c:extLst>
        </c:ser>
        <c:dLbls>
          <c:dLblPos val="outEnd"/>
          <c:showLegendKey val="0"/>
          <c:showVal val="1"/>
          <c:showCatName val="0"/>
          <c:showSerName val="0"/>
          <c:showPercent val="0"/>
          <c:showBubbleSize val="0"/>
        </c:dLbls>
        <c:gapWidth val="219"/>
        <c:overlap val="-27"/>
        <c:axId val="1312040384"/>
        <c:axId val="1201562575"/>
      </c:barChart>
      <c:catAx>
        <c:axId val="131204038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sz="900">
                    <a:solidFill>
                      <a:schemeClr val="bg2">
                        <a:lumMod val="50000"/>
                      </a:schemeClr>
                    </a:solidFill>
                  </a:rPr>
                  <a:t>Grupos Ocupacionales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n-US"/>
          </a:p>
        </c:txPr>
        <c:crossAx val="1201562575"/>
        <c:crosses val="autoZero"/>
        <c:auto val="1"/>
        <c:lblAlgn val="ctr"/>
        <c:lblOffset val="100"/>
        <c:noMultiLvlLbl val="0"/>
      </c:catAx>
      <c:valAx>
        <c:axId val="1201562575"/>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r>
                  <a:rPr lang="es-DO" sz="900">
                    <a:solidFill>
                      <a:schemeClr val="bg2">
                        <a:lumMod val="50000"/>
                      </a:schemeClr>
                    </a:solidFill>
                  </a:rPr>
                  <a:t>Cantidad</a:t>
                </a:r>
                <a:r>
                  <a:rPr lang="es-DO" sz="900" baseline="0">
                    <a:solidFill>
                      <a:schemeClr val="bg2">
                        <a:lumMod val="50000"/>
                      </a:schemeClr>
                    </a:solidFill>
                  </a:rPr>
                  <a:t> de Servidores</a:t>
                </a:r>
                <a:endParaRPr lang="es-DO" sz="900">
                  <a:solidFill>
                    <a:schemeClr val="bg2">
                      <a:lumMod val="50000"/>
                    </a:schemeClr>
                  </a:solidFill>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12040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 Cantidad de Servidores Capacitados por Sexo</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3172291093371114"/>
          <c:y val="0.20358215913800248"/>
          <c:w val="0.40331417050377355"/>
          <c:h val="0.76682760049730625"/>
        </c:manualLayout>
      </c:layout>
      <c:doughnutChart>
        <c:varyColors val="1"/>
        <c:ser>
          <c:idx val="0"/>
          <c:order val="0"/>
          <c:tx>
            <c:strRef>
              <c:f>RRHH!$C$66</c:f>
              <c:strCache>
                <c:ptCount val="1"/>
                <c:pt idx="0">
                  <c:v>Cantidad de Servidores</c:v>
                </c:pt>
              </c:strCache>
            </c:strRef>
          </c:tx>
          <c:explosion val="1"/>
          <c:dPt>
            <c:idx val="0"/>
            <c:bubble3D val="0"/>
            <c:explosion val="0"/>
            <c:spPr>
              <a:solidFill>
                <a:srgbClr val="142F62"/>
              </a:solidFill>
              <a:ln w="19050">
                <a:solidFill>
                  <a:schemeClr val="lt1"/>
                </a:solidFill>
              </a:ln>
              <a:effectLst/>
            </c:spPr>
            <c:extLst>
              <c:ext xmlns:c16="http://schemas.microsoft.com/office/drawing/2014/chart" uri="{C3380CC4-5D6E-409C-BE32-E72D297353CC}">
                <c16:uniqueId val="{00000001-BB68-4D29-8202-59F813DFC1AC}"/>
              </c:ext>
            </c:extLst>
          </c:dPt>
          <c:dPt>
            <c:idx val="1"/>
            <c:bubble3D val="0"/>
            <c:spPr>
              <a:solidFill>
                <a:srgbClr val="00ADDD"/>
              </a:solidFill>
              <a:ln w="3175">
                <a:solidFill>
                  <a:schemeClr val="lt1"/>
                </a:solidFill>
              </a:ln>
              <a:effectLst/>
            </c:spPr>
            <c:extLst>
              <c:ext xmlns:c16="http://schemas.microsoft.com/office/drawing/2014/chart" uri="{C3380CC4-5D6E-409C-BE32-E72D297353CC}">
                <c16:uniqueId val="{00000003-BB68-4D29-8202-59F813DFC1AC}"/>
              </c:ext>
            </c:extLst>
          </c:dPt>
          <c:dLbls>
            <c:dLbl>
              <c:idx val="0"/>
              <c:layout>
                <c:manualLayout>
                  <c:x val="0.132135792714492"/>
                  <c:y val="0.15265592623290511"/>
                </c:manualLayout>
              </c:layout>
              <c:tx>
                <c:rich>
                  <a:bodyPr/>
                  <a:lstStyle/>
                  <a:p>
                    <a:fld id="{7DAEC4C4-B21C-4FDC-BCC0-9A9537D0A546}" type="CATEGORYNAME">
                      <a:rPr lang="en-US"/>
                      <a:pPr/>
                      <a:t>[NOMBRE DE CATEGORÍA]</a:t>
                    </a:fld>
                    <a:r>
                      <a:rPr lang="en-US" baseline="0"/>
                      <a:t>; 42.89%</a:t>
                    </a:r>
                  </a:p>
                </c:rich>
              </c:tx>
              <c:showLegendKey val="0"/>
              <c:showVal val="1"/>
              <c:showCatName val="1"/>
              <c:showSerName val="0"/>
              <c:showPercent val="1"/>
              <c:showBubbleSize val="0"/>
              <c:extLst>
                <c:ext xmlns:c15="http://schemas.microsoft.com/office/drawing/2012/chart" uri="{CE6537A1-D6FC-4f65-9D91-7224C49458BB}">
                  <c15:layout>
                    <c:manualLayout>
                      <c:w val="0.16615057706827743"/>
                      <c:h val="0.19069104848736013"/>
                    </c:manualLayout>
                  </c15:layout>
                  <c15:dlblFieldTable/>
                  <c15:showDataLabelsRange val="0"/>
                </c:ext>
                <c:ext xmlns:c16="http://schemas.microsoft.com/office/drawing/2014/chart" uri="{C3380CC4-5D6E-409C-BE32-E72D297353CC}">
                  <c16:uniqueId val="{00000001-BB68-4D29-8202-59F813DFC1AC}"/>
                </c:ext>
              </c:extLst>
            </c:dLbl>
            <c:dLbl>
              <c:idx val="1"/>
              <c:layout>
                <c:manualLayout>
                  <c:x val="-0.12484551671525489"/>
                  <c:y val="-0.1762909241607957"/>
                </c:manualLayout>
              </c:layout>
              <c:tx>
                <c:rich>
                  <a:bodyPr/>
                  <a:lstStyle/>
                  <a:p>
                    <a:fld id="{80603DFE-E4DC-4D46-AE24-5BE973F3B7D4}" type="CATEGORYNAME">
                      <a:rPr lang="en-US"/>
                      <a:pPr/>
                      <a:t>[NOMBRE DE CATEGORÍA]</a:t>
                    </a:fld>
                    <a:r>
                      <a:rPr lang="en-US" baseline="0"/>
                      <a:t>; 57.11%</a:t>
                    </a:r>
                  </a:p>
                </c:rich>
              </c:tx>
              <c:showLegendKey val="0"/>
              <c:showVal val="1"/>
              <c:showCatName val="1"/>
              <c:showSerName val="0"/>
              <c:showPercent val="1"/>
              <c:showBubbleSize val="0"/>
              <c:extLst>
                <c:ext xmlns:c15="http://schemas.microsoft.com/office/drawing/2012/chart" uri="{CE6537A1-D6FC-4f65-9D91-7224C49458BB}">
                  <c15:layout>
                    <c:manualLayout>
                      <c:w val="0.18686290583540072"/>
                      <c:h val="0.24481402818068801"/>
                    </c:manualLayout>
                  </c15:layout>
                  <c15:dlblFieldTable/>
                  <c15:showDataLabelsRange val="0"/>
                </c:ext>
                <c:ext xmlns:c16="http://schemas.microsoft.com/office/drawing/2014/chart" uri="{C3380CC4-5D6E-409C-BE32-E72D297353CC}">
                  <c16:uniqueId val="{00000003-BB68-4D29-8202-59F813DFC1AC}"/>
                </c:ext>
              </c:extLst>
            </c:dLbl>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1"/>
            <c:showSerName val="0"/>
            <c:showPercent val="1"/>
            <c:showBubbleSize val="0"/>
            <c:showLeaderLines val="0"/>
            <c:extLst>
              <c:ext xmlns:c15="http://schemas.microsoft.com/office/drawing/2012/chart" uri="{CE6537A1-D6FC-4f65-9D91-7224C49458BB}"/>
            </c:extLst>
          </c:dLbls>
          <c:cat>
            <c:strRef>
              <c:f>RRHH!$B$68:$B$69</c:f>
              <c:strCache>
                <c:ptCount val="2"/>
                <c:pt idx="0">
                  <c:v>Hombres</c:v>
                </c:pt>
                <c:pt idx="1">
                  <c:v>Mujeres</c:v>
                </c:pt>
              </c:strCache>
            </c:strRef>
          </c:cat>
          <c:val>
            <c:numRef>
              <c:f>RRHH!$D$68:$D$69</c:f>
              <c:numCache>
                <c:formatCode>General</c:formatCode>
                <c:ptCount val="2"/>
                <c:pt idx="0">
                  <c:v>47</c:v>
                </c:pt>
                <c:pt idx="1">
                  <c:v>95</c:v>
                </c:pt>
              </c:numCache>
            </c:numRef>
          </c:val>
          <c:extLst>
            <c:ext xmlns:c16="http://schemas.microsoft.com/office/drawing/2014/chart" uri="{C3380CC4-5D6E-409C-BE32-E72D297353CC}">
              <c16:uniqueId val="{00000004-BB68-4D29-8202-59F813DFC1AC}"/>
            </c:ext>
          </c:extLst>
        </c:ser>
        <c:dLbls>
          <c:showLegendKey val="0"/>
          <c:showVal val="1"/>
          <c:showCatName val="0"/>
          <c:showSerName val="0"/>
          <c:showPercent val="0"/>
          <c:showBubbleSize val="0"/>
          <c:showLeaderLines val="0"/>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E7E6E6">
          <a:lumMod val="50000"/>
        </a:srgbClr>
      </a:solidFill>
      <a:round/>
    </a:ln>
    <a:effectLst/>
  </c:spPr>
  <c:txPr>
    <a:bodyPr/>
    <a:lstStyle/>
    <a:p>
      <a:pPr>
        <a:defRPr sz="1000">
          <a:solidFill>
            <a:srgbClr val="76717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1" i="0" u="none" strike="noStrike" kern="1200" spc="0" baseline="0">
                <a:solidFill>
                  <a:schemeClr val="bg2">
                    <a:lumMod val="50000"/>
                  </a:schemeClr>
                </a:solidFill>
                <a:latin typeface="Times New Roman" panose="02020603050405020304" charset="0"/>
                <a:ea typeface="+mn-ea"/>
                <a:cs typeface="Times New Roman" panose="02020603050405020304" charset="0"/>
              </a:defRPr>
            </a:pPr>
            <a:r>
              <a:rPr lang="en-US" sz="1400" b="1">
                <a:solidFill>
                  <a:schemeClr val="bg2">
                    <a:lumMod val="50000"/>
                  </a:schemeClr>
                </a:solidFill>
                <a:latin typeface="Times New Roman" panose="02020603050405020304" charset="0"/>
                <a:cs typeface="Times New Roman" panose="02020603050405020304" charset="0"/>
              </a:rPr>
              <a:t>Eejcución </a:t>
            </a:r>
            <a:r>
              <a:rPr lang="en-US" sz="1400" b="1" baseline="0">
                <a:solidFill>
                  <a:schemeClr val="bg2">
                    <a:lumMod val="50000"/>
                  </a:schemeClr>
                </a:solidFill>
                <a:latin typeface="Times New Roman" panose="02020603050405020304" charset="0"/>
                <a:cs typeface="Times New Roman" panose="02020603050405020304" charset="0"/>
              </a:rPr>
              <a:t>Mesa de Ayuda</a:t>
            </a:r>
            <a:endParaRPr lang="en-US" sz="1400" b="1">
              <a:solidFill>
                <a:schemeClr val="bg2">
                  <a:lumMod val="50000"/>
                </a:schemeClr>
              </a:solidFill>
              <a:latin typeface="Times New Roman" panose="02020603050405020304" charset="0"/>
              <a:cs typeface="Times New Roman" panose="02020603050405020304" charset="0"/>
            </a:endParaRPr>
          </a:p>
        </c:rich>
      </c:tx>
      <c:overlay val="0"/>
      <c:spPr>
        <a:noFill/>
        <a:ln>
          <a:noFill/>
        </a:ln>
        <a:effectLst/>
      </c:spPr>
      <c:txPr>
        <a:bodyPr rot="0" spcFirstLastPara="1" vertOverflow="ellipsis" vert="horz" wrap="square" anchor="ctr" anchorCtr="1"/>
        <a:lstStyle/>
        <a:p>
          <a:pPr>
            <a:defRPr lang="en-US" sz="1400" b="1" i="0" u="none" strike="noStrike" kern="1200" spc="0" baseline="0">
              <a:solidFill>
                <a:schemeClr val="bg2">
                  <a:lumMod val="50000"/>
                </a:schemeClr>
              </a:solidFill>
              <a:latin typeface="Times New Roman" panose="02020603050405020304" charset="0"/>
              <a:ea typeface="+mn-ea"/>
              <a:cs typeface="Times New Roman" panose="02020603050405020304" charset="0"/>
            </a:defRPr>
          </a:pPr>
          <a:endParaRPr lang="en-US"/>
        </a:p>
      </c:txPr>
    </c:title>
    <c:autoTitleDeleted val="0"/>
    <c:plotArea>
      <c:layout/>
      <c:doughnutChart>
        <c:varyColors val="1"/>
        <c:ser>
          <c:idx val="0"/>
          <c:order val="0"/>
          <c:dPt>
            <c:idx val="0"/>
            <c:bubble3D val="0"/>
            <c:spPr>
              <a:solidFill>
                <a:schemeClr val="accent1"/>
              </a:solidFill>
              <a:ln w="19050">
                <a:solidFill>
                  <a:schemeClr val="lt1"/>
                </a:solidFill>
              </a:ln>
              <a:effectLst/>
              <a:sp3d contourW="25400">
                <a:contourClr>
                  <a:schemeClr val="lt1"/>
                </a:contourClr>
              </a:sp3d>
            </c:spPr>
            <c:extLst>
              <c:ext xmlns:c16="http://schemas.microsoft.com/office/drawing/2014/chart" uri="{C3380CC4-5D6E-409C-BE32-E72D297353CC}">
                <c16:uniqueId val="{00000001-CE01-4F65-9A08-83FFEF7A6FF3}"/>
              </c:ext>
            </c:extLst>
          </c:dPt>
          <c:dPt>
            <c:idx val="1"/>
            <c:bubble3D val="0"/>
            <c:spPr>
              <a:solidFill>
                <a:srgbClr val="002060"/>
              </a:solidFill>
              <a:ln w="19050">
                <a:solidFill>
                  <a:schemeClr val="lt1"/>
                </a:solidFill>
              </a:ln>
              <a:effectLst/>
              <a:sp3d contourW="25400">
                <a:contourClr>
                  <a:schemeClr val="lt1"/>
                </a:contourClr>
              </a:sp3d>
            </c:spPr>
            <c:extLst>
              <c:ext xmlns:c16="http://schemas.microsoft.com/office/drawing/2014/chart" uri="{C3380CC4-5D6E-409C-BE32-E72D297353CC}">
                <c16:uniqueId val="{00000003-CE01-4F65-9A08-83FFEF7A6FF3}"/>
              </c:ext>
            </c:extLst>
          </c:dPt>
          <c:dLbls>
            <c:dLbl>
              <c:idx val="0"/>
              <c:layout>
                <c:manualLayout>
                  <c:x val="-9.591950841555108E-2"/>
                  <c:y val="1.7654538771217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01-4F65-9A08-83FFEF7A6FF3}"/>
                </c:ext>
              </c:extLst>
            </c:dLbl>
            <c:dLbl>
              <c:idx val="1"/>
              <c:layout>
                <c:manualLayout>
                  <c:x val="0.102693602693603"/>
                  <c:y val="-1.8567639257294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01-4F65-9A08-83FFEF7A6FF3}"/>
                </c:ext>
              </c:extLst>
            </c:dLbl>
            <c:spPr>
              <a:noFill/>
              <a:ln>
                <a:noFill/>
              </a:ln>
              <a:effectLst/>
            </c:spPr>
            <c:txPr>
              <a:bodyPr rot="0" spcFirstLastPara="1" vertOverflow="ellipsis" vert="horz" wrap="square" lIns="38100" tIns="19050" rIns="38100" bIns="19050" anchor="ctr" anchorCtr="1">
                <a:spAutoFit/>
              </a:bodyPr>
              <a:lstStyle/>
              <a:p>
                <a:pPr>
                  <a:defRPr lang="en-US" sz="800" b="1" i="0" u="none" strike="noStrike" kern="1200" baseline="0">
                    <a:solidFill>
                      <a:schemeClr val="bg2">
                        <a:lumMod val="50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'[Tablas y graficos.xlsx]TIC'!$D$20:$D$21</c:f>
              <c:strCache>
                <c:ptCount val="2"/>
                <c:pt idx="0">
                  <c:v>Cerradas</c:v>
                </c:pt>
                <c:pt idx="1">
                  <c:v>En proceso</c:v>
                </c:pt>
              </c:strCache>
            </c:strRef>
          </c:cat>
          <c:val>
            <c:numRef>
              <c:f>'[Tablas y graficos.xlsx]TIC'!$E$20:$E$21</c:f>
              <c:numCache>
                <c:formatCode>General</c:formatCode>
                <c:ptCount val="2"/>
                <c:pt idx="0">
                  <c:v>409</c:v>
                </c:pt>
                <c:pt idx="1">
                  <c:v>2</c:v>
                </c:pt>
              </c:numCache>
            </c:numRef>
          </c:val>
          <c:extLst>
            <c:ext xmlns:c16="http://schemas.microsoft.com/office/drawing/2014/chart" uri="{C3380CC4-5D6E-409C-BE32-E72D297353CC}">
              <c16:uniqueId val="{00000004-CE01-4F65-9A08-83FFEF7A6FF3}"/>
            </c:ext>
          </c:extLst>
        </c:ser>
        <c:dLbls>
          <c:showLegendKey val="0"/>
          <c:showVal val="1"/>
          <c:showCatName val="0"/>
          <c:showSerName val="0"/>
          <c:showPercent val="0"/>
          <c:showBubbleSize val="0"/>
          <c:showLeaderLines val="1"/>
        </c:dLbls>
        <c:firstSliceAng val="87"/>
        <c:holeSize val="50"/>
      </c:doughnutChart>
      <c:spPr>
        <a:noFill/>
        <a:ln>
          <a:noFill/>
        </a:ln>
        <a:effectLst/>
      </c:spPr>
    </c:plotArea>
    <c:legend>
      <c:legendPos val="b"/>
      <c:legendEntry>
        <c:idx val="0"/>
        <c:txPr>
          <a:bodyPr rot="0" spcFirstLastPara="1" vertOverflow="ellipsis" vert="horz" wrap="square" anchor="ctr" anchorCtr="1"/>
          <a:lstStyle/>
          <a:p>
            <a:pPr>
              <a:defRPr lang="en-US" sz="1100" b="0" i="0" u="none" strike="noStrike" kern="1200" baseline="0">
                <a:solidFill>
                  <a:schemeClr val="bg2">
                    <a:lumMod val="50000"/>
                  </a:schemeClr>
                </a:solidFill>
                <a:latin typeface="Times New Roman" panose="02020603050405020304" charset="0"/>
                <a:ea typeface="+mn-ea"/>
                <a:cs typeface="Times New Roman" panose="02020603050405020304" charset="0"/>
              </a:defRPr>
            </a:pPr>
            <a:endParaRPr lang="en-US"/>
          </a:p>
        </c:txPr>
      </c:legendEntry>
      <c:legendEntry>
        <c:idx val="1"/>
        <c:txPr>
          <a:bodyPr rot="0" spcFirstLastPara="1" vertOverflow="ellipsis" vert="horz" wrap="square" anchor="ctr" anchorCtr="1"/>
          <a:lstStyle/>
          <a:p>
            <a:pPr>
              <a:defRPr lang="en-US" sz="1100" b="0" i="0" u="none" strike="noStrike" kern="1200" baseline="0">
                <a:solidFill>
                  <a:schemeClr val="bg2">
                    <a:lumMod val="50000"/>
                  </a:schemeClr>
                </a:solidFill>
                <a:latin typeface="Times New Roman" panose="02020603050405020304" charset="0"/>
                <a:ea typeface="+mn-ea"/>
                <a:cs typeface="Times New Roman" panose="02020603050405020304" charset="0"/>
              </a:defRPr>
            </a:pPr>
            <a:endParaRPr lang="en-US"/>
          </a:p>
        </c:txPr>
      </c:legendEntry>
      <c:overlay val="0"/>
      <c:spPr>
        <a:noFill/>
        <a:ln>
          <a:noFill/>
        </a:ln>
        <a:effectLst/>
      </c:spPr>
      <c:txPr>
        <a:bodyPr rot="0" spcFirstLastPara="1" vertOverflow="ellipsis" vert="horz" wrap="square" anchor="ctr" anchorCtr="1"/>
        <a:lstStyle/>
        <a:p>
          <a:pPr>
            <a:defRPr lang="en-US" sz="1100" b="0" i="0" u="none" strike="noStrike" kern="1200" baseline="0">
              <a:solidFill>
                <a:schemeClr val="bg2">
                  <a:lumMod val="50000"/>
                </a:schemeClr>
              </a:solidFill>
              <a:latin typeface="Times New Roman" panose="02020603050405020304" charset="0"/>
              <a:ea typeface="+mn-ea"/>
              <a:cs typeface="Times New Roman" panose="02020603050405020304" charset="0"/>
            </a:defRPr>
          </a:pPr>
          <a:endParaRPr lang="en-US"/>
        </a:p>
      </c:txPr>
    </c:legend>
    <c:plotVisOnly val="1"/>
    <c:dispBlanksAs val="gap"/>
    <c:showDLblsOverMax val="0"/>
    <c:extLst>
      <c:ext uri="{0b15fc19-7d7d-44ad-8c2d-2c3a37ce22c3}">
        <chartProps xmlns="https://web.wps.cn/et/2018/main" chartId="{12a8ae13-9bce-4b90-8a2e-0c48f90a5b6f}"/>
      </c:ext>
    </c:extLst>
  </c:chart>
  <c:spPr>
    <a:solidFill>
      <a:schemeClr val="bg1"/>
    </a:solidFill>
    <a:ln w="9525" cap="flat" cmpd="sng" algn="ctr">
      <a:solidFill>
        <a:schemeClr val="tx1">
          <a:lumMod val="15000"/>
          <a:lumOff val="85000"/>
        </a:schemeClr>
      </a:solidFill>
      <a:round/>
    </a:ln>
    <a:effectLst/>
  </c:spPr>
  <c:txPr>
    <a:bodyPr/>
    <a:lstStyle/>
    <a:p>
      <a:pPr>
        <a:defRPr lang="en-US" sz="800">
          <a:solidFill>
            <a:schemeClr val="bg2">
              <a:lumMod val="50000"/>
            </a:schemeClr>
          </a:solidFill>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0" vertOverflow="ellipsis" vert="horz" wrap="square" anchor="ctr" anchorCtr="1"/>
        <a:lstStyle/>
        <a:p>
          <a:pPr>
            <a:defRPr lang="en-US" sz="1400" b="1" i="0" u="none" strike="noStrike" kern="1200" baseline="0">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title>
    <c:autoTitleDeleted val="0"/>
    <c:view3D>
      <c:rotX val="30"/>
      <c:rotY val="0"/>
      <c:depthPercent val="100"/>
      <c:rAngAx val="0"/>
    </c:view3D>
    <c:floor>
      <c:thickness val="0"/>
      <c:spPr>
        <a:noFill/>
        <a:effectLst/>
      </c:spPr>
    </c:floor>
    <c:sideWall>
      <c:thickness val="0"/>
      <c:spPr>
        <a:noFill/>
        <a:effectLst/>
      </c:spPr>
    </c:sideWall>
    <c:backWall>
      <c:thickness val="0"/>
      <c:spPr>
        <a:noFill/>
        <a:effectLst/>
      </c:spPr>
    </c:backWall>
    <c:plotArea>
      <c:layout>
        <c:manualLayout>
          <c:layoutTarget val="inner"/>
          <c:xMode val="edge"/>
          <c:yMode val="edge"/>
          <c:x val="8.8541051388068504E-2"/>
          <c:y val="0.19528708133971301"/>
          <c:w val="0.83425871234494997"/>
          <c:h val="0.62736842105263202"/>
        </c:manualLayout>
      </c:layout>
      <c:pie3DChart>
        <c:varyColors val="1"/>
        <c:ser>
          <c:idx val="0"/>
          <c:order val="0"/>
          <c:spPr>
            <a:solidFill>
              <a:srgbClr val="002060"/>
            </a:solidFill>
            <a:scene3d>
              <a:camera prst="orthographicFront"/>
              <a:lightRig rig="threePt" dir="t"/>
            </a:scene3d>
            <a:sp3d contourW="9525"/>
          </c:spPr>
          <c:dPt>
            <c:idx val="0"/>
            <c:bubble3D val="0"/>
            <c:spPr>
              <a:solidFill>
                <a:schemeClr val="accent5">
                  <a:lumMod val="75000"/>
                </a:schemeClr>
              </a:solidFill>
              <a:ln>
                <a:solidFill>
                  <a:schemeClr val="bg1"/>
                </a:solidFill>
              </a:ln>
              <a:effectLst/>
              <a:scene3d>
                <a:camera prst="orthographicFront"/>
                <a:lightRig rig="threePt" dir="t"/>
              </a:scene3d>
              <a:sp3d contourW="9525"/>
            </c:spPr>
            <c:extLst>
              <c:ext xmlns:c16="http://schemas.microsoft.com/office/drawing/2014/chart" uri="{C3380CC4-5D6E-409C-BE32-E72D297353CC}">
                <c16:uniqueId val="{00000001-921E-4FCB-BF6A-61DDD0F70C84}"/>
              </c:ext>
            </c:extLst>
          </c:dPt>
          <c:dPt>
            <c:idx val="1"/>
            <c:bubble3D val="0"/>
            <c:spPr>
              <a:solidFill>
                <a:schemeClr val="accent5"/>
              </a:solidFill>
              <a:ln>
                <a:solidFill>
                  <a:schemeClr val="bg1"/>
                </a:solidFill>
              </a:ln>
              <a:effectLst/>
              <a:scene3d>
                <a:camera prst="orthographicFront"/>
                <a:lightRig rig="threePt" dir="t"/>
              </a:scene3d>
              <a:sp3d contourW="9525"/>
            </c:spPr>
            <c:extLst>
              <c:ext xmlns:c16="http://schemas.microsoft.com/office/drawing/2014/chart" uri="{C3380CC4-5D6E-409C-BE32-E72D297353CC}">
                <c16:uniqueId val="{00000003-921E-4FCB-BF6A-61DDD0F70C84}"/>
              </c:ext>
            </c:extLst>
          </c:dPt>
          <c:dPt>
            <c:idx val="2"/>
            <c:bubble3D val="0"/>
            <c:spPr>
              <a:solidFill>
                <a:srgbClr val="002060"/>
              </a:solidFill>
              <a:ln>
                <a:solidFill>
                  <a:schemeClr val="bg1"/>
                </a:solidFill>
              </a:ln>
              <a:effectLst/>
              <a:scene3d>
                <a:camera prst="orthographicFront"/>
                <a:lightRig rig="threePt" dir="t"/>
              </a:scene3d>
              <a:sp3d contourW="9525"/>
            </c:spPr>
            <c:extLst>
              <c:ext xmlns:c16="http://schemas.microsoft.com/office/drawing/2014/chart" uri="{C3380CC4-5D6E-409C-BE32-E72D297353CC}">
                <c16:uniqueId val="{00000005-921E-4FCB-BF6A-61DDD0F70C84}"/>
              </c:ext>
            </c:extLst>
          </c:dPt>
          <c:dLbls>
            <c:dLbl>
              <c:idx val="0"/>
              <c:layout>
                <c:manualLayout>
                  <c:x val="-0.15573093726333101"/>
                  <c:y val="3.010511587404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21E-4FCB-BF6A-61DDD0F70C84}"/>
                </c:ext>
              </c:extLst>
            </c:dLbl>
            <c:dLbl>
              <c:idx val="1"/>
              <c:dLblPos val="ct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21E-4FCB-BF6A-61DDD0F70C84}"/>
                </c:ext>
              </c:extLst>
            </c:dLbl>
            <c:dLbl>
              <c:idx val="2"/>
              <c:layout>
                <c:manualLayout>
                  <c:x val="0.13612968937057901"/>
                  <c:y val="-0.1486813020810079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21E-4FCB-BF6A-61DDD0F70C84}"/>
                </c:ext>
              </c:extLst>
            </c:dLbl>
            <c:spPr>
              <a:noFill/>
              <a:ln>
                <a:noFill/>
              </a:ln>
              <a:effectLst/>
            </c:spPr>
            <c:txPr>
              <a:bodyPr rot="0" spcFirstLastPara="0" vertOverflow="ellipsis" vert="horz" wrap="square" lIns="38100" tIns="19050" rIns="38100" bIns="19050" anchor="ctr" anchorCtr="1"/>
              <a:lstStyle/>
              <a:p>
                <a:pPr>
                  <a:defRPr lang="en-US" sz="1000" b="1" i="0" u="none" strike="noStrike" kern="1200" baseline="0">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'[Tablas y graficos.xlsx]DPD'!$G$41:$G$43</c:f>
              <c:strCache>
                <c:ptCount val="3"/>
                <c:pt idx="0">
                  <c:v>Completadas</c:v>
                </c:pt>
                <c:pt idx="1">
                  <c:v>En Poceso</c:v>
                </c:pt>
                <c:pt idx="2">
                  <c:v>No completadas</c:v>
                </c:pt>
              </c:strCache>
            </c:strRef>
          </c:cat>
          <c:val>
            <c:numRef>
              <c:f>'[Tablas y graficos.xlsx]DPD'!$H$41:$H$43</c:f>
              <c:numCache>
                <c:formatCode>General</c:formatCode>
                <c:ptCount val="3"/>
                <c:pt idx="0">
                  <c:v>98</c:v>
                </c:pt>
                <c:pt idx="1">
                  <c:v>17</c:v>
                </c:pt>
                <c:pt idx="2">
                  <c:v>127</c:v>
                </c:pt>
              </c:numCache>
            </c:numRef>
          </c:val>
          <c:extLst>
            <c:ext xmlns:c16="http://schemas.microsoft.com/office/drawing/2014/chart" uri="{C3380CC4-5D6E-409C-BE32-E72D297353CC}">
              <c16:uniqueId val="{00000006-921E-4FCB-BF6A-61DDD0F70C84}"/>
            </c:ext>
          </c:extLst>
        </c:ser>
        <c:dLbls>
          <c:showLegendKey val="0"/>
          <c:showVal val="0"/>
          <c:showCatName val="0"/>
          <c:showSerName val="0"/>
          <c:showPercent val="1"/>
          <c:showBubbleSize val="0"/>
          <c:showLeaderLines val="0"/>
        </c:dLbls>
      </c:pie3DChart>
      <c:spPr>
        <a:noFill/>
        <a:ln>
          <a:noFill/>
        </a:ln>
        <a:effectLst/>
      </c:spPr>
    </c:plotArea>
    <c:legend>
      <c:legendPos val="b"/>
      <c:legendEntry>
        <c:idx val="0"/>
        <c:txPr>
          <a:bodyPr rot="0" spcFirstLastPara="0" vertOverflow="ellipsis" vert="horz" wrap="square" anchor="ctr" anchorCtr="1"/>
          <a:lstStyle/>
          <a:p>
            <a:pPr>
              <a:defRPr lang="en-US"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egendEntry>
        <c:idx val="1"/>
        <c:txPr>
          <a:bodyPr rot="0" spcFirstLastPara="0" vertOverflow="ellipsis" vert="horz" wrap="square" anchor="ctr" anchorCtr="1"/>
          <a:lstStyle/>
          <a:p>
            <a:pPr>
              <a:defRPr lang="en-US"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legendEntry>
        <c:idx val="2"/>
        <c:txPr>
          <a:bodyPr rot="0" spcFirstLastPara="0" vertOverflow="ellipsis" vert="horz" wrap="square" anchor="ctr" anchorCtr="1"/>
          <a:lstStyle/>
          <a:p>
            <a:pPr>
              <a:defRPr lang="en-US"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Entry>
      <c:overlay val="0"/>
      <c:spPr>
        <a:noFill/>
        <a:ln>
          <a:noFill/>
        </a:ln>
        <a:effectLst/>
      </c:spPr>
      <c:txPr>
        <a:bodyPr rot="0" spcFirstLastPara="0" vertOverflow="ellipsis" vert="horz" wrap="square" anchor="ctr" anchorCtr="1"/>
        <a:lstStyle/>
        <a:p>
          <a:pPr>
            <a:defRPr lang="en-US"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legend>
    <c:plotVisOnly val="1"/>
    <c:dispBlanksAs val="gap"/>
    <c:showDLblsOverMax val="0"/>
    <c:extLst>
      <c:ext uri="{0b15fc19-7d7d-44ad-8c2d-2c3a37ce22c3}">
        <chartProps xmlns="https://web.wps.cn/et/2018/main" chartId="{c9e4f41b-d05f-4682-8841-663abc4dfaa0}"/>
      </c:ext>
    </c:extLst>
  </c:chart>
  <c:spPr>
    <a:solidFill>
      <a:schemeClr val="bg1"/>
    </a:solidFill>
    <a:ln w="9525" cap="flat" cmpd="sng" algn="ctr">
      <a:solidFill>
        <a:schemeClr val="tx1">
          <a:lumMod val="15000"/>
          <a:lumOff val="85000"/>
        </a:schemeClr>
      </a:solidFill>
      <a:round/>
    </a:ln>
    <a:effectLst/>
  </c:spPr>
  <c:txPr>
    <a:bodyPr/>
    <a:lstStyle/>
    <a:p>
      <a:pPr>
        <a:defRPr lang="en-US" b="1">
          <a:solidFill>
            <a:schemeClr val="bg1"/>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chemeClr val="accent5">
                  <a:lumMod val="75000"/>
                </a:schemeClr>
              </a:solidFill>
              <a:ln>
                <a:noFill/>
              </a:ln>
              <a:effectLst/>
              <a:sp3d/>
            </c:spPr>
            <c:extLst>
              <c:ext xmlns:c16="http://schemas.microsoft.com/office/drawing/2014/chart" uri="{C3380CC4-5D6E-409C-BE32-E72D297353CC}">
                <c16:uniqueId val="{00000001-98BD-4374-B59A-A6B2749FA81E}"/>
              </c:ext>
            </c:extLst>
          </c:dPt>
          <c:dPt>
            <c:idx val="2"/>
            <c:invertIfNegative val="0"/>
            <c:bubble3D val="0"/>
            <c:spPr>
              <a:solidFill>
                <a:schemeClr val="accent1">
                  <a:lumMod val="75000"/>
                </a:schemeClr>
              </a:solidFill>
              <a:ln>
                <a:noFill/>
              </a:ln>
              <a:effectLst/>
              <a:sp3d/>
            </c:spPr>
            <c:extLst>
              <c:ext xmlns:c16="http://schemas.microsoft.com/office/drawing/2014/chart" uri="{C3380CC4-5D6E-409C-BE32-E72D297353CC}">
                <c16:uniqueId val="{00000003-98BD-4374-B59A-A6B2749FA81E}"/>
              </c:ext>
            </c:extLst>
          </c:dPt>
          <c:dPt>
            <c:idx val="3"/>
            <c:invertIfNegative val="0"/>
            <c:bubble3D val="0"/>
            <c:spPr>
              <a:solidFill>
                <a:schemeClr val="accent5">
                  <a:lumMod val="50000"/>
                </a:schemeClr>
              </a:solidFill>
              <a:ln>
                <a:noFill/>
              </a:ln>
              <a:effectLst/>
              <a:sp3d/>
            </c:spPr>
            <c:extLst>
              <c:ext xmlns:c16="http://schemas.microsoft.com/office/drawing/2014/chart" uri="{C3380CC4-5D6E-409C-BE32-E72D297353CC}">
                <c16:uniqueId val="{00000005-98BD-4374-B59A-A6B2749FA81E}"/>
              </c:ext>
            </c:extLst>
          </c:dPt>
          <c:cat>
            <c:strRef>
              <c:f>DPD!$I$74:$I$77</c:f>
              <c:strCache>
                <c:ptCount val="4"/>
                <c:pt idx="0">
                  <c:v>Elementos Tangibles</c:v>
                </c:pt>
                <c:pt idx="1">
                  <c:v>Fiablididad y Seguridad</c:v>
                </c:pt>
                <c:pt idx="2">
                  <c:v>Capacidad de Respuesta</c:v>
                </c:pt>
                <c:pt idx="3">
                  <c:v>Empatía </c:v>
                </c:pt>
              </c:strCache>
            </c:strRef>
          </c:cat>
          <c:val>
            <c:numRef>
              <c:f>DPD!$J$74:$J$77</c:f>
              <c:numCache>
                <c:formatCode>0.00%</c:formatCode>
                <c:ptCount val="4"/>
                <c:pt idx="0">
                  <c:v>0.90080000000000005</c:v>
                </c:pt>
                <c:pt idx="1">
                  <c:v>0.93610000000000004</c:v>
                </c:pt>
                <c:pt idx="2">
                  <c:v>0.93920000000000003</c:v>
                </c:pt>
                <c:pt idx="3">
                  <c:v>0.93359999999999999</c:v>
                </c:pt>
              </c:numCache>
            </c:numRef>
          </c:val>
          <c:extLst>
            <c:ext xmlns:c16="http://schemas.microsoft.com/office/drawing/2014/chart" uri="{C3380CC4-5D6E-409C-BE32-E72D297353CC}">
              <c16:uniqueId val="{00000006-98BD-4374-B59A-A6B2749FA81E}"/>
            </c:ext>
          </c:extLst>
        </c:ser>
        <c:dLbls>
          <c:showLegendKey val="0"/>
          <c:showVal val="0"/>
          <c:showCatName val="0"/>
          <c:showSerName val="0"/>
          <c:showPercent val="0"/>
          <c:showBubbleSize val="0"/>
        </c:dLbls>
        <c:gapWidth val="150"/>
        <c:shape val="box"/>
        <c:axId val="929541103"/>
        <c:axId val="929543183"/>
        <c:axId val="0"/>
      </c:bar3DChart>
      <c:catAx>
        <c:axId val="9295411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9543183"/>
        <c:crosses val="autoZero"/>
        <c:auto val="1"/>
        <c:lblAlgn val="ctr"/>
        <c:lblOffset val="100"/>
        <c:noMultiLvlLbl val="0"/>
      </c:catAx>
      <c:valAx>
        <c:axId val="92954318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295411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F30A6CE25F72439F7FC13907032A38" ma:contentTypeVersion="14" ma:contentTypeDescription="Crear nuevo documento." ma:contentTypeScope="" ma:versionID="780bff1bad0a8160817c19e4d952033a">
  <xsd:schema xmlns:xsd="http://www.w3.org/2001/XMLSchema" xmlns:xs="http://www.w3.org/2001/XMLSchema" xmlns:p="http://schemas.microsoft.com/office/2006/metadata/properties" xmlns:ns2="dfdfb797-3126-47b3-9fef-5cc13b5f614e" xmlns:ns3="e8617d31-6601-444b-9743-cd4341d3dd77" targetNamespace="http://schemas.microsoft.com/office/2006/metadata/properties" ma:root="true" ma:fieldsID="5be0b1100123faf2db902cea08e0669a" ns2:_="" ns3:_="">
    <xsd:import namespace="dfdfb797-3126-47b3-9fef-5cc13b5f614e"/>
    <xsd:import namespace="e8617d31-6601-444b-9743-cd4341d3dd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fb797-3126-47b3-9fef-5cc13b5f6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7c67cf3d-db8c-4e05-8615-7d2f3e69ef8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617d31-6601-444b-9743-cd4341d3dd77"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1529b2b3-daf9-45e6-b28a-5c43b4267efb}" ma:internalName="TaxCatchAll" ma:showField="CatchAllData" ma:web="e8617d31-6601-444b-9743-cd4341d3d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dfb797-3126-47b3-9fef-5cc13b5f614e">
      <Terms xmlns="http://schemas.microsoft.com/office/infopath/2007/PartnerControls"/>
    </lcf76f155ced4ddcb4097134ff3c332f>
    <TaxCatchAll xmlns="e8617d31-6601-444b-9743-cd4341d3dd77" xsi:nil="true"/>
  </documentManagement>
</p:properties>
</file>

<file path=customXml/itemProps1.xml><?xml version="1.0" encoding="utf-8"?>
<ds:datastoreItem xmlns:ds="http://schemas.openxmlformats.org/officeDocument/2006/customXml" ds:itemID="{BFFD1716-8539-4E9A-BEE3-F566792A4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fb797-3126-47b3-9fef-5cc13b5f614e"/>
    <ds:schemaRef ds:uri="e8617d31-6601-444b-9743-cd4341d3d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3.xml><?xml version="1.0" encoding="utf-8"?>
<ds:datastoreItem xmlns:ds="http://schemas.openxmlformats.org/officeDocument/2006/customXml" ds:itemID="{6B5DA1BB-874A-49A8-9E40-002DB8A2F635}">
  <ds:schemaRefs>
    <ds:schemaRef ds:uri="http://schemas.microsoft.com/sharepoint/v3/contenttype/forms"/>
  </ds:schemaRefs>
</ds:datastoreItem>
</file>

<file path=customXml/itemProps4.xml><?xml version="1.0" encoding="utf-8"?>
<ds:datastoreItem xmlns:ds="http://schemas.openxmlformats.org/officeDocument/2006/customXml" ds:itemID="{B24A3696-C1AD-402F-A3D8-EE3BD66E4C2C}">
  <ds:schemaRefs>
    <ds:schemaRef ds:uri="http://schemas.microsoft.com/office/2006/metadata/properties"/>
    <ds:schemaRef ds:uri="http://schemas.microsoft.com/office/infopath/2007/PartnerControls"/>
    <ds:schemaRef ds:uri="dfdfb797-3126-47b3-9fef-5cc13b5f614e"/>
    <ds:schemaRef ds:uri="e8617d31-6601-444b-9743-cd4341d3dd77"/>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144</Pages>
  <Words>32418</Words>
  <Characters>178305</Characters>
  <Application>Microsoft Office Word</Application>
  <DocSecurity>0</DocSecurity>
  <Lines>1485</Lines>
  <Paragraphs>420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Ydalia Martínez</cp:lastModifiedBy>
  <cp:revision>4</cp:revision>
  <cp:lastPrinted>2025-04-29T03:24:00Z</cp:lastPrinted>
  <dcterms:created xsi:type="dcterms:W3CDTF">2025-12-30T02:37:00Z</dcterms:created>
  <dcterms:modified xsi:type="dcterms:W3CDTF">2025-12-30T14:09:00Z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0x0101002EF30A6CE25F72439F7FC13907032A38</vt:lpwstr>
  </property>
  <property fmtid="{D5CDD505-2E9C-101B-9397-08002B2CF9AE}" pid="3" name="MediaServiceImageTags">
    <vt:lpwstr/>
  </property>
</Properties>
</file>