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B4C" w:rsidRPr="00BB231B" w:rsidRDefault="00640B4C" w:rsidP="00376A88">
      <w:pPr>
        <w:tabs>
          <w:tab w:val="left" w:pos="5954"/>
          <w:tab w:val="left" w:pos="10245"/>
        </w:tabs>
        <w:spacing w:before="0" w:after="0"/>
        <w:rPr>
          <w:rFonts w:ascii="Times New Roman" w:hAnsi="Times New Roman" w:cs="Times New Roman"/>
          <w:color w:val="000000" w:themeColor="text1"/>
          <w:lang w:val="es-DO"/>
        </w:rPr>
      </w:pPr>
      <w:bookmarkStart w:id="0" w:name="_GoBack"/>
      <w:bookmarkEnd w:id="0"/>
      <w:r w:rsidRPr="00BB231B">
        <w:rPr>
          <w:rFonts w:ascii="Times New Roman" w:hAnsi="Times New Roman" w:cs="Times New Roman"/>
          <w:color w:val="000000" w:themeColor="text1"/>
          <w:lang w:val="es-DO"/>
        </w:rPr>
        <w:tab/>
      </w:r>
    </w:p>
    <w:p w:rsidR="00C147D2" w:rsidRPr="00BB231B" w:rsidRDefault="00C147D2" w:rsidP="00C147D2">
      <w:pPr>
        <w:spacing w:before="100"/>
        <w:jc w:val="center"/>
        <w:rPr>
          <w:rFonts w:ascii="Times New Roman" w:hAnsi="Times New Roman" w:cs="Times New Roman"/>
        </w:rPr>
      </w:pPr>
      <w:r w:rsidRPr="00BB231B">
        <w:rPr>
          <w:rFonts w:ascii="Times New Roman" w:hAnsi="Times New Roman" w:cs="Times New Roman"/>
          <w:noProof/>
          <w:lang w:val="es-US" w:eastAsia="es-US"/>
        </w:rPr>
        <w:drawing>
          <wp:inline distT="0" distB="0" distL="0" distR="0" wp14:anchorId="075016E8" wp14:editId="268B6CD8">
            <wp:extent cx="1790700" cy="187452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1874520"/>
                    </a:xfrm>
                    <a:prstGeom prst="rect">
                      <a:avLst/>
                    </a:prstGeom>
                    <a:noFill/>
                    <a:ln>
                      <a:noFill/>
                    </a:ln>
                  </pic:spPr>
                </pic:pic>
              </a:graphicData>
            </a:graphic>
          </wp:inline>
        </w:drawing>
      </w:r>
    </w:p>
    <w:p w:rsidR="00C147D2" w:rsidRPr="00BB231B" w:rsidRDefault="00C147D2" w:rsidP="00C147D2">
      <w:pPr>
        <w:spacing w:before="100"/>
        <w:jc w:val="center"/>
        <w:rPr>
          <w:rFonts w:ascii="Times New Roman" w:hAnsi="Times New Roman" w:cs="Times New Roman"/>
          <w:color w:val="auto"/>
        </w:rPr>
      </w:pPr>
      <w:r w:rsidRPr="00BB231B">
        <w:rPr>
          <w:rFonts w:ascii="Times New Roman" w:eastAsia="Times New Roman" w:hAnsi="Times New Roman" w:cs="Times New Roman"/>
          <w:b/>
          <w:color w:val="auto"/>
          <w:position w:val="-1"/>
          <w:sz w:val="52"/>
          <w:szCs w:val="52"/>
          <w:lang w:val="es-DO"/>
        </w:rPr>
        <w:t>Repúbli</w:t>
      </w:r>
      <w:r w:rsidRPr="00BB231B">
        <w:rPr>
          <w:rFonts w:ascii="Times New Roman" w:eastAsia="Times New Roman" w:hAnsi="Times New Roman" w:cs="Times New Roman"/>
          <w:b/>
          <w:color w:val="auto"/>
          <w:spacing w:val="-3"/>
          <w:position w:val="-1"/>
          <w:sz w:val="52"/>
          <w:szCs w:val="52"/>
          <w:lang w:val="es-DO"/>
        </w:rPr>
        <w:t>c</w:t>
      </w:r>
      <w:r w:rsidRPr="00BB231B">
        <w:rPr>
          <w:rFonts w:ascii="Times New Roman" w:eastAsia="Times New Roman" w:hAnsi="Times New Roman" w:cs="Times New Roman"/>
          <w:b/>
          <w:color w:val="auto"/>
          <w:position w:val="-1"/>
          <w:sz w:val="52"/>
          <w:szCs w:val="52"/>
          <w:lang w:val="es-DO"/>
        </w:rPr>
        <w:t>a</w:t>
      </w:r>
      <w:r w:rsidRPr="00BB231B">
        <w:rPr>
          <w:rFonts w:ascii="Times New Roman" w:eastAsia="Times New Roman" w:hAnsi="Times New Roman" w:cs="Times New Roman"/>
          <w:b/>
          <w:color w:val="auto"/>
          <w:spacing w:val="-1"/>
          <w:position w:val="-1"/>
          <w:sz w:val="52"/>
          <w:szCs w:val="52"/>
          <w:lang w:val="es-DO"/>
        </w:rPr>
        <w:t xml:space="preserve"> </w:t>
      </w:r>
      <w:r w:rsidRPr="00BB231B">
        <w:rPr>
          <w:rFonts w:ascii="Times New Roman" w:eastAsia="Times New Roman" w:hAnsi="Times New Roman" w:cs="Times New Roman"/>
          <w:b/>
          <w:color w:val="auto"/>
          <w:position w:val="-1"/>
          <w:sz w:val="52"/>
          <w:szCs w:val="52"/>
          <w:lang w:val="es-DO"/>
        </w:rPr>
        <w:t>Dominic</w:t>
      </w:r>
      <w:r w:rsidRPr="00BB231B">
        <w:rPr>
          <w:rFonts w:ascii="Times New Roman" w:eastAsia="Times New Roman" w:hAnsi="Times New Roman" w:cs="Times New Roman"/>
          <w:b/>
          <w:color w:val="auto"/>
          <w:spacing w:val="-3"/>
          <w:position w:val="-1"/>
          <w:sz w:val="52"/>
          <w:szCs w:val="52"/>
          <w:lang w:val="es-DO"/>
        </w:rPr>
        <w:t>a</w:t>
      </w:r>
      <w:r w:rsidRPr="00BB231B">
        <w:rPr>
          <w:rFonts w:ascii="Times New Roman" w:eastAsia="Times New Roman" w:hAnsi="Times New Roman" w:cs="Times New Roman"/>
          <w:b/>
          <w:color w:val="auto"/>
          <w:spacing w:val="-2"/>
          <w:position w:val="-1"/>
          <w:sz w:val="52"/>
          <w:szCs w:val="52"/>
          <w:lang w:val="es-DO"/>
        </w:rPr>
        <w:t>n</w:t>
      </w:r>
      <w:r w:rsidRPr="00BB231B">
        <w:rPr>
          <w:rFonts w:ascii="Times New Roman" w:eastAsia="Times New Roman" w:hAnsi="Times New Roman" w:cs="Times New Roman"/>
          <w:b/>
          <w:color w:val="auto"/>
          <w:position w:val="-1"/>
          <w:sz w:val="52"/>
          <w:szCs w:val="52"/>
          <w:lang w:val="es-DO"/>
        </w:rPr>
        <w:t>a</w:t>
      </w: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before="100"/>
        <w:jc w:val="center"/>
        <w:rPr>
          <w:rFonts w:ascii="Times New Roman" w:eastAsia="Times New Roman" w:hAnsi="Times New Roman" w:cs="Times New Roman"/>
          <w:b/>
          <w:color w:val="auto"/>
          <w:position w:val="-1"/>
          <w:sz w:val="52"/>
          <w:szCs w:val="52"/>
          <w:lang w:val="es-DO"/>
        </w:rPr>
      </w:pPr>
      <w:r w:rsidRPr="00BB231B">
        <w:rPr>
          <w:rFonts w:ascii="Times New Roman" w:eastAsia="Times New Roman" w:hAnsi="Times New Roman" w:cs="Times New Roman"/>
          <w:b/>
          <w:color w:val="auto"/>
          <w:position w:val="-1"/>
          <w:sz w:val="52"/>
          <w:szCs w:val="52"/>
          <w:lang w:val="es-DO"/>
        </w:rPr>
        <w:t xml:space="preserve">   Contraloría General de la </w:t>
      </w:r>
      <w:r w:rsidR="00184F47" w:rsidRPr="00BB231B">
        <w:rPr>
          <w:rFonts w:ascii="Times New Roman" w:eastAsia="Times New Roman" w:hAnsi="Times New Roman" w:cs="Times New Roman"/>
          <w:b/>
          <w:color w:val="auto"/>
          <w:position w:val="-1"/>
          <w:sz w:val="52"/>
          <w:szCs w:val="52"/>
          <w:lang w:val="es-DO"/>
        </w:rPr>
        <w:t xml:space="preserve">  </w:t>
      </w:r>
      <w:r w:rsidRPr="00BB231B">
        <w:rPr>
          <w:rFonts w:ascii="Times New Roman" w:eastAsia="Times New Roman" w:hAnsi="Times New Roman" w:cs="Times New Roman"/>
          <w:b/>
          <w:color w:val="auto"/>
          <w:position w:val="-1"/>
          <w:sz w:val="52"/>
          <w:szCs w:val="52"/>
          <w:lang w:val="es-DO"/>
        </w:rPr>
        <w:t>República</w:t>
      </w:r>
      <w:r w:rsidR="00941DB3" w:rsidRPr="00BB231B">
        <w:rPr>
          <w:rFonts w:ascii="Times New Roman" w:eastAsia="Times New Roman" w:hAnsi="Times New Roman" w:cs="Times New Roman"/>
          <w:b/>
          <w:color w:val="auto"/>
          <w:position w:val="-1"/>
          <w:sz w:val="52"/>
          <w:szCs w:val="52"/>
          <w:lang w:val="es-DO"/>
        </w:rPr>
        <w:t xml:space="preserve"> Dominicana</w:t>
      </w:r>
      <w:r w:rsidRPr="00BB231B">
        <w:rPr>
          <w:rFonts w:ascii="Times New Roman" w:eastAsia="Times New Roman" w:hAnsi="Times New Roman" w:cs="Times New Roman"/>
          <w:b/>
          <w:color w:val="auto"/>
          <w:position w:val="-1"/>
          <w:sz w:val="52"/>
          <w:szCs w:val="52"/>
          <w:lang w:val="es-DO"/>
        </w:rPr>
        <w:t xml:space="preserve"> (CGR</w:t>
      </w:r>
      <w:r w:rsidR="00941DB3" w:rsidRPr="00BB231B">
        <w:rPr>
          <w:rFonts w:ascii="Times New Roman" w:eastAsia="Times New Roman" w:hAnsi="Times New Roman" w:cs="Times New Roman"/>
          <w:b/>
          <w:color w:val="auto"/>
          <w:position w:val="-1"/>
          <w:sz w:val="52"/>
          <w:szCs w:val="52"/>
          <w:lang w:val="es-DO"/>
        </w:rPr>
        <w:t>D</w:t>
      </w:r>
      <w:r w:rsidRPr="00BB231B">
        <w:rPr>
          <w:rFonts w:ascii="Times New Roman" w:eastAsia="Times New Roman" w:hAnsi="Times New Roman" w:cs="Times New Roman"/>
          <w:b/>
          <w:color w:val="auto"/>
          <w:position w:val="-1"/>
          <w:sz w:val="52"/>
          <w:szCs w:val="52"/>
          <w:lang w:val="es-DO"/>
        </w:rPr>
        <w:t>)</w:t>
      </w:r>
    </w:p>
    <w:p w:rsidR="00C147D2" w:rsidRPr="00BB231B" w:rsidRDefault="00C147D2" w:rsidP="00C147D2">
      <w:pPr>
        <w:spacing w:before="7" w:line="180" w:lineRule="exact"/>
        <w:jc w:val="center"/>
        <w:rPr>
          <w:rFonts w:ascii="Times New Roman" w:hAnsi="Times New Roman" w:cs="Times New Roman"/>
          <w:color w:val="auto"/>
          <w:sz w:val="18"/>
          <w:szCs w:val="18"/>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C147D2" w:rsidP="00C147D2">
      <w:pPr>
        <w:spacing w:line="200" w:lineRule="exact"/>
        <w:rPr>
          <w:rFonts w:ascii="Times New Roman" w:hAnsi="Times New Roman" w:cs="Times New Roman"/>
          <w:color w:val="auto"/>
          <w:lang w:val="es-DO"/>
        </w:rPr>
      </w:pPr>
    </w:p>
    <w:p w:rsidR="00C147D2" w:rsidRPr="00BB231B" w:rsidRDefault="00184F47" w:rsidP="00184F47">
      <w:pPr>
        <w:spacing w:before="100"/>
        <w:jc w:val="center"/>
        <w:rPr>
          <w:rFonts w:ascii="Times New Roman" w:eastAsia="Times New Roman" w:hAnsi="Times New Roman" w:cs="Times New Roman"/>
          <w:b/>
          <w:color w:val="auto"/>
          <w:position w:val="-1"/>
          <w:sz w:val="40"/>
          <w:szCs w:val="40"/>
          <w:lang w:val="es-DO"/>
        </w:rPr>
      </w:pPr>
      <w:r w:rsidRPr="00BB231B">
        <w:rPr>
          <w:rFonts w:ascii="Times New Roman" w:eastAsia="Times New Roman" w:hAnsi="Times New Roman" w:cs="Times New Roman"/>
          <w:b/>
          <w:color w:val="auto"/>
          <w:sz w:val="40"/>
          <w:szCs w:val="40"/>
          <w:lang w:val="es-DO"/>
        </w:rPr>
        <w:t xml:space="preserve"> </w:t>
      </w:r>
      <w:r w:rsidRPr="00BB231B">
        <w:rPr>
          <w:rFonts w:ascii="Times New Roman" w:eastAsia="Times New Roman" w:hAnsi="Times New Roman" w:cs="Times New Roman"/>
          <w:b/>
          <w:color w:val="auto"/>
          <w:position w:val="-1"/>
          <w:sz w:val="40"/>
          <w:szCs w:val="40"/>
          <w:lang w:val="es-DO"/>
        </w:rPr>
        <w:t>Memoria Institucional</w:t>
      </w:r>
    </w:p>
    <w:p w:rsidR="00184F47" w:rsidRPr="00BB231B" w:rsidRDefault="00184F47" w:rsidP="00184F47">
      <w:pPr>
        <w:ind w:left="1418" w:right="2561" w:firstLine="709"/>
        <w:jc w:val="center"/>
        <w:rPr>
          <w:rFonts w:ascii="Times New Roman" w:hAnsi="Times New Roman" w:cs="Times New Roman"/>
          <w:color w:val="auto"/>
          <w:sz w:val="40"/>
          <w:szCs w:val="40"/>
          <w:lang w:val="es-DO"/>
        </w:rPr>
      </w:pPr>
    </w:p>
    <w:p w:rsidR="00C147D2" w:rsidRPr="00BB231B" w:rsidRDefault="00C147D2" w:rsidP="00184F47">
      <w:pPr>
        <w:spacing w:before="100"/>
        <w:jc w:val="center"/>
        <w:rPr>
          <w:rFonts w:ascii="Times New Roman" w:eastAsia="Times New Roman" w:hAnsi="Times New Roman" w:cs="Times New Roman"/>
          <w:b/>
          <w:color w:val="auto"/>
          <w:position w:val="-1"/>
          <w:sz w:val="32"/>
          <w:szCs w:val="32"/>
          <w:lang w:val="es-DO"/>
        </w:rPr>
        <w:sectPr w:rsidR="00C147D2" w:rsidRPr="00BB231B" w:rsidSect="00951486">
          <w:footerReference w:type="default" r:id="rId10"/>
          <w:pgSz w:w="12240" w:h="15840"/>
          <w:pgMar w:top="1440" w:right="2160" w:bottom="1440" w:left="2160" w:header="0" w:footer="1015" w:gutter="0"/>
          <w:pgNumType w:start="1"/>
          <w:cols w:space="720"/>
        </w:sectPr>
      </w:pPr>
      <w:r w:rsidRPr="00BB231B">
        <w:rPr>
          <w:rFonts w:ascii="Times New Roman" w:eastAsia="Times New Roman" w:hAnsi="Times New Roman" w:cs="Times New Roman"/>
          <w:b/>
          <w:color w:val="auto"/>
          <w:position w:val="-1"/>
          <w:sz w:val="32"/>
          <w:szCs w:val="32"/>
          <w:lang w:val="es-DO"/>
        </w:rPr>
        <w:t>Año 2017</w:t>
      </w:r>
    </w:p>
    <w:p w:rsidR="00F837BC" w:rsidRPr="00BB231B" w:rsidRDefault="00804106" w:rsidP="00AD2132">
      <w:pPr>
        <w:pStyle w:val="Normal-blanco"/>
        <w:numPr>
          <w:ilvl w:val="0"/>
          <w:numId w:val="23"/>
        </w:numPr>
        <w:spacing w:before="0" w:after="0"/>
        <w:ind w:left="426" w:right="199" w:hanging="284"/>
        <w:rPr>
          <w:rStyle w:val="nfasissutil"/>
          <w:rFonts w:ascii="Times New Roman" w:hAnsi="Times New Roman" w:cs="Times New Roman"/>
          <w:b/>
          <w:color w:val="000000" w:themeColor="text1"/>
          <w:sz w:val="32"/>
          <w:szCs w:val="32"/>
          <w:lang w:val="es-DO"/>
        </w:rPr>
      </w:pPr>
      <w:bookmarkStart w:id="1" w:name="_Toc500858007"/>
      <w:bookmarkStart w:id="2" w:name="_Toc500858157"/>
      <w:bookmarkStart w:id="3" w:name="_Toc488412818"/>
      <w:bookmarkStart w:id="4" w:name="_Toc274559601"/>
      <w:bookmarkStart w:id="5" w:name="_Toc274570362"/>
      <w:r w:rsidRPr="00BB231B">
        <w:rPr>
          <w:rStyle w:val="nfasissutil"/>
          <w:rFonts w:ascii="Times New Roman" w:hAnsi="Times New Roman" w:cs="Times New Roman"/>
          <w:b/>
          <w:color w:val="000000" w:themeColor="text1"/>
          <w:sz w:val="32"/>
          <w:szCs w:val="32"/>
          <w:lang w:val="es-DO"/>
        </w:rPr>
        <w:lastRenderedPageBreak/>
        <w:t>INDICE DE CONTENIDO</w:t>
      </w:r>
      <w:bookmarkEnd w:id="1"/>
      <w:bookmarkEnd w:id="2"/>
    </w:p>
    <w:p w:rsidR="00AD2132" w:rsidRPr="00BB231B" w:rsidRDefault="00A77178">
      <w:pPr>
        <w:pStyle w:val="TDC1"/>
        <w:tabs>
          <w:tab w:val="left" w:pos="660"/>
          <w:tab w:val="right" w:pos="7910"/>
        </w:tabs>
        <w:rPr>
          <w:rFonts w:ascii="Times New Roman" w:hAnsi="Times New Roman" w:cs="Times New Roman"/>
          <w:b w:val="0"/>
          <w:bCs w:val="0"/>
          <w:caps w:val="0"/>
          <w:noProof/>
          <w:color w:val="auto"/>
          <w:sz w:val="22"/>
          <w:szCs w:val="22"/>
          <w:lang w:val="en-US"/>
        </w:rPr>
      </w:pPr>
      <w:r w:rsidRPr="00BB231B">
        <w:rPr>
          <w:rStyle w:val="nfasissutil"/>
          <w:rFonts w:ascii="Times New Roman" w:hAnsi="Times New Roman" w:cs="Times New Roman"/>
          <w:b w:val="0"/>
          <w:color w:val="000000" w:themeColor="text1"/>
          <w:sz w:val="22"/>
          <w:lang w:val="es-DO"/>
        </w:rPr>
        <w:fldChar w:fldCharType="begin"/>
      </w:r>
      <w:r w:rsidRPr="00BB231B">
        <w:rPr>
          <w:rStyle w:val="nfasissutil"/>
          <w:rFonts w:ascii="Times New Roman" w:hAnsi="Times New Roman" w:cs="Times New Roman"/>
          <w:b w:val="0"/>
          <w:color w:val="000000" w:themeColor="text1"/>
          <w:sz w:val="22"/>
          <w:lang w:val="es-DO"/>
        </w:rPr>
        <w:instrText xml:space="preserve"> TOC \o "1-3" \h \z \u </w:instrText>
      </w:r>
      <w:r w:rsidRPr="00BB231B">
        <w:rPr>
          <w:rStyle w:val="nfasissutil"/>
          <w:rFonts w:ascii="Times New Roman" w:hAnsi="Times New Roman" w:cs="Times New Roman"/>
          <w:b w:val="0"/>
          <w:color w:val="000000" w:themeColor="text1"/>
          <w:sz w:val="22"/>
          <w:lang w:val="es-DO"/>
        </w:rPr>
        <w:fldChar w:fldCharType="separate"/>
      </w:r>
      <w:hyperlink w:anchor="_Toc500918585" w:history="1">
        <w:r w:rsidR="00AD2132" w:rsidRPr="00BB231B">
          <w:rPr>
            <w:rStyle w:val="Hipervnculo"/>
            <w:rFonts w:ascii="Times New Roman" w:hAnsi="Times New Roman" w:cs="Times New Roman"/>
            <w:noProof/>
            <w:lang w:val="es-DO"/>
          </w:rPr>
          <w:t>II.</w:t>
        </w:r>
        <w:r w:rsidR="00AD2132" w:rsidRPr="00BB231B">
          <w:rPr>
            <w:rFonts w:ascii="Times New Roman" w:hAnsi="Times New Roman" w:cs="Times New Roman"/>
            <w:b w:val="0"/>
            <w:bCs w:val="0"/>
            <w:caps w:val="0"/>
            <w:noProof/>
            <w:color w:val="auto"/>
            <w:sz w:val="22"/>
            <w:szCs w:val="22"/>
            <w:lang w:val="en-US"/>
          </w:rPr>
          <w:tab/>
        </w:r>
        <w:r w:rsidR="00AD2132" w:rsidRPr="00BB231B">
          <w:rPr>
            <w:rStyle w:val="Hipervnculo"/>
            <w:rFonts w:ascii="Times New Roman" w:hAnsi="Times New Roman" w:cs="Times New Roman"/>
            <w:noProof/>
            <w:lang w:val="es-DO"/>
          </w:rPr>
          <w:t>RESUMEN EJECUTIVO</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_Toc500918585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3</w:t>
        </w:r>
        <w:r w:rsidR="00AD2132" w:rsidRPr="00BB231B">
          <w:rPr>
            <w:rFonts w:ascii="Times New Roman" w:hAnsi="Times New Roman" w:cs="Times New Roman"/>
            <w:noProof/>
            <w:webHidden/>
          </w:rPr>
          <w:fldChar w:fldCharType="end"/>
        </w:r>
      </w:hyperlink>
    </w:p>
    <w:p w:rsidR="00AD2132" w:rsidRPr="00BB231B" w:rsidRDefault="00F77E97">
      <w:pPr>
        <w:pStyle w:val="TDC1"/>
        <w:tabs>
          <w:tab w:val="left" w:pos="660"/>
          <w:tab w:val="right" w:pos="7910"/>
        </w:tabs>
        <w:rPr>
          <w:rFonts w:ascii="Times New Roman" w:hAnsi="Times New Roman" w:cs="Times New Roman"/>
          <w:b w:val="0"/>
          <w:bCs w:val="0"/>
          <w:caps w:val="0"/>
          <w:noProof/>
          <w:color w:val="auto"/>
          <w:sz w:val="22"/>
          <w:szCs w:val="22"/>
          <w:lang w:val="en-US"/>
        </w:rPr>
      </w:pPr>
      <w:hyperlink w:anchor="_Toc500918586" w:history="1">
        <w:r w:rsidR="00AD2132" w:rsidRPr="00BB231B">
          <w:rPr>
            <w:rStyle w:val="Hipervnculo"/>
            <w:rFonts w:ascii="Times New Roman" w:hAnsi="Times New Roman" w:cs="Times New Roman"/>
            <w:noProof/>
            <w:lang w:val="es-DO"/>
          </w:rPr>
          <w:t>III.</w:t>
        </w:r>
        <w:r w:rsidR="00AD2132" w:rsidRPr="00BB231B">
          <w:rPr>
            <w:rFonts w:ascii="Times New Roman" w:hAnsi="Times New Roman" w:cs="Times New Roman"/>
            <w:b w:val="0"/>
            <w:bCs w:val="0"/>
            <w:caps w:val="0"/>
            <w:noProof/>
            <w:color w:val="auto"/>
            <w:sz w:val="22"/>
            <w:szCs w:val="22"/>
            <w:lang w:val="en-US"/>
          </w:rPr>
          <w:tab/>
        </w:r>
        <w:r w:rsidR="00AD2132" w:rsidRPr="00BB231B">
          <w:rPr>
            <w:rStyle w:val="Hipervnculo"/>
            <w:rFonts w:ascii="Times New Roman" w:hAnsi="Times New Roman" w:cs="Times New Roman"/>
            <w:noProof/>
            <w:lang w:val="es-DO"/>
          </w:rPr>
          <w:t>INFORMACION INSTITUCIONAL</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_Toc500918586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6</w:t>
        </w:r>
        <w:r w:rsidR="00AD2132" w:rsidRPr="00BB231B">
          <w:rPr>
            <w:rFonts w:ascii="Times New Roman" w:hAnsi="Times New Roman" w:cs="Times New Roman"/>
            <w:noProof/>
            <w:webHidden/>
          </w:rPr>
          <w:fldChar w:fldCharType="end"/>
        </w:r>
      </w:hyperlink>
    </w:p>
    <w:p w:rsidR="00AD2132" w:rsidRPr="00BB231B" w:rsidRDefault="00F77E97">
      <w:pPr>
        <w:pStyle w:val="TDC1"/>
        <w:tabs>
          <w:tab w:val="left" w:pos="660"/>
          <w:tab w:val="right" w:pos="7910"/>
        </w:tabs>
        <w:rPr>
          <w:rFonts w:ascii="Times New Roman" w:hAnsi="Times New Roman" w:cs="Times New Roman"/>
          <w:b w:val="0"/>
          <w:bCs w:val="0"/>
          <w:caps w:val="0"/>
          <w:noProof/>
          <w:color w:val="auto"/>
          <w:sz w:val="22"/>
          <w:szCs w:val="22"/>
          <w:lang w:val="en-US"/>
        </w:rPr>
      </w:pPr>
      <w:hyperlink w:anchor="_Toc500918589" w:history="1">
        <w:r w:rsidR="00AD2132" w:rsidRPr="00BB231B">
          <w:rPr>
            <w:rStyle w:val="Hipervnculo"/>
            <w:rFonts w:ascii="Times New Roman" w:hAnsi="Times New Roman" w:cs="Times New Roman"/>
            <w:noProof/>
            <w:lang w:val="es-DO"/>
          </w:rPr>
          <w:t>IV.</w:t>
        </w:r>
        <w:r w:rsidR="00AD2132" w:rsidRPr="00BB231B">
          <w:rPr>
            <w:rFonts w:ascii="Times New Roman" w:hAnsi="Times New Roman" w:cs="Times New Roman"/>
            <w:b w:val="0"/>
            <w:bCs w:val="0"/>
            <w:caps w:val="0"/>
            <w:noProof/>
            <w:color w:val="auto"/>
            <w:sz w:val="22"/>
            <w:szCs w:val="22"/>
            <w:lang w:val="en-US"/>
          </w:rPr>
          <w:tab/>
        </w:r>
        <w:r w:rsidR="00AD2132" w:rsidRPr="00BB231B">
          <w:rPr>
            <w:rStyle w:val="Hipervnculo"/>
            <w:rFonts w:ascii="Times New Roman" w:hAnsi="Times New Roman" w:cs="Times New Roman"/>
            <w:noProof/>
            <w:lang w:val="es-DO"/>
          </w:rPr>
          <w:t>RESULTADOS DE LA GESTIÓN DEL AÑO</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_Toc500918589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16</w:t>
        </w:r>
        <w:r w:rsidR="00AD2132" w:rsidRPr="00BB231B">
          <w:rPr>
            <w:rFonts w:ascii="Times New Roman" w:hAnsi="Times New Roman" w:cs="Times New Roman"/>
            <w:noProof/>
            <w:webHidden/>
          </w:rPr>
          <w:fldChar w:fldCharType="end"/>
        </w:r>
      </w:hyperlink>
    </w:p>
    <w:p w:rsidR="00AD2132" w:rsidRPr="00BB231B" w:rsidRDefault="00F77E97">
      <w:pPr>
        <w:pStyle w:val="TDC2"/>
        <w:tabs>
          <w:tab w:val="left" w:pos="440"/>
          <w:tab w:val="right" w:pos="7910"/>
        </w:tabs>
        <w:rPr>
          <w:rFonts w:ascii="Times New Roman" w:hAnsi="Times New Roman" w:cs="Times New Roman"/>
          <w:b w:val="0"/>
          <w:bCs w:val="0"/>
          <w:noProof/>
          <w:color w:val="auto"/>
          <w:sz w:val="22"/>
          <w:szCs w:val="22"/>
          <w:lang w:val="en-US"/>
        </w:rPr>
      </w:pPr>
      <w:hyperlink w:anchor="_Toc500918590" w:history="1">
        <w:r w:rsidR="00AD2132" w:rsidRPr="00BB231B">
          <w:rPr>
            <w:rStyle w:val="Hipervnculo"/>
            <w:rFonts w:ascii="Times New Roman" w:hAnsi="Times New Roman" w:cs="Times New Roman"/>
            <w:noProof/>
            <w:lang w:val="es-DO"/>
          </w:rPr>
          <w:t>a)</w:t>
        </w:r>
        <w:r w:rsidR="00AD2132" w:rsidRPr="00BB231B">
          <w:rPr>
            <w:rFonts w:ascii="Times New Roman" w:hAnsi="Times New Roman" w:cs="Times New Roman"/>
            <w:b w:val="0"/>
            <w:bCs w:val="0"/>
            <w:noProof/>
            <w:color w:val="auto"/>
            <w:sz w:val="22"/>
            <w:szCs w:val="22"/>
            <w:lang w:val="en-US"/>
          </w:rPr>
          <w:tab/>
        </w:r>
        <w:r w:rsidR="00AD2132" w:rsidRPr="00BB231B">
          <w:rPr>
            <w:rStyle w:val="Hipervnculo"/>
            <w:rFonts w:ascii="Times New Roman" w:hAnsi="Times New Roman" w:cs="Times New Roman"/>
            <w:noProof/>
            <w:lang w:val="es-DO"/>
          </w:rPr>
          <w:t>Metas Presidenciales:</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_Toc500918590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16</w:t>
        </w:r>
        <w:r w:rsidR="00AD2132" w:rsidRPr="00BB231B">
          <w:rPr>
            <w:rFonts w:ascii="Times New Roman" w:hAnsi="Times New Roman" w:cs="Times New Roman"/>
            <w:noProof/>
            <w:webHidden/>
          </w:rPr>
          <w:fldChar w:fldCharType="end"/>
        </w:r>
      </w:hyperlink>
    </w:p>
    <w:p w:rsidR="00AD2132" w:rsidRPr="00BB231B" w:rsidRDefault="00F77E97">
      <w:pPr>
        <w:pStyle w:val="TDC2"/>
        <w:tabs>
          <w:tab w:val="left" w:pos="440"/>
          <w:tab w:val="right" w:pos="7910"/>
        </w:tabs>
        <w:rPr>
          <w:rFonts w:ascii="Times New Roman" w:hAnsi="Times New Roman" w:cs="Times New Roman"/>
          <w:b w:val="0"/>
          <w:bCs w:val="0"/>
          <w:noProof/>
          <w:color w:val="auto"/>
          <w:sz w:val="22"/>
          <w:szCs w:val="22"/>
          <w:lang w:val="en-US"/>
        </w:rPr>
      </w:pPr>
      <w:hyperlink w:anchor="_Toc500918591" w:history="1">
        <w:r w:rsidR="00AD2132" w:rsidRPr="00BB231B">
          <w:rPr>
            <w:rStyle w:val="Hipervnculo"/>
            <w:rFonts w:ascii="Times New Roman" w:hAnsi="Times New Roman" w:cs="Times New Roman"/>
            <w:noProof/>
            <w:lang w:val="es-DO"/>
          </w:rPr>
          <w:t>b)</w:t>
        </w:r>
        <w:r w:rsidR="00AD2132" w:rsidRPr="00BB231B">
          <w:rPr>
            <w:rFonts w:ascii="Times New Roman" w:hAnsi="Times New Roman" w:cs="Times New Roman"/>
            <w:b w:val="0"/>
            <w:bCs w:val="0"/>
            <w:noProof/>
            <w:color w:val="auto"/>
            <w:sz w:val="22"/>
            <w:szCs w:val="22"/>
            <w:lang w:val="en-US"/>
          </w:rPr>
          <w:tab/>
        </w:r>
        <w:r w:rsidR="00AD2132" w:rsidRPr="00BB231B">
          <w:rPr>
            <w:rStyle w:val="Hipervnculo"/>
            <w:rFonts w:ascii="Times New Roman" w:hAnsi="Times New Roman" w:cs="Times New Roman"/>
            <w:noProof/>
            <w:lang w:val="es-DO"/>
          </w:rPr>
          <w:t>Otras Acciones Desarrolladas:</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_Toc500918591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27</w:t>
        </w:r>
        <w:r w:rsidR="00AD2132" w:rsidRPr="00BB231B">
          <w:rPr>
            <w:rFonts w:ascii="Times New Roman" w:hAnsi="Times New Roman" w:cs="Times New Roman"/>
            <w:noProof/>
            <w:webHidden/>
          </w:rPr>
          <w:fldChar w:fldCharType="end"/>
        </w:r>
      </w:hyperlink>
    </w:p>
    <w:p w:rsidR="00AD2132" w:rsidRPr="00BB231B" w:rsidRDefault="00F77E97">
      <w:pPr>
        <w:pStyle w:val="TDC1"/>
        <w:tabs>
          <w:tab w:val="left" w:pos="660"/>
          <w:tab w:val="right" w:pos="7910"/>
        </w:tabs>
        <w:rPr>
          <w:rFonts w:ascii="Times New Roman" w:hAnsi="Times New Roman" w:cs="Times New Roman"/>
          <w:b w:val="0"/>
          <w:bCs w:val="0"/>
          <w:caps w:val="0"/>
          <w:noProof/>
          <w:color w:val="auto"/>
          <w:sz w:val="22"/>
          <w:szCs w:val="22"/>
          <w:lang w:val="en-US"/>
        </w:rPr>
      </w:pPr>
      <w:hyperlink w:anchor="_Toc500918594" w:history="1">
        <w:r w:rsidR="00AD2132" w:rsidRPr="00BB231B">
          <w:rPr>
            <w:rStyle w:val="Hipervnculo"/>
            <w:rFonts w:ascii="Times New Roman" w:hAnsi="Times New Roman" w:cs="Times New Roman"/>
            <w:noProof/>
            <w:lang w:val="es-DO"/>
          </w:rPr>
          <w:t>V.</w:t>
        </w:r>
        <w:r w:rsidR="00AD2132" w:rsidRPr="00BB231B">
          <w:rPr>
            <w:rFonts w:ascii="Times New Roman" w:hAnsi="Times New Roman" w:cs="Times New Roman"/>
            <w:b w:val="0"/>
            <w:bCs w:val="0"/>
            <w:caps w:val="0"/>
            <w:noProof/>
            <w:color w:val="auto"/>
            <w:sz w:val="22"/>
            <w:szCs w:val="22"/>
            <w:lang w:val="en-US"/>
          </w:rPr>
          <w:tab/>
        </w:r>
        <w:r w:rsidR="00AD2132" w:rsidRPr="00BB231B">
          <w:rPr>
            <w:rStyle w:val="Hipervnculo"/>
            <w:rFonts w:ascii="Times New Roman" w:hAnsi="Times New Roman" w:cs="Times New Roman"/>
            <w:noProof/>
            <w:lang w:val="es-DO"/>
          </w:rPr>
          <w:t>Gestión Interna</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_Toc500918594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60</w:t>
        </w:r>
        <w:r w:rsidR="00AD2132" w:rsidRPr="00BB231B">
          <w:rPr>
            <w:rFonts w:ascii="Times New Roman" w:hAnsi="Times New Roman" w:cs="Times New Roman"/>
            <w:noProof/>
            <w:webHidden/>
          </w:rPr>
          <w:fldChar w:fldCharType="end"/>
        </w:r>
      </w:hyperlink>
    </w:p>
    <w:p w:rsidR="00AD2132" w:rsidRPr="00BB231B" w:rsidRDefault="00F77E97">
      <w:pPr>
        <w:pStyle w:val="TDC2"/>
        <w:tabs>
          <w:tab w:val="left" w:pos="440"/>
          <w:tab w:val="right" w:pos="7910"/>
        </w:tabs>
        <w:rPr>
          <w:rFonts w:ascii="Times New Roman" w:hAnsi="Times New Roman" w:cs="Times New Roman"/>
          <w:b w:val="0"/>
          <w:bCs w:val="0"/>
          <w:noProof/>
          <w:color w:val="auto"/>
          <w:sz w:val="22"/>
          <w:szCs w:val="22"/>
          <w:lang w:val="en-US"/>
        </w:rPr>
      </w:pPr>
      <w:hyperlink w:anchor="_Toc500918595" w:history="1">
        <w:r w:rsidR="00AD2132" w:rsidRPr="00BB231B">
          <w:rPr>
            <w:rStyle w:val="Hipervnculo"/>
            <w:rFonts w:ascii="Times New Roman" w:hAnsi="Times New Roman" w:cs="Times New Roman"/>
            <w:noProof/>
            <w:lang w:val="es-DO"/>
          </w:rPr>
          <w:t>a)</w:t>
        </w:r>
        <w:r w:rsidR="00AD2132" w:rsidRPr="00BB231B">
          <w:rPr>
            <w:rFonts w:ascii="Times New Roman" w:hAnsi="Times New Roman" w:cs="Times New Roman"/>
            <w:b w:val="0"/>
            <w:bCs w:val="0"/>
            <w:noProof/>
            <w:color w:val="auto"/>
            <w:sz w:val="22"/>
            <w:szCs w:val="22"/>
            <w:lang w:val="en-US"/>
          </w:rPr>
          <w:tab/>
        </w:r>
        <w:r w:rsidR="00AD2132" w:rsidRPr="00BB231B">
          <w:rPr>
            <w:rStyle w:val="Hipervnculo"/>
            <w:rFonts w:ascii="Times New Roman" w:hAnsi="Times New Roman" w:cs="Times New Roman"/>
            <w:noProof/>
            <w:lang w:val="es-DO"/>
          </w:rPr>
          <w:t>Desempeño Financiero:</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_Toc500918595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60</w:t>
        </w:r>
        <w:r w:rsidR="00AD2132" w:rsidRPr="00BB231B">
          <w:rPr>
            <w:rFonts w:ascii="Times New Roman" w:hAnsi="Times New Roman" w:cs="Times New Roman"/>
            <w:noProof/>
            <w:webHidden/>
          </w:rPr>
          <w:fldChar w:fldCharType="end"/>
        </w:r>
      </w:hyperlink>
    </w:p>
    <w:p w:rsidR="00AD2132" w:rsidRPr="00BB231B" w:rsidRDefault="00F77E97">
      <w:pPr>
        <w:pStyle w:val="TDC2"/>
        <w:tabs>
          <w:tab w:val="left" w:pos="440"/>
          <w:tab w:val="right" w:pos="7910"/>
        </w:tabs>
        <w:rPr>
          <w:rFonts w:ascii="Times New Roman" w:hAnsi="Times New Roman" w:cs="Times New Roman"/>
          <w:b w:val="0"/>
          <w:bCs w:val="0"/>
          <w:noProof/>
          <w:color w:val="auto"/>
          <w:sz w:val="22"/>
          <w:szCs w:val="22"/>
          <w:lang w:val="en-US"/>
        </w:rPr>
      </w:pPr>
      <w:hyperlink w:anchor="_Toc500918596" w:history="1">
        <w:r w:rsidR="00AD2132" w:rsidRPr="00BB231B">
          <w:rPr>
            <w:rStyle w:val="Hipervnculo"/>
            <w:rFonts w:ascii="Times New Roman" w:hAnsi="Times New Roman" w:cs="Times New Roman"/>
            <w:iCs/>
            <w:noProof/>
          </w:rPr>
          <w:t>b)</w:t>
        </w:r>
        <w:r w:rsidR="00AD2132" w:rsidRPr="00BB231B">
          <w:rPr>
            <w:rFonts w:ascii="Times New Roman" w:hAnsi="Times New Roman" w:cs="Times New Roman"/>
            <w:b w:val="0"/>
            <w:bCs w:val="0"/>
            <w:noProof/>
            <w:color w:val="auto"/>
            <w:sz w:val="22"/>
            <w:szCs w:val="22"/>
            <w:lang w:val="en-US"/>
          </w:rPr>
          <w:tab/>
        </w:r>
        <w:r w:rsidR="00AD2132" w:rsidRPr="00BB231B">
          <w:rPr>
            <w:rStyle w:val="Hipervnculo"/>
            <w:rFonts w:ascii="Times New Roman" w:hAnsi="Times New Roman" w:cs="Times New Roman"/>
            <w:iCs/>
            <w:noProof/>
          </w:rPr>
          <w:t>Contrataciones y Adquisiciones:</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_Toc500918596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64</w:t>
        </w:r>
        <w:r w:rsidR="00AD2132" w:rsidRPr="00BB231B">
          <w:rPr>
            <w:rFonts w:ascii="Times New Roman" w:hAnsi="Times New Roman" w:cs="Times New Roman"/>
            <w:noProof/>
            <w:webHidden/>
          </w:rPr>
          <w:fldChar w:fldCharType="end"/>
        </w:r>
      </w:hyperlink>
    </w:p>
    <w:p w:rsidR="00AD2132" w:rsidRPr="00BB231B" w:rsidRDefault="00F77E97">
      <w:pPr>
        <w:pStyle w:val="TDC2"/>
        <w:tabs>
          <w:tab w:val="left" w:pos="440"/>
          <w:tab w:val="right" w:pos="7910"/>
        </w:tabs>
        <w:rPr>
          <w:rFonts w:ascii="Times New Roman" w:hAnsi="Times New Roman" w:cs="Times New Roman"/>
          <w:b w:val="0"/>
          <w:bCs w:val="0"/>
          <w:noProof/>
          <w:color w:val="auto"/>
          <w:sz w:val="22"/>
          <w:szCs w:val="22"/>
          <w:lang w:val="en-US"/>
        </w:rPr>
      </w:pPr>
      <w:hyperlink w:anchor="_Toc500918597" w:history="1">
        <w:r w:rsidR="00AD2132" w:rsidRPr="00BB231B">
          <w:rPr>
            <w:rStyle w:val="Hipervnculo"/>
            <w:rFonts w:ascii="Times New Roman" w:hAnsi="Times New Roman" w:cs="Times New Roman"/>
            <w:iCs/>
            <w:noProof/>
          </w:rPr>
          <w:t>c)</w:t>
        </w:r>
        <w:r w:rsidR="00AD2132" w:rsidRPr="00BB231B">
          <w:rPr>
            <w:rFonts w:ascii="Times New Roman" w:hAnsi="Times New Roman" w:cs="Times New Roman"/>
            <w:b w:val="0"/>
            <w:bCs w:val="0"/>
            <w:noProof/>
            <w:color w:val="auto"/>
            <w:sz w:val="22"/>
            <w:szCs w:val="22"/>
            <w:lang w:val="en-US"/>
          </w:rPr>
          <w:tab/>
        </w:r>
        <w:r w:rsidR="00AD2132" w:rsidRPr="00BB231B">
          <w:rPr>
            <w:rStyle w:val="Hipervnculo"/>
            <w:rFonts w:ascii="Times New Roman" w:hAnsi="Times New Roman" w:cs="Times New Roman"/>
            <w:iCs/>
            <w:noProof/>
          </w:rPr>
          <w:t>Transparencia, Acceso a la Información:</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_Toc500918597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65</w:t>
        </w:r>
        <w:r w:rsidR="00AD2132" w:rsidRPr="00BB231B">
          <w:rPr>
            <w:rFonts w:ascii="Times New Roman" w:hAnsi="Times New Roman" w:cs="Times New Roman"/>
            <w:noProof/>
            <w:webHidden/>
          </w:rPr>
          <w:fldChar w:fldCharType="end"/>
        </w:r>
      </w:hyperlink>
    </w:p>
    <w:p w:rsidR="00AD2132" w:rsidRPr="00BB231B" w:rsidRDefault="00F77E97">
      <w:pPr>
        <w:pStyle w:val="TDC2"/>
        <w:tabs>
          <w:tab w:val="left" w:pos="440"/>
          <w:tab w:val="right" w:pos="7910"/>
        </w:tabs>
        <w:rPr>
          <w:rFonts w:ascii="Times New Roman" w:hAnsi="Times New Roman" w:cs="Times New Roman"/>
          <w:b w:val="0"/>
          <w:bCs w:val="0"/>
          <w:noProof/>
          <w:color w:val="auto"/>
          <w:sz w:val="22"/>
          <w:szCs w:val="22"/>
          <w:lang w:val="en-US"/>
        </w:rPr>
      </w:pPr>
      <w:hyperlink w:anchor="_Toc500918599" w:history="1">
        <w:r w:rsidR="00AD2132" w:rsidRPr="00BB231B">
          <w:rPr>
            <w:rStyle w:val="Hipervnculo"/>
            <w:rFonts w:ascii="Times New Roman" w:hAnsi="Times New Roman" w:cs="Times New Roman"/>
            <w:iCs/>
            <w:noProof/>
          </w:rPr>
          <w:t>d)</w:t>
        </w:r>
        <w:r w:rsidR="00AD2132" w:rsidRPr="00BB231B">
          <w:rPr>
            <w:rFonts w:ascii="Times New Roman" w:hAnsi="Times New Roman" w:cs="Times New Roman"/>
            <w:b w:val="0"/>
            <w:bCs w:val="0"/>
            <w:noProof/>
            <w:color w:val="auto"/>
            <w:sz w:val="22"/>
            <w:szCs w:val="22"/>
            <w:lang w:val="en-US"/>
          </w:rPr>
          <w:tab/>
        </w:r>
        <w:r w:rsidR="00AD2132" w:rsidRPr="00BB231B">
          <w:rPr>
            <w:rStyle w:val="Hipervnculo"/>
            <w:rFonts w:ascii="Times New Roman" w:hAnsi="Times New Roman" w:cs="Times New Roman"/>
            <w:iCs/>
            <w:noProof/>
          </w:rPr>
          <w:t>Gestión de la Administración Pública SISMAP.</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_Toc500918599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73</w:t>
        </w:r>
        <w:r w:rsidR="00AD2132" w:rsidRPr="00BB231B">
          <w:rPr>
            <w:rFonts w:ascii="Times New Roman" w:hAnsi="Times New Roman" w:cs="Times New Roman"/>
            <w:noProof/>
            <w:webHidden/>
          </w:rPr>
          <w:fldChar w:fldCharType="end"/>
        </w:r>
      </w:hyperlink>
    </w:p>
    <w:p w:rsidR="00AD2132" w:rsidRPr="00BB231B" w:rsidRDefault="00F77E97">
      <w:pPr>
        <w:pStyle w:val="TDC1"/>
        <w:tabs>
          <w:tab w:val="left" w:pos="660"/>
          <w:tab w:val="right" w:pos="7910"/>
        </w:tabs>
        <w:rPr>
          <w:rFonts w:ascii="Times New Roman" w:hAnsi="Times New Roman" w:cs="Times New Roman"/>
          <w:b w:val="0"/>
          <w:bCs w:val="0"/>
          <w:caps w:val="0"/>
          <w:noProof/>
          <w:color w:val="auto"/>
          <w:sz w:val="22"/>
          <w:szCs w:val="22"/>
          <w:lang w:val="en-US"/>
        </w:rPr>
      </w:pPr>
      <w:hyperlink w:anchor="_Toc500918600" w:history="1">
        <w:r w:rsidR="00AD2132" w:rsidRPr="00BB231B">
          <w:rPr>
            <w:rStyle w:val="Hipervnculo"/>
            <w:rFonts w:ascii="Times New Roman" w:hAnsi="Times New Roman" w:cs="Times New Roman"/>
            <w:iCs/>
            <w:noProof/>
          </w:rPr>
          <w:t>VI.</w:t>
        </w:r>
        <w:r w:rsidR="00AD2132" w:rsidRPr="00BB231B">
          <w:rPr>
            <w:rFonts w:ascii="Times New Roman" w:hAnsi="Times New Roman" w:cs="Times New Roman"/>
            <w:b w:val="0"/>
            <w:bCs w:val="0"/>
            <w:caps w:val="0"/>
            <w:noProof/>
            <w:color w:val="auto"/>
            <w:sz w:val="22"/>
            <w:szCs w:val="22"/>
            <w:lang w:val="en-US"/>
          </w:rPr>
          <w:tab/>
        </w:r>
        <w:r w:rsidR="00AD2132" w:rsidRPr="00BB231B">
          <w:rPr>
            <w:rStyle w:val="Hipervnculo"/>
            <w:rFonts w:ascii="Times New Roman" w:hAnsi="Times New Roman" w:cs="Times New Roman"/>
            <w:iCs/>
            <w:noProof/>
          </w:rPr>
          <w:t>RECONOCIMIENTOS</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_Toc500918600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79</w:t>
        </w:r>
        <w:r w:rsidR="00AD2132" w:rsidRPr="00BB231B">
          <w:rPr>
            <w:rFonts w:ascii="Times New Roman" w:hAnsi="Times New Roman" w:cs="Times New Roman"/>
            <w:noProof/>
            <w:webHidden/>
          </w:rPr>
          <w:fldChar w:fldCharType="end"/>
        </w:r>
      </w:hyperlink>
    </w:p>
    <w:p w:rsidR="00AD2132" w:rsidRPr="00BB231B" w:rsidRDefault="00F77E97">
      <w:pPr>
        <w:pStyle w:val="TDC1"/>
        <w:tabs>
          <w:tab w:val="left" w:pos="660"/>
          <w:tab w:val="right" w:pos="7910"/>
        </w:tabs>
        <w:rPr>
          <w:rFonts w:ascii="Times New Roman" w:hAnsi="Times New Roman" w:cs="Times New Roman"/>
          <w:b w:val="0"/>
          <w:bCs w:val="0"/>
          <w:caps w:val="0"/>
          <w:noProof/>
          <w:color w:val="auto"/>
          <w:sz w:val="22"/>
          <w:szCs w:val="22"/>
          <w:lang w:val="en-US"/>
        </w:rPr>
      </w:pPr>
      <w:hyperlink w:anchor="_Toc500918601" w:history="1">
        <w:r w:rsidR="00AD2132" w:rsidRPr="00BB231B">
          <w:rPr>
            <w:rStyle w:val="Hipervnculo"/>
            <w:rFonts w:ascii="Times New Roman" w:hAnsi="Times New Roman" w:cs="Times New Roman"/>
            <w:iCs/>
            <w:noProof/>
          </w:rPr>
          <w:t>VII.</w:t>
        </w:r>
        <w:r w:rsidR="00AD2132" w:rsidRPr="00BB231B">
          <w:rPr>
            <w:rFonts w:ascii="Times New Roman" w:hAnsi="Times New Roman" w:cs="Times New Roman"/>
            <w:b w:val="0"/>
            <w:bCs w:val="0"/>
            <w:caps w:val="0"/>
            <w:noProof/>
            <w:color w:val="auto"/>
            <w:sz w:val="22"/>
            <w:szCs w:val="22"/>
            <w:lang w:val="en-US"/>
          </w:rPr>
          <w:tab/>
        </w:r>
        <w:r w:rsidR="00AD2132" w:rsidRPr="00BB231B">
          <w:rPr>
            <w:rStyle w:val="Hipervnculo"/>
            <w:rFonts w:ascii="Times New Roman" w:hAnsi="Times New Roman" w:cs="Times New Roman"/>
            <w:iCs/>
            <w:noProof/>
          </w:rPr>
          <w:t>PROYECCIONES AL PROXIMO AÑO</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_Toc500918601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81</w:t>
        </w:r>
        <w:r w:rsidR="00AD2132" w:rsidRPr="00BB231B">
          <w:rPr>
            <w:rFonts w:ascii="Times New Roman" w:hAnsi="Times New Roman" w:cs="Times New Roman"/>
            <w:noProof/>
            <w:webHidden/>
          </w:rPr>
          <w:fldChar w:fldCharType="end"/>
        </w:r>
      </w:hyperlink>
    </w:p>
    <w:p w:rsidR="00AD2132" w:rsidRPr="00BB231B" w:rsidRDefault="00F77E97">
      <w:pPr>
        <w:pStyle w:val="TDC1"/>
        <w:tabs>
          <w:tab w:val="left" w:pos="880"/>
          <w:tab w:val="right" w:pos="7910"/>
        </w:tabs>
        <w:rPr>
          <w:rFonts w:ascii="Times New Roman" w:hAnsi="Times New Roman" w:cs="Times New Roman"/>
          <w:b w:val="0"/>
          <w:bCs w:val="0"/>
          <w:caps w:val="0"/>
          <w:noProof/>
          <w:color w:val="auto"/>
          <w:sz w:val="22"/>
          <w:szCs w:val="22"/>
          <w:lang w:val="en-US"/>
        </w:rPr>
      </w:pPr>
      <w:hyperlink w:anchor="_Toc500918602" w:history="1">
        <w:r w:rsidR="00AD2132" w:rsidRPr="00BB231B">
          <w:rPr>
            <w:rStyle w:val="Hipervnculo"/>
            <w:rFonts w:ascii="Times New Roman" w:hAnsi="Times New Roman" w:cs="Times New Roman"/>
            <w:iCs/>
            <w:noProof/>
          </w:rPr>
          <w:t>VIII.</w:t>
        </w:r>
        <w:r w:rsidR="00AD2132" w:rsidRPr="00BB231B">
          <w:rPr>
            <w:rFonts w:ascii="Times New Roman" w:hAnsi="Times New Roman" w:cs="Times New Roman"/>
            <w:b w:val="0"/>
            <w:bCs w:val="0"/>
            <w:caps w:val="0"/>
            <w:noProof/>
            <w:color w:val="auto"/>
            <w:sz w:val="22"/>
            <w:szCs w:val="22"/>
            <w:lang w:val="en-US"/>
          </w:rPr>
          <w:tab/>
        </w:r>
        <w:r w:rsidR="00AD2132" w:rsidRPr="00BB231B">
          <w:rPr>
            <w:rStyle w:val="Hipervnculo"/>
            <w:rFonts w:ascii="Times New Roman" w:hAnsi="Times New Roman" w:cs="Times New Roman"/>
            <w:iCs/>
            <w:noProof/>
          </w:rPr>
          <w:t>ANEXOS</w:t>
        </w:r>
        <w:r w:rsidR="00AD2132" w:rsidRPr="00BB231B">
          <w:rPr>
            <w:rFonts w:ascii="Times New Roman" w:hAnsi="Times New Roman" w:cs="Times New Roman"/>
            <w:noProof/>
            <w:webHidden/>
          </w:rPr>
          <w:tab/>
        </w:r>
        <w:r w:rsidR="00AD2132" w:rsidRPr="00BB231B">
          <w:rPr>
            <w:rFonts w:ascii="Times New Roman" w:hAnsi="Times New Roman" w:cs="Times New Roman"/>
            <w:noProof/>
            <w:webHidden/>
          </w:rPr>
          <w:fldChar w:fldCharType="begin"/>
        </w:r>
        <w:r w:rsidR="00AD2132" w:rsidRPr="00BB231B">
          <w:rPr>
            <w:rFonts w:ascii="Times New Roman" w:hAnsi="Times New Roman" w:cs="Times New Roman"/>
            <w:noProof/>
            <w:webHidden/>
          </w:rPr>
          <w:instrText xml:space="preserve"> PAGEREF _Toc500918602 \h </w:instrText>
        </w:r>
        <w:r w:rsidR="00AD2132" w:rsidRPr="00BB231B">
          <w:rPr>
            <w:rFonts w:ascii="Times New Roman" w:hAnsi="Times New Roman" w:cs="Times New Roman"/>
            <w:noProof/>
            <w:webHidden/>
          </w:rPr>
        </w:r>
        <w:r w:rsidR="00AD2132" w:rsidRPr="00BB231B">
          <w:rPr>
            <w:rFonts w:ascii="Times New Roman" w:hAnsi="Times New Roman" w:cs="Times New Roman"/>
            <w:noProof/>
            <w:webHidden/>
          </w:rPr>
          <w:fldChar w:fldCharType="separate"/>
        </w:r>
        <w:r w:rsidR="002E2EED">
          <w:rPr>
            <w:rFonts w:ascii="Times New Roman" w:hAnsi="Times New Roman" w:cs="Times New Roman"/>
            <w:noProof/>
            <w:webHidden/>
          </w:rPr>
          <w:t>85</w:t>
        </w:r>
        <w:r w:rsidR="00AD2132" w:rsidRPr="00BB231B">
          <w:rPr>
            <w:rFonts w:ascii="Times New Roman" w:hAnsi="Times New Roman" w:cs="Times New Roman"/>
            <w:noProof/>
            <w:webHidden/>
          </w:rPr>
          <w:fldChar w:fldCharType="end"/>
        </w:r>
      </w:hyperlink>
    </w:p>
    <w:p w:rsidR="00804106" w:rsidRPr="00BB231B" w:rsidRDefault="00A77178"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r w:rsidRPr="00BB231B">
        <w:rPr>
          <w:rStyle w:val="nfasissutil"/>
          <w:rFonts w:ascii="Times New Roman" w:hAnsi="Times New Roman" w:cs="Times New Roman"/>
          <w:b/>
          <w:color w:val="000000" w:themeColor="text1"/>
          <w:sz w:val="22"/>
          <w:lang w:val="es-DO"/>
        </w:rPr>
        <w:fldChar w:fldCharType="end"/>
      </w: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2473C3" w:rsidRPr="00BB231B" w:rsidRDefault="002473C3"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2473C3" w:rsidRPr="00BB231B" w:rsidRDefault="002473C3"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256145" w:rsidRPr="00BB231B" w:rsidRDefault="00256145"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256145" w:rsidRPr="00BB231B" w:rsidRDefault="00256145"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2473C3" w:rsidRPr="00BB231B" w:rsidRDefault="002473C3"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2473C3" w:rsidRPr="00BB231B" w:rsidRDefault="002473C3"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04106">
      <w:pPr>
        <w:pStyle w:val="Normal-blanco"/>
        <w:spacing w:before="0" w:after="0"/>
        <w:ind w:right="199"/>
        <w:outlineLvl w:val="0"/>
        <w:rPr>
          <w:rStyle w:val="nfasissutil"/>
          <w:rFonts w:ascii="Times New Roman" w:hAnsi="Times New Roman" w:cs="Times New Roman"/>
          <w:b/>
          <w:color w:val="000000" w:themeColor="text1"/>
          <w:sz w:val="22"/>
          <w:lang w:val="es-DO"/>
        </w:rPr>
      </w:pPr>
    </w:p>
    <w:p w:rsidR="00804106" w:rsidRPr="00BB231B" w:rsidRDefault="00804106" w:rsidP="008A1D90">
      <w:pPr>
        <w:pStyle w:val="Normal-blanco"/>
        <w:numPr>
          <w:ilvl w:val="0"/>
          <w:numId w:val="23"/>
        </w:numPr>
        <w:spacing w:before="0" w:after="0"/>
        <w:ind w:left="426" w:right="199" w:hanging="284"/>
        <w:outlineLvl w:val="0"/>
        <w:rPr>
          <w:rStyle w:val="nfasissutil"/>
          <w:rFonts w:ascii="Times New Roman" w:hAnsi="Times New Roman" w:cs="Times New Roman"/>
          <w:b/>
          <w:color w:val="000000" w:themeColor="text1"/>
          <w:sz w:val="32"/>
          <w:szCs w:val="32"/>
          <w:lang w:val="es-DO"/>
        </w:rPr>
      </w:pPr>
      <w:bookmarkStart w:id="6" w:name="_Toc500858008"/>
      <w:bookmarkStart w:id="7" w:name="_Toc500858158"/>
      <w:bookmarkStart w:id="8" w:name="_Toc500918585"/>
      <w:r w:rsidRPr="00BB231B">
        <w:rPr>
          <w:rStyle w:val="nfasissutil"/>
          <w:rFonts w:ascii="Times New Roman" w:hAnsi="Times New Roman" w:cs="Times New Roman"/>
          <w:b/>
          <w:color w:val="000000" w:themeColor="text1"/>
          <w:sz w:val="32"/>
          <w:szCs w:val="32"/>
          <w:lang w:val="es-DO"/>
        </w:rPr>
        <w:lastRenderedPageBreak/>
        <w:t>RESUMEN EJECUTIVO</w:t>
      </w:r>
      <w:bookmarkEnd w:id="6"/>
      <w:bookmarkEnd w:id="7"/>
      <w:bookmarkEnd w:id="8"/>
    </w:p>
    <w:p w:rsidR="00C147D2" w:rsidRPr="00BB231B" w:rsidRDefault="00C147D2" w:rsidP="00F13247">
      <w:pPr>
        <w:pStyle w:val="Normal-blanco"/>
        <w:spacing w:before="0" w:after="0"/>
        <w:ind w:left="426" w:right="199"/>
        <w:outlineLvl w:val="0"/>
        <w:rPr>
          <w:rStyle w:val="nfasissutil"/>
          <w:rFonts w:ascii="Times New Roman" w:hAnsi="Times New Roman" w:cs="Times New Roman"/>
          <w:b/>
          <w:color w:val="000000" w:themeColor="text1"/>
          <w:sz w:val="22"/>
          <w:lang w:val="es-DO"/>
        </w:rPr>
      </w:pPr>
    </w:p>
    <w:p w:rsidR="000B6BB1" w:rsidRPr="00BB231B" w:rsidRDefault="000B6BB1" w:rsidP="00256145">
      <w:pPr>
        <w:spacing w:before="0" w:after="0"/>
        <w:ind w:firstLine="426"/>
        <w:rPr>
          <w:rFonts w:ascii="Times New Roman" w:hAnsi="Times New Roman" w:cs="Times New Roman"/>
          <w:color w:val="auto"/>
          <w:sz w:val="24"/>
          <w:szCs w:val="24"/>
        </w:rPr>
      </w:pPr>
      <w:r w:rsidRPr="00BB231B">
        <w:rPr>
          <w:rFonts w:ascii="Times New Roman" w:hAnsi="Times New Roman" w:cs="Times New Roman"/>
          <w:color w:val="auto"/>
          <w:sz w:val="24"/>
          <w:szCs w:val="24"/>
        </w:rPr>
        <w:t>La Estrategia Nacional de Desarrollo (END) 2030, formalizada en la Ley 1-2012, proyecta lo que se espera lograr en el largo plazo para alcanzar la Visión de País y establece cuatro ejes estratégicos organizados para responder a las preguntas ¿Qué es lo que los ciudadanos desean?, y ¿Cómo lograrlo</w:t>
      </w:r>
      <w:r w:rsidR="00585AB6"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En este contexto, la CGR reconoce un rol clave para contribuir al fortalecimiento institucional previsto en el Eje No. 1, para lo cual son indispensables la implantación y puesta en funcionamiento de las Normas Básicas de Control Interno (NOBACI), y la supervisión de la gestión de los recursos, para ejecutar las líneas de acción previstas en los cuatro ejes. Acciones que han sido plasmadas en su nuevo plan Estratégico 2017-2020.</w:t>
      </w:r>
    </w:p>
    <w:p w:rsidR="000B6BB1" w:rsidRPr="00BB231B" w:rsidRDefault="000B6BB1" w:rsidP="00AD2132">
      <w:pPr>
        <w:spacing w:before="0" w:after="0"/>
        <w:rPr>
          <w:rFonts w:ascii="Times New Roman" w:hAnsi="Times New Roman" w:cs="Times New Roman"/>
          <w:color w:val="auto"/>
          <w:sz w:val="24"/>
          <w:szCs w:val="24"/>
        </w:rPr>
      </w:pPr>
    </w:p>
    <w:p w:rsidR="008A024D" w:rsidRPr="00BB231B" w:rsidRDefault="008A024D" w:rsidP="00256145">
      <w:pPr>
        <w:spacing w:before="0" w:after="0"/>
        <w:ind w:firstLine="426"/>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La </w:t>
      </w:r>
      <w:r w:rsidR="00D225C4" w:rsidRPr="00BB231B">
        <w:rPr>
          <w:rFonts w:ascii="Times New Roman" w:hAnsi="Times New Roman" w:cs="Times New Roman"/>
          <w:color w:val="auto"/>
          <w:sz w:val="24"/>
          <w:szCs w:val="24"/>
        </w:rPr>
        <w:t xml:space="preserve">Contraloría General de la República  </w:t>
      </w:r>
      <w:r w:rsidRPr="00BB231B">
        <w:rPr>
          <w:rFonts w:ascii="Times New Roman" w:hAnsi="Times New Roman" w:cs="Times New Roman"/>
          <w:color w:val="auto"/>
          <w:sz w:val="24"/>
          <w:szCs w:val="24"/>
        </w:rPr>
        <w:t>consciente de la alta sensibilidad existente en relación con la ejecución de las políticas gubernamental</w:t>
      </w:r>
      <w:r w:rsidR="00D225C4" w:rsidRPr="00BB231B">
        <w:rPr>
          <w:rFonts w:ascii="Times New Roman" w:hAnsi="Times New Roman" w:cs="Times New Roman"/>
          <w:color w:val="auto"/>
          <w:sz w:val="24"/>
          <w:szCs w:val="24"/>
        </w:rPr>
        <w:t xml:space="preserve">es, así como las crecientes </w:t>
      </w:r>
      <w:r w:rsidRPr="00BB231B">
        <w:rPr>
          <w:rFonts w:ascii="Times New Roman" w:hAnsi="Times New Roman" w:cs="Times New Roman"/>
          <w:color w:val="auto"/>
          <w:sz w:val="24"/>
          <w:szCs w:val="24"/>
        </w:rPr>
        <w:t xml:space="preserve">exigencias de los ciudadanos y otros grupos de interés sobre la calidad y transparencia en el uso de los recursos públicos en la ejecución de las mismas y  como Organismo Rector del Control Interno dependiente del Poder Ejecutivo, </w:t>
      </w:r>
      <w:r w:rsidR="003D6E53" w:rsidRPr="00BB231B">
        <w:rPr>
          <w:rFonts w:ascii="Times New Roman" w:hAnsi="Times New Roman" w:cs="Times New Roman"/>
          <w:color w:val="FF0000"/>
          <w:sz w:val="24"/>
          <w:szCs w:val="24"/>
        </w:rPr>
        <w:t xml:space="preserve"> </w:t>
      </w:r>
      <w:r w:rsidRPr="00BB231B">
        <w:rPr>
          <w:rFonts w:ascii="Times New Roman" w:hAnsi="Times New Roman" w:cs="Times New Roman"/>
          <w:color w:val="FF0000"/>
          <w:sz w:val="24"/>
          <w:szCs w:val="24"/>
        </w:rPr>
        <w:t xml:space="preserve"> </w:t>
      </w:r>
      <w:r w:rsidRPr="00BB231B">
        <w:rPr>
          <w:rFonts w:ascii="Times New Roman" w:hAnsi="Times New Roman" w:cs="Times New Roman"/>
          <w:color w:val="auto"/>
          <w:sz w:val="24"/>
          <w:szCs w:val="24"/>
        </w:rPr>
        <w:t xml:space="preserve"> ha implementado durante el 2017 una serie de Planes y Proyectos  </w:t>
      </w:r>
      <w:r w:rsidR="00FD1B0B" w:rsidRPr="00BB231B">
        <w:rPr>
          <w:rFonts w:ascii="Times New Roman" w:hAnsi="Times New Roman" w:cs="Times New Roman"/>
          <w:color w:val="auto"/>
          <w:sz w:val="24"/>
          <w:szCs w:val="24"/>
        </w:rPr>
        <w:t xml:space="preserve">dirigidos </w:t>
      </w:r>
      <w:r w:rsidRPr="00BB231B">
        <w:rPr>
          <w:rFonts w:ascii="Times New Roman" w:hAnsi="Times New Roman" w:cs="Times New Roman"/>
          <w:color w:val="auto"/>
          <w:sz w:val="24"/>
          <w:szCs w:val="24"/>
        </w:rPr>
        <w:t xml:space="preserve"> a ejercer un rol orientador y supervisor, y a contribuir </w:t>
      </w:r>
      <w:r w:rsidR="005F1988" w:rsidRPr="00BB231B">
        <w:rPr>
          <w:rFonts w:ascii="Times New Roman" w:hAnsi="Times New Roman" w:cs="Times New Roman"/>
          <w:color w:val="auto"/>
          <w:sz w:val="24"/>
          <w:szCs w:val="24"/>
        </w:rPr>
        <w:t>con</w:t>
      </w:r>
      <w:r w:rsidRPr="00BB231B">
        <w:rPr>
          <w:rFonts w:ascii="Times New Roman" w:hAnsi="Times New Roman" w:cs="Times New Roman"/>
          <w:color w:val="auto"/>
          <w:sz w:val="24"/>
          <w:szCs w:val="24"/>
        </w:rPr>
        <w:t xml:space="preserve"> la protección y uso correcto de los recursos públicos</w:t>
      </w:r>
      <w:r w:rsidR="00FD1B0B" w:rsidRPr="00BB231B">
        <w:rPr>
          <w:rFonts w:ascii="Times New Roman" w:hAnsi="Times New Roman" w:cs="Times New Roman"/>
          <w:color w:val="auto"/>
          <w:sz w:val="24"/>
          <w:szCs w:val="24"/>
        </w:rPr>
        <w:t xml:space="preserve"> y al cumplimiento de</w:t>
      </w:r>
      <w:r w:rsidRPr="00BB231B">
        <w:rPr>
          <w:rFonts w:ascii="Times New Roman" w:hAnsi="Times New Roman" w:cs="Times New Roman"/>
          <w:color w:val="auto"/>
          <w:sz w:val="24"/>
          <w:szCs w:val="24"/>
        </w:rPr>
        <w:t xml:space="preserve"> la</w:t>
      </w:r>
      <w:r w:rsidR="005F1988" w:rsidRPr="00BB231B">
        <w:rPr>
          <w:rFonts w:ascii="Times New Roman" w:hAnsi="Times New Roman" w:cs="Times New Roman"/>
          <w:color w:val="auto"/>
          <w:sz w:val="24"/>
          <w:szCs w:val="24"/>
        </w:rPr>
        <w:t>s</w:t>
      </w:r>
      <w:r w:rsidRPr="00BB231B">
        <w:rPr>
          <w:rFonts w:ascii="Times New Roman" w:hAnsi="Times New Roman" w:cs="Times New Roman"/>
          <w:color w:val="auto"/>
          <w:sz w:val="24"/>
          <w:szCs w:val="24"/>
        </w:rPr>
        <w:t xml:space="preserve"> Meta</w:t>
      </w:r>
      <w:r w:rsidR="005F1988" w:rsidRPr="00BB231B">
        <w:rPr>
          <w:rFonts w:ascii="Times New Roman" w:hAnsi="Times New Roman" w:cs="Times New Roman"/>
          <w:color w:val="auto"/>
          <w:sz w:val="24"/>
          <w:szCs w:val="24"/>
        </w:rPr>
        <w:t>s</w:t>
      </w:r>
      <w:r w:rsidRPr="00BB231B">
        <w:rPr>
          <w:rFonts w:ascii="Times New Roman" w:hAnsi="Times New Roman" w:cs="Times New Roman"/>
          <w:color w:val="auto"/>
          <w:sz w:val="24"/>
          <w:szCs w:val="24"/>
        </w:rPr>
        <w:t xml:space="preserve"> </w:t>
      </w:r>
      <w:r w:rsidR="005F1988" w:rsidRPr="00BB231B">
        <w:rPr>
          <w:rFonts w:ascii="Times New Roman" w:hAnsi="Times New Roman" w:cs="Times New Roman"/>
          <w:color w:val="auto"/>
          <w:sz w:val="24"/>
          <w:szCs w:val="24"/>
        </w:rPr>
        <w:t>P</w:t>
      </w:r>
      <w:r w:rsidRPr="00BB231B">
        <w:rPr>
          <w:rFonts w:ascii="Times New Roman" w:hAnsi="Times New Roman" w:cs="Times New Roman"/>
          <w:color w:val="auto"/>
          <w:sz w:val="24"/>
          <w:szCs w:val="24"/>
        </w:rPr>
        <w:t>residencial</w:t>
      </w:r>
      <w:r w:rsidR="005F1988" w:rsidRPr="00BB231B">
        <w:rPr>
          <w:rFonts w:ascii="Times New Roman" w:hAnsi="Times New Roman" w:cs="Times New Roman"/>
          <w:color w:val="auto"/>
          <w:sz w:val="24"/>
          <w:szCs w:val="24"/>
        </w:rPr>
        <w:t>es</w:t>
      </w:r>
      <w:r w:rsidRPr="00BB231B">
        <w:rPr>
          <w:rFonts w:ascii="Times New Roman" w:hAnsi="Times New Roman" w:cs="Times New Roman"/>
          <w:color w:val="auto"/>
          <w:sz w:val="24"/>
          <w:szCs w:val="24"/>
        </w:rPr>
        <w:t xml:space="preserve"> establecida</w:t>
      </w:r>
      <w:r w:rsidR="005F1988" w:rsidRPr="00BB231B">
        <w:rPr>
          <w:rFonts w:ascii="Times New Roman" w:hAnsi="Times New Roman" w:cs="Times New Roman"/>
          <w:color w:val="auto"/>
          <w:sz w:val="24"/>
          <w:szCs w:val="24"/>
        </w:rPr>
        <w:t>s</w:t>
      </w:r>
      <w:r w:rsidRPr="00BB231B">
        <w:rPr>
          <w:rFonts w:ascii="Times New Roman" w:hAnsi="Times New Roman" w:cs="Times New Roman"/>
          <w:color w:val="auto"/>
          <w:sz w:val="24"/>
          <w:szCs w:val="24"/>
        </w:rPr>
        <w:t xml:space="preserve"> por el </w:t>
      </w:r>
      <w:r w:rsidR="000C7816" w:rsidRPr="00BB231B">
        <w:rPr>
          <w:rFonts w:ascii="Times New Roman" w:hAnsi="Times New Roman" w:cs="Times New Roman"/>
          <w:color w:val="auto"/>
          <w:sz w:val="24"/>
          <w:szCs w:val="24"/>
        </w:rPr>
        <w:t>P</w:t>
      </w:r>
      <w:r w:rsidRPr="00BB231B">
        <w:rPr>
          <w:rFonts w:ascii="Times New Roman" w:hAnsi="Times New Roman" w:cs="Times New Roman"/>
          <w:color w:val="auto"/>
          <w:sz w:val="24"/>
          <w:szCs w:val="24"/>
        </w:rPr>
        <w:t xml:space="preserve">residente </w:t>
      </w:r>
      <w:r w:rsidR="000C7816" w:rsidRPr="00BB231B">
        <w:rPr>
          <w:rFonts w:ascii="Times New Roman" w:hAnsi="Times New Roman" w:cs="Times New Roman"/>
          <w:color w:val="auto"/>
          <w:sz w:val="24"/>
          <w:szCs w:val="24"/>
        </w:rPr>
        <w:t>de la República</w:t>
      </w:r>
      <w:r w:rsidRPr="00BB231B">
        <w:rPr>
          <w:rFonts w:ascii="Times New Roman" w:hAnsi="Times New Roman" w:cs="Times New Roman"/>
          <w:color w:val="auto"/>
          <w:sz w:val="24"/>
          <w:szCs w:val="24"/>
        </w:rPr>
        <w:t xml:space="preserve"> el pasado 16 de agosto 2016</w:t>
      </w:r>
      <w:r w:rsidR="00FD1B0B" w:rsidRPr="00BB231B">
        <w:rPr>
          <w:rFonts w:ascii="Times New Roman" w:hAnsi="Times New Roman" w:cs="Times New Roman"/>
          <w:color w:val="auto"/>
          <w:sz w:val="24"/>
          <w:szCs w:val="24"/>
        </w:rPr>
        <w:t>.</w:t>
      </w:r>
    </w:p>
    <w:p w:rsidR="000B6BB1" w:rsidRPr="00BB231B" w:rsidRDefault="000B6BB1" w:rsidP="00AD2132">
      <w:pPr>
        <w:spacing w:before="0" w:after="0"/>
        <w:rPr>
          <w:rFonts w:ascii="Times New Roman" w:hAnsi="Times New Roman" w:cs="Times New Roman"/>
          <w:color w:val="auto"/>
          <w:sz w:val="24"/>
          <w:szCs w:val="24"/>
        </w:rPr>
      </w:pPr>
    </w:p>
    <w:p w:rsidR="00D76B0A" w:rsidRPr="00BB231B" w:rsidRDefault="003D6E53" w:rsidP="00256145">
      <w:pPr>
        <w:spacing w:before="0" w:after="0"/>
        <w:ind w:firstLine="360"/>
        <w:rPr>
          <w:rFonts w:ascii="Times New Roman" w:hAnsi="Times New Roman" w:cs="Times New Roman"/>
          <w:b/>
          <w:color w:val="FF0000"/>
          <w:sz w:val="28"/>
          <w:szCs w:val="24"/>
        </w:rPr>
      </w:pPr>
      <w:r w:rsidRPr="00BB231B">
        <w:rPr>
          <w:rFonts w:ascii="Times New Roman" w:hAnsi="Times New Roman" w:cs="Times New Roman"/>
          <w:color w:val="auto"/>
          <w:sz w:val="24"/>
          <w:szCs w:val="24"/>
        </w:rPr>
        <w:t>L</w:t>
      </w:r>
      <w:r w:rsidR="00FD1B0B" w:rsidRPr="00BB231B">
        <w:rPr>
          <w:rFonts w:ascii="Times New Roman" w:hAnsi="Times New Roman" w:cs="Times New Roman"/>
          <w:color w:val="auto"/>
          <w:sz w:val="24"/>
          <w:szCs w:val="24"/>
        </w:rPr>
        <w:t>as acciones más relevantes que se han completado durante este período</w:t>
      </w:r>
      <w:r w:rsidRPr="00BB231B">
        <w:rPr>
          <w:rFonts w:ascii="Times New Roman" w:hAnsi="Times New Roman" w:cs="Times New Roman"/>
          <w:color w:val="auto"/>
          <w:sz w:val="24"/>
          <w:szCs w:val="24"/>
        </w:rPr>
        <w:t xml:space="preserve"> son</w:t>
      </w:r>
      <w:r w:rsidR="00FD1B0B" w:rsidRPr="00BB231B">
        <w:rPr>
          <w:rFonts w:ascii="Times New Roman" w:hAnsi="Times New Roman" w:cs="Times New Roman"/>
          <w:color w:val="auto"/>
          <w:sz w:val="24"/>
          <w:szCs w:val="24"/>
        </w:rPr>
        <w:t>:</w:t>
      </w:r>
      <w:r w:rsidR="002258C2" w:rsidRPr="00BB231B">
        <w:rPr>
          <w:rFonts w:ascii="Times New Roman" w:hAnsi="Times New Roman" w:cs="Times New Roman"/>
          <w:b/>
          <w:color w:val="FF0000"/>
          <w:sz w:val="28"/>
          <w:szCs w:val="24"/>
        </w:rPr>
        <w:t xml:space="preserve"> </w:t>
      </w:r>
    </w:p>
    <w:p w:rsidR="000B6BB1" w:rsidRPr="00BB231B" w:rsidRDefault="000B6BB1" w:rsidP="000B6BB1">
      <w:pPr>
        <w:pStyle w:val="Prrafodelista"/>
        <w:spacing w:before="0" w:after="0"/>
        <w:ind w:left="720" w:firstLine="0"/>
        <w:rPr>
          <w:rFonts w:ascii="Times New Roman" w:hAnsi="Times New Roman" w:cs="Times New Roman"/>
          <w:color w:val="auto"/>
          <w:sz w:val="24"/>
          <w:szCs w:val="24"/>
        </w:rPr>
      </w:pPr>
    </w:p>
    <w:p w:rsidR="005E5142" w:rsidRPr="00362BEB" w:rsidRDefault="005E5142" w:rsidP="005E5142">
      <w:pPr>
        <w:pStyle w:val="Prrafodelista"/>
        <w:numPr>
          <w:ilvl w:val="0"/>
          <w:numId w:val="28"/>
        </w:numPr>
        <w:spacing w:before="0" w:after="0"/>
        <w:rPr>
          <w:rFonts w:ascii="Times New Roman" w:hAnsi="Times New Roman" w:cs="Times New Roman"/>
          <w:color w:val="auto"/>
          <w:sz w:val="24"/>
          <w:szCs w:val="24"/>
        </w:rPr>
      </w:pPr>
      <w:r w:rsidRPr="00362BEB">
        <w:rPr>
          <w:rFonts w:ascii="Times New Roman" w:hAnsi="Times New Roman" w:cs="Times New Roman"/>
          <w:color w:val="auto"/>
          <w:sz w:val="24"/>
          <w:szCs w:val="24"/>
        </w:rPr>
        <w:t xml:space="preserve">La Contraloría diseñó la herramienta tecnológica denominada </w:t>
      </w:r>
      <w:r w:rsidRPr="00362BEB">
        <w:rPr>
          <w:rFonts w:ascii="Times New Roman" w:hAnsi="Times New Roman" w:cs="Times New Roman"/>
          <w:b/>
          <w:color w:val="auto"/>
          <w:sz w:val="24"/>
          <w:szCs w:val="24"/>
        </w:rPr>
        <w:t>“Sistema para el Diagnóstico de las NOBACI”</w:t>
      </w:r>
      <w:r w:rsidR="001F3934">
        <w:rPr>
          <w:rFonts w:ascii="Times New Roman" w:hAnsi="Times New Roman" w:cs="Times New Roman"/>
          <w:color w:val="auto"/>
          <w:sz w:val="24"/>
          <w:szCs w:val="24"/>
        </w:rPr>
        <w:t>.</w:t>
      </w:r>
      <w:r w:rsidR="0046155A">
        <w:rPr>
          <w:rFonts w:ascii="Times New Roman" w:hAnsi="Times New Roman" w:cs="Times New Roman"/>
          <w:color w:val="auto"/>
          <w:sz w:val="24"/>
          <w:szCs w:val="24"/>
        </w:rPr>
        <w:t xml:space="preserve"> </w:t>
      </w:r>
      <w:r w:rsidR="001F3934" w:rsidRPr="00362BEB">
        <w:rPr>
          <w:rFonts w:ascii="Times New Roman" w:hAnsi="Times New Roman" w:cs="Times New Roman"/>
          <w:color w:val="auto"/>
          <w:sz w:val="24"/>
          <w:szCs w:val="24"/>
        </w:rPr>
        <w:t xml:space="preserve">Esta </w:t>
      </w:r>
      <w:r w:rsidR="00ED0092">
        <w:rPr>
          <w:rFonts w:ascii="Times New Roman" w:hAnsi="Times New Roman" w:cs="Times New Roman"/>
          <w:color w:val="auto"/>
          <w:sz w:val="24"/>
          <w:szCs w:val="24"/>
        </w:rPr>
        <w:t xml:space="preserve">les </w:t>
      </w:r>
      <w:r w:rsidR="001F3934" w:rsidRPr="00362BEB">
        <w:rPr>
          <w:rFonts w:ascii="Times New Roman" w:hAnsi="Times New Roman" w:cs="Times New Roman"/>
          <w:color w:val="auto"/>
          <w:sz w:val="24"/>
          <w:szCs w:val="24"/>
        </w:rPr>
        <w:t>permite</w:t>
      </w:r>
      <w:r w:rsidR="00ED0092">
        <w:rPr>
          <w:rFonts w:ascii="Times New Roman" w:hAnsi="Times New Roman" w:cs="Times New Roman"/>
          <w:color w:val="auto"/>
          <w:sz w:val="24"/>
          <w:szCs w:val="24"/>
        </w:rPr>
        <w:t xml:space="preserve"> </w:t>
      </w:r>
      <w:r w:rsidR="004275C3" w:rsidRPr="00362BEB">
        <w:rPr>
          <w:rFonts w:ascii="Times New Roman" w:hAnsi="Times New Roman" w:cs="Times New Roman"/>
          <w:color w:val="auto"/>
          <w:sz w:val="24"/>
          <w:szCs w:val="24"/>
        </w:rPr>
        <w:t>a las entidades y organ</w:t>
      </w:r>
      <w:r w:rsidR="004275C3">
        <w:rPr>
          <w:rFonts w:ascii="Times New Roman" w:hAnsi="Times New Roman" w:cs="Times New Roman"/>
          <w:color w:val="auto"/>
          <w:sz w:val="24"/>
          <w:szCs w:val="24"/>
        </w:rPr>
        <w:t>ismos públicos bajo su alcance</w:t>
      </w:r>
      <w:r w:rsidR="00ED0092">
        <w:rPr>
          <w:rFonts w:ascii="Times New Roman" w:hAnsi="Times New Roman" w:cs="Times New Roman"/>
          <w:color w:val="auto"/>
          <w:sz w:val="24"/>
          <w:szCs w:val="24"/>
        </w:rPr>
        <w:t xml:space="preserve"> </w:t>
      </w:r>
      <w:r w:rsidR="00ED0092" w:rsidRPr="00362BEB">
        <w:rPr>
          <w:rFonts w:ascii="Times New Roman" w:hAnsi="Times New Roman" w:cs="Times New Roman"/>
          <w:color w:val="auto"/>
          <w:sz w:val="24"/>
          <w:szCs w:val="24"/>
        </w:rPr>
        <w:t>realizar en línea su proceso de autodiagnóstico</w:t>
      </w:r>
      <w:r w:rsidR="001F3934" w:rsidRPr="00362BEB">
        <w:rPr>
          <w:rFonts w:ascii="Times New Roman" w:hAnsi="Times New Roman" w:cs="Times New Roman"/>
          <w:color w:val="auto"/>
          <w:sz w:val="24"/>
          <w:szCs w:val="24"/>
        </w:rPr>
        <w:t xml:space="preserve"> para los 5 Componentes del control interno</w:t>
      </w:r>
      <w:r w:rsidR="00ED0092">
        <w:rPr>
          <w:rFonts w:ascii="Times New Roman" w:hAnsi="Times New Roman" w:cs="Times New Roman"/>
          <w:color w:val="auto"/>
          <w:sz w:val="24"/>
          <w:szCs w:val="24"/>
        </w:rPr>
        <w:t>,</w:t>
      </w:r>
      <w:r w:rsidR="001F3934">
        <w:rPr>
          <w:rFonts w:ascii="Times New Roman" w:hAnsi="Times New Roman" w:cs="Times New Roman"/>
          <w:color w:val="auto"/>
          <w:sz w:val="24"/>
          <w:szCs w:val="24"/>
        </w:rPr>
        <w:t xml:space="preserve"> </w:t>
      </w:r>
      <w:r w:rsidR="00ED0092">
        <w:rPr>
          <w:rFonts w:ascii="Times New Roman" w:hAnsi="Times New Roman" w:cs="Times New Roman"/>
          <w:color w:val="auto"/>
          <w:sz w:val="24"/>
          <w:szCs w:val="24"/>
        </w:rPr>
        <w:t>así como</w:t>
      </w:r>
      <w:r w:rsidR="0046155A">
        <w:rPr>
          <w:rFonts w:ascii="Times New Roman" w:hAnsi="Times New Roman" w:cs="Times New Roman"/>
          <w:color w:val="auto"/>
          <w:sz w:val="24"/>
          <w:szCs w:val="24"/>
        </w:rPr>
        <w:t xml:space="preserve"> un </w:t>
      </w:r>
      <w:r w:rsidR="001F3934">
        <w:rPr>
          <w:rFonts w:ascii="Times New Roman" w:hAnsi="Times New Roman" w:cs="Times New Roman"/>
          <w:color w:val="auto"/>
          <w:sz w:val="24"/>
          <w:szCs w:val="24"/>
        </w:rPr>
        <w:t xml:space="preserve">video </w:t>
      </w:r>
      <w:r w:rsidR="0046155A">
        <w:rPr>
          <w:rFonts w:ascii="Times New Roman" w:hAnsi="Times New Roman" w:cs="Times New Roman"/>
          <w:color w:val="auto"/>
          <w:sz w:val="24"/>
          <w:szCs w:val="24"/>
        </w:rPr>
        <w:t xml:space="preserve">tutorial que </w:t>
      </w:r>
      <w:r w:rsidR="001F3934">
        <w:rPr>
          <w:rFonts w:ascii="Times New Roman" w:hAnsi="Times New Roman" w:cs="Times New Roman"/>
          <w:color w:val="auto"/>
          <w:sz w:val="24"/>
          <w:szCs w:val="24"/>
        </w:rPr>
        <w:t>sirve de guía para su implementación</w:t>
      </w:r>
      <w:r w:rsidRPr="00362BEB">
        <w:rPr>
          <w:rFonts w:ascii="Times New Roman" w:hAnsi="Times New Roman" w:cs="Times New Roman"/>
          <w:color w:val="auto"/>
          <w:sz w:val="24"/>
          <w:szCs w:val="24"/>
        </w:rPr>
        <w:t xml:space="preserve">.   </w:t>
      </w:r>
    </w:p>
    <w:p w:rsidR="005D7D94" w:rsidRPr="00362BEB" w:rsidRDefault="005D7D94" w:rsidP="005D7D94">
      <w:pPr>
        <w:pStyle w:val="Prrafodelista"/>
        <w:spacing w:before="0" w:after="0"/>
        <w:ind w:left="720" w:firstLine="0"/>
        <w:rPr>
          <w:rFonts w:ascii="Times New Roman" w:eastAsia="Gill Sans MT" w:hAnsi="Times New Roman" w:cs="Times New Roman"/>
          <w:b/>
          <w:color w:val="auto"/>
          <w:sz w:val="28"/>
          <w:szCs w:val="24"/>
          <w:lang w:val="es-DO"/>
        </w:rPr>
      </w:pPr>
    </w:p>
    <w:p w:rsidR="005E5142" w:rsidRPr="00362BEB" w:rsidRDefault="005E5142" w:rsidP="005E5142">
      <w:pPr>
        <w:pStyle w:val="Prrafodelista"/>
        <w:numPr>
          <w:ilvl w:val="0"/>
          <w:numId w:val="28"/>
        </w:numPr>
        <w:spacing w:before="0" w:after="0"/>
        <w:rPr>
          <w:rFonts w:ascii="Times New Roman" w:eastAsia="Gill Sans MT" w:hAnsi="Times New Roman" w:cs="Times New Roman"/>
          <w:b/>
          <w:color w:val="auto"/>
          <w:sz w:val="28"/>
          <w:szCs w:val="24"/>
          <w:lang w:val="es-DO"/>
        </w:rPr>
      </w:pPr>
      <w:r w:rsidRPr="00362BEB">
        <w:rPr>
          <w:rFonts w:ascii="Times New Roman" w:hAnsi="Times New Roman" w:cs="Times New Roman"/>
          <w:b/>
          <w:color w:val="auto"/>
          <w:sz w:val="24"/>
          <w:szCs w:val="24"/>
        </w:rPr>
        <w:t>La CGR ha asesorado y brindado acompañamiento técnico  en la implementación y medición  de la efectividad del control interno</w:t>
      </w:r>
      <w:r w:rsidRPr="00362BEB">
        <w:rPr>
          <w:rFonts w:ascii="Times New Roman" w:hAnsi="Times New Roman" w:cs="Times New Roman"/>
          <w:color w:val="auto"/>
          <w:sz w:val="24"/>
          <w:szCs w:val="24"/>
        </w:rPr>
        <w:t xml:space="preserve">  </w:t>
      </w:r>
      <w:r w:rsidRPr="00362BEB">
        <w:rPr>
          <w:rFonts w:ascii="Times New Roman" w:hAnsi="Times New Roman" w:cs="Times New Roman"/>
          <w:b/>
          <w:color w:val="auto"/>
          <w:sz w:val="24"/>
          <w:szCs w:val="24"/>
        </w:rPr>
        <w:t>a través de talleres impartidos  a 282 Entidades del Estado para un total de  1,292 asistentes</w:t>
      </w:r>
      <w:r w:rsidRPr="00362BEB">
        <w:rPr>
          <w:rFonts w:ascii="Times New Roman" w:hAnsi="Times New Roman" w:cs="Times New Roman"/>
          <w:color w:val="auto"/>
          <w:sz w:val="24"/>
          <w:szCs w:val="24"/>
        </w:rPr>
        <w:t>.</w:t>
      </w:r>
      <w:r w:rsidRPr="00362BEB">
        <w:rPr>
          <w:rFonts w:ascii="Times New Roman" w:eastAsia="Gill Sans MT" w:hAnsi="Times New Roman" w:cs="Times New Roman"/>
          <w:b/>
          <w:color w:val="auto"/>
          <w:sz w:val="28"/>
          <w:szCs w:val="24"/>
          <w:lang w:val="es-DO"/>
        </w:rPr>
        <w:t xml:space="preserve"> </w:t>
      </w:r>
    </w:p>
    <w:p w:rsidR="005D7D94" w:rsidRPr="00362BEB" w:rsidRDefault="005D7D94" w:rsidP="005D7D94">
      <w:pPr>
        <w:pStyle w:val="Prrafodelista"/>
        <w:spacing w:before="0" w:after="0"/>
        <w:ind w:left="720" w:firstLine="0"/>
        <w:rPr>
          <w:rFonts w:ascii="Times New Roman" w:hAnsi="Times New Roman" w:cs="Times New Roman"/>
          <w:color w:val="auto"/>
          <w:sz w:val="24"/>
          <w:szCs w:val="24"/>
        </w:rPr>
      </w:pPr>
    </w:p>
    <w:p w:rsidR="005D7D94" w:rsidRPr="00362BEB" w:rsidRDefault="005D7D94" w:rsidP="005D7D94">
      <w:pPr>
        <w:pStyle w:val="Prrafodelista"/>
        <w:numPr>
          <w:ilvl w:val="0"/>
          <w:numId w:val="28"/>
        </w:numPr>
        <w:spacing w:before="0" w:after="0"/>
        <w:rPr>
          <w:rFonts w:ascii="Times New Roman" w:hAnsi="Times New Roman" w:cs="Times New Roman"/>
          <w:color w:val="auto"/>
          <w:sz w:val="24"/>
          <w:szCs w:val="24"/>
        </w:rPr>
      </w:pPr>
      <w:r w:rsidRPr="00362BEB">
        <w:rPr>
          <w:rFonts w:ascii="Times New Roman" w:hAnsi="Times New Roman" w:cs="Times New Roman"/>
          <w:color w:val="auto"/>
          <w:sz w:val="24"/>
          <w:szCs w:val="24"/>
        </w:rPr>
        <w:t xml:space="preserve">La Contraloría emitió la resolución 001-17 en su artículo primero  estableciendo que las instituciones bajo el ámbito de la ley 10-07 deben implantar y poner en funcionamiento las cinco (5) normas Básicas de Control Interno.  </w:t>
      </w:r>
    </w:p>
    <w:p w:rsidR="005D7D94" w:rsidRPr="00362BEB" w:rsidRDefault="005D7D94" w:rsidP="005D7D94">
      <w:pPr>
        <w:pStyle w:val="Prrafodelista"/>
        <w:spacing w:before="0" w:after="0"/>
        <w:ind w:left="720" w:firstLine="0"/>
        <w:rPr>
          <w:rFonts w:ascii="Times New Roman" w:hAnsi="Times New Roman" w:cs="Times New Roman"/>
          <w:color w:val="auto"/>
          <w:sz w:val="24"/>
          <w:szCs w:val="24"/>
        </w:rPr>
      </w:pPr>
    </w:p>
    <w:p w:rsidR="005D7D94" w:rsidRPr="00362BEB" w:rsidRDefault="005D7D94" w:rsidP="005D7D94">
      <w:pPr>
        <w:pStyle w:val="Prrafodelista"/>
        <w:numPr>
          <w:ilvl w:val="0"/>
          <w:numId w:val="28"/>
        </w:numPr>
        <w:spacing w:before="0" w:after="0"/>
        <w:rPr>
          <w:rFonts w:ascii="Times New Roman" w:hAnsi="Times New Roman" w:cs="Times New Roman"/>
          <w:color w:val="auto"/>
          <w:sz w:val="24"/>
          <w:szCs w:val="24"/>
        </w:rPr>
      </w:pPr>
      <w:r w:rsidRPr="00362BEB">
        <w:rPr>
          <w:rFonts w:ascii="Times New Roman" w:hAnsi="Times New Roman" w:cs="Times New Roman"/>
          <w:b/>
          <w:color w:val="auto"/>
          <w:sz w:val="24"/>
          <w:szCs w:val="24"/>
        </w:rPr>
        <w:t>Un total de 145 instituciones se  encuentran en proceso de implementación</w:t>
      </w:r>
      <w:r w:rsidRPr="00362BEB">
        <w:rPr>
          <w:rFonts w:ascii="Times New Roman" w:hAnsi="Times New Roman" w:cs="Times New Roman"/>
          <w:color w:val="auto"/>
          <w:sz w:val="24"/>
          <w:szCs w:val="24"/>
        </w:rPr>
        <w:t xml:space="preserve"> de las NOBACI.  </w:t>
      </w:r>
    </w:p>
    <w:p w:rsidR="005E5142" w:rsidRPr="00362BEB" w:rsidRDefault="005E5142" w:rsidP="005E5142">
      <w:pPr>
        <w:pStyle w:val="Textoindependiente"/>
        <w:numPr>
          <w:ilvl w:val="0"/>
          <w:numId w:val="28"/>
        </w:numPr>
        <w:jc w:val="both"/>
        <w:rPr>
          <w:rFonts w:eastAsiaTheme="minorEastAsia"/>
          <w:bCs w:val="0"/>
          <w:lang w:val="es-ES" w:eastAsia="en-US"/>
        </w:rPr>
      </w:pPr>
      <w:r w:rsidRPr="00362BEB">
        <w:rPr>
          <w:rFonts w:eastAsiaTheme="minorEastAsia"/>
          <w:lang w:val="es-ES" w:eastAsia="en-US"/>
        </w:rPr>
        <w:lastRenderedPageBreak/>
        <w:t xml:space="preserve">Fueron realizadas cuatrocientos trece (413) visitas a las instituciones </w:t>
      </w:r>
      <w:r w:rsidRPr="00362BEB">
        <w:rPr>
          <w:rFonts w:eastAsiaTheme="minorEastAsia"/>
          <w:b w:val="0"/>
          <w:lang w:val="es-ES" w:eastAsia="en-US"/>
        </w:rPr>
        <w:t xml:space="preserve">  </w:t>
      </w:r>
      <w:r w:rsidRPr="00362BEB">
        <w:rPr>
          <w:rFonts w:eastAsiaTheme="minorEastAsia"/>
          <w:lang w:val="es-ES" w:eastAsia="en-US"/>
        </w:rPr>
        <w:t>para dar asesorías sobre el cumplimiento de las normas y requisitos de los procesos de Órdenes de Pago y Registro de Contratos.</w:t>
      </w:r>
    </w:p>
    <w:p w:rsidR="00362BEB" w:rsidRPr="00BB231B" w:rsidRDefault="00362BEB" w:rsidP="00362BEB">
      <w:pPr>
        <w:pStyle w:val="Prrafodelista"/>
        <w:numPr>
          <w:ilvl w:val="0"/>
          <w:numId w:val="28"/>
        </w:numPr>
        <w:shd w:val="clear" w:color="auto" w:fill="FFFFFF"/>
        <w:spacing w:after="150"/>
        <w:rPr>
          <w:rFonts w:ascii="Times New Roman" w:eastAsia="Times New Roman" w:hAnsi="Times New Roman" w:cs="Times New Roman"/>
          <w:color w:val="auto"/>
          <w:sz w:val="24"/>
          <w:szCs w:val="24"/>
          <w:lang w:eastAsia="es-DO"/>
        </w:rPr>
      </w:pPr>
      <w:r w:rsidRPr="00BB231B">
        <w:rPr>
          <w:rFonts w:ascii="Times New Roman" w:eastAsia="Times New Roman" w:hAnsi="Times New Roman" w:cs="Times New Roman"/>
          <w:color w:val="auto"/>
          <w:sz w:val="24"/>
          <w:szCs w:val="24"/>
          <w:lang w:eastAsia="es-DO"/>
        </w:rPr>
        <w:t xml:space="preserve">La </w:t>
      </w:r>
      <w:r w:rsidRPr="00BB231B">
        <w:rPr>
          <w:rFonts w:ascii="Times New Roman" w:eastAsia="Times New Roman" w:hAnsi="Times New Roman" w:cs="Times New Roman"/>
          <w:b/>
          <w:color w:val="auto"/>
          <w:sz w:val="24"/>
          <w:szCs w:val="24"/>
          <w:lang w:eastAsia="es-DO"/>
        </w:rPr>
        <w:t>CGR implementó un nuevo sistema de trámites de pagos, denominado SUAI TRE CHEQUES para la autorización de las órdenes de pagos a través de cheques</w:t>
      </w:r>
      <w:r w:rsidRPr="00BB231B">
        <w:rPr>
          <w:rFonts w:ascii="Times New Roman" w:eastAsia="Times New Roman" w:hAnsi="Times New Roman" w:cs="Times New Roman"/>
          <w:color w:val="auto"/>
          <w:sz w:val="24"/>
          <w:szCs w:val="24"/>
          <w:lang w:eastAsia="es-DO"/>
        </w:rPr>
        <w:t>. Este sistema simplifica y agiliza el proceso de autorización de los trámites que debe agotar este tipo de autorización de pagos, debido a que permite a las instituciones del Estado tramitar vía digital a la CGR todas las solicitudes de aprobaciones de pagos y los anexos correspondientes que sustentan el expediente. A este proceso se incorporó la autorización de la Contraloría mediante una certificación de pago protegida por un Certificado Digital. Igualmente, permite a proveedores y beneficiarios del Estado conocer el estatus en línea de su pago, desde el mismo momento en que la institución somete la solicitud de autorización.</w:t>
      </w:r>
    </w:p>
    <w:p w:rsidR="005E5142" w:rsidRPr="005E5142" w:rsidRDefault="005E5142" w:rsidP="005D7D94">
      <w:pPr>
        <w:pStyle w:val="Prrafodelista"/>
        <w:spacing w:before="0" w:after="0"/>
        <w:ind w:left="720" w:firstLine="0"/>
        <w:rPr>
          <w:rFonts w:ascii="Times New Roman" w:hAnsi="Times New Roman" w:cs="Times New Roman"/>
          <w:color w:val="auto"/>
          <w:sz w:val="24"/>
          <w:szCs w:val="24"/>
        </w:rPr>
      </w:pPr>
    </w:p>
    <w:p w:rsidR="005D7D94" w:rsidRPr="00BB231B" w:rsidRDefault="004275C3" w:rsidP="005D7D94">
      <w:pPr>
        <w:pStyle w:val="Textoindependiente"/>
        <w:numPr>
          <w:ilvl w:val="0"/>
          <w:numId w:val="28"/>
        </w:numPr>
        <w:spacing w:after="120"/>
        <w:jc w:val="both"/>
        <w:rPr>
          <w:rFonts w:eastAsiaTheme="minorEastAsia"/>
          <w:b w:val="0"/>
          <w:bCs w:val="0"/>
          <w:lang w:val="es-ES" w:eastAsia="en-US"/>
        </w:rPr>
      </w:pPr>
      <w:r>
        <w:rPr>
          <w:rFonts w:eastAsiaTheme="minorEastAsia"/>
          <w:b w:val="0"/>
          <w:bCs w:val="0"/>
          <w:lang w:val="es-ES" w:eastAsia="en-US"/>
        </w:rPr>
        <w:t>Fue d</w:t>
      </w:r>
      <w:r w:rsidR="005D7D94" w:rsidRPr="00BB231B">
        <w:rPr>
          <w:rFonts w:eastAsiaTheme="minorEastAsia"/>
          <w:b w:val="0"/>
          <w:bCs w:val="0"/>
          <w:lang w:val="es-ES" w:eastAsia="en-US"/>
        </w:rPr>
        <w:t>iseñ</w:t>
      </w:r>
      <w:r>
        <w:rPr>
          <w:rFonts w:eastAsiaTheme="minorEastAsia"/>
          <w:b w:val="0"/>
          <w:bCs w:val="0"/>
          <w:lang w:val="es-ES" w:eastAsia="en-US"/>
        </w:rPr>
        <w:t>ado</w:t>
      </w:r>
      <w:r w:rsidR="005D7D94" w:rsidRPr="00BB231B">
        <w:rPr>
          <w:rFonts w:eastAsiaTheme="minorEastAsia"/>
          <w:b w:val="0"/>
          <w:bCs w:val="0"/>
          <w:lang w:val="es-ES" w:eastAsia="en-US"/>
        </w:rPr>
        <w:t xml:space="preserve"> del Manual de Auditoría Interna Gubernamental (MAIG).</w:t>
      </w:r>
    </w:p>
    <w:p w:rsidR="005D7D94" w:rsidRPr="00BB231B" w:rsidRDefault="004275C3" w:rsidP="005D7D94">
      <w:pPr>
        <w:pStyle w:val="Textoindependiente"/>
        <w:numPr>
          <w:ilvl w:val="0"/>
          <w:numId w:val="28"/>
        </w:numPr>
        <w:spacing w:after="120"/>
        <w:jc w:val="both"/>
        <w:rPr>
          <w:rFonts w:eastAsiaTheme="minorEastAsia"/>
          <w:b w:val="0"/>
          <w:bCs w:val="0"/>
          <w:lang w:val="es-ES" w:eastAsia="en-US"/>
        </w:rPr>
      </w:pPr>
      <w:r>
        <w:rPr>
          <w:rFonts w:eastAsiaTheme="minorEastAsia"/>
          <w:b w:val="0"/>
          <w:bCs w:val="0"/>
          <w:lang w:val="es-ES" w:eastAsia="en-US"/>
        </w:rPr>
        <w:t>Fue d</w:t>
      </w:r>
      <w:r w:rsidRPr="00BB231B">
        <w:rPr>
          <w:rFonts w:eastAsiaTheme="minorEastAsia"/>
          <w:b w:val="0"/>
          <w:bCs w:val="0"/>
          <w:lang w:val="es-ES" w:eastAsia="en-US"/>
        </w:rPr>
        <w:t>iseñ</w:t>
      </w:r>
      <w:r>
        <w:rPr>
          <w:rFonts w:eastAsiaTheme="minorEastAsia"/>
          <w:b w:val="0"/>
          <w:bCs w:val="0"/>
          <w:lang w:val="es-ES" w:eastAsia="en-US"/>
        </w:rPr>
        <w:t>ado</w:t>
      </w:r>
      <w:r w:rsidRPr="00BB231B">
        <w:rPr>
          <w:rFonts w:eastAsiaTheme="minorEastAsia"/>
          <w:b w:val="0"/>
          <w:bCs w:val="0"/>
          <w:lang w:val="es-ES" w:eastAsia="en-US"/>
        </w:rPr>
        <w:t xml:space="preserve"> </w:t>
      </w:r>
      <w:r w:rsidR="005D7D94" w:rsidRPr="00BB231B">
        <w:rPr>
          <w:rFonts w:eastAsiaTheme="minorEastAsia"/>
          <w:b w:val="0"/>
          <w:bCs w:val="0"/>
          <w:lang w:val="es-ES" w:eastAsia="en-US"/>
        </w:rPr>
        <w:t xml:space="preserve">de la Guía de Auditoría del Control Interno (ACI).  </w:t>
      </w:r>
    </w:p>
    <w:p w:rsidR="005D7D94" w:rsidRPr="00BB231B" w:rsidRDefault="004275C3" w:rsidP="005D7D94">
      <w:pPr>
        <w:pStyle w:val="Textoindependiente"/>
        <w:numPr>
          <w:ilvl w:val="0"/>
          <w:numId w:val="28"/>
        </w:numPr>
        <w:spacing w:after="120"/>
        <w:jc w:val="both"/>
        <w:rPr>
          <w:rFonts w:eastAsiaTheme="minorEastAsia"/>
          <w:b w:val="0"/>
          <w:bCs w:val="0"/>
          <w:lang w:val="es-ES" w:eastAsia="en-US"/>
        </w:rPr>
      </w:pPr>
      <w:r>
        <w:rPr>
          <w:rFonts w:eastAsiaTheme="minorEastAsia"/>
          <w:b w:val="0"/>
          <w:bCs w:val="0"/>
          <w:lang w:val="es-ES" w:eastAsia="en-US"/>
        </w:rPr>
        <w:t>Fue d</w:t>
      </w:r>
      <w:r w:rsidRPr="00BB231B">
        <w:rPr>
          <w:rFonts w:eastAsiaTheme="minorEastAsia"/>
          <w:b w:val="0"/>
          <w:bCs w:val="0"/>
          <w:lang w:val="es-ES" w:eastAsia="en-US"/>
        </w:rPr>
        <w:t>iseñ</w:t>
      </w:r>
      <w:r>
        <w:rPr>
          <w:rFonts w:eastAsiaTheme="minorEastAsia"/>
          <w:b w:val="0"/>
          <w:bCs w:val="0"/>
          <w:lang w:val="es-ES" w:eastAsia="en-US"/>
        </w:rPr>
        <w:t>ado</w:t>
      </w:r>
      <w:r w:rsidRPr="00BB231B">
        <w:rPr>
          <w:rFonts w:eastAsiaTheme="minorEastAsia"/>
          <w:b w:val="0"/>
          <w:bCs w:val="0"/>
          <w:lang w:val="es-ES" w:eastAsia="en-US"/>
        </w:rPr>
        <w:t xml:space="preserve"> </w:t>
      </w:r>
      <w:r w:rsidR="005D7D94" w:rsidRPr="00BB231B">
        <w:rPr>
          <w:rFonts w:eastAsiaTheme="minorEastAsia"/>
          <w:b w:val="0"/>
          <w:bCs w:val="0"/>
          <w:lang w:val="es-ES" w:eastAsia="en-US"/>
        </w:rPr>
        <w:t>de la Guía de Auditoría Financiera (AFI).</w:t>
      </w:r>
    </w:p>
    <w:p w:rsidR="005D7D94" w:rsidRPr="00BB231B" w:rsidRDefault="00730639" w:rsidP="005D7D94">
      <w:pPr>
        <w:pStyle w:val="Textoindependiente"/>
        <w:numPr>
          <w:ilvl w:val="0"/>
          <w:numId w:val="28"/>
        </w:numPr>
        <w:spacing w:after="120"/>
        <w:jc w:val="both"/>
        <w:rPr>
          <w:rFonts w:eastAsiaTheme="minorEastAsia"/>
          <w:b w:val="0"/>
          <w:bCs w:val="0"/>
          <w:lang w:val="es-ES" w:eastAsia="en-US"/>
        </w:rPr>
      </w:pPr>
      <w:r>
        <w:rPr>
          <w:rFonts w:eastAsiaTheme="minorEastAsia"/>
          <w:b w:val="0"/>
          <w:bCs w:val="0"/>
          <w:lang w:val="es-ES" w:eastAsia="en-US"/>
        </w:rPr>
        <w:t xml:space="preserve">Se elaboró el </w:t>
      </w:r>
      <w:r w:rsidR="005D7D94" w:rsidRPr="00BB231B">
        <w:rPr>
          <w:rFonts w:eastAsiaTheme="minorEastAsia"/>
          <w:b w:val="0"/>
          <w:bCs w:val="0"/>
          <w:lang w:val="es-ES" w:eastAsia="en-US"/>
        </w:rPr>
        <w:t>Proyecto de Declaración Técnica sobre Autorización de Órdenes de Pago.</w:t>
      </w:r>
    </w:p>
    <w:p w:rsidR="005D7D94" w:rsidRPr="00BB231B" w:rsidRDefault="00730639" w:rsidP="005D7D94">
      <w:pPr>
        <w:pStyle w:val="Textoindependiente"/>
        <w:numPr>
          <w:ilvl w:val="0"/>
          <w:numId w:val="28"/>
        </w:numPr>
        <w:spacing w:after="120"/>
        <w:jc w:val="both"/>
        <w:rPr>
          <w:rFonts w:eastAsiaTheme="minorEastAsia"/>
          <w:b w:val="0"/>
          <w:bCs w:val="0"/>
          <w:lang w:val="es-ES" w:eastAsia="en-US"/>
        </w:rPr>
      </w:pPr>
      <w:r>
        <w:rPr>
          <w:rFonts w:eastAsiaTheme="minorEastAsia"/>
          <w:b w:val="0"/>
          <w:bCs w:val="0"/>
          <w:lang w:val="es-ES" w:eastAsia="en-US"/>
        </w:rPr>
        <w:t xml:space="preserve">Se elaboró el </w:t>
      </w:r>
      <w:r w:rsidR="005D7D94" w:rsidRPr="00BB231B">
        <w:rPr>
          <w:rFonts w:eastAsiaTheme="minorEastAsia"/>
          <w:b w:val="0"/>
          <w:bCs w:val="0"/>
          <w:lang w:val="es-ES" w:eastAsia="en-US"/>
        </w:rPr>
        <w:t>Proyecto de Reglamento para el Registro de Contratos de Compras y Adquisiciones de Bienes, Servicios, Obras y Concesiones.</w:t>
      </w:r>
    </w:p>
    <w:p w:rsidR="005D7D94" w:rsidRPr="00BB231B" w:rsidRDefault="00730639" w:rsidP="005D7D94">
      <w:pPr>
        <w:pStyle w:val="Textoindependiente"/>
        <w:numPr>
          <w:ilvl w:val="0"/>
          <w:numId w:val="28"/>
        </w:numPr>
        <w:spacing w:after="120"/>
        <w:jc w:val="both"/>
        <w:rPr>
          <w:rFonts w:eastAsiaTheme="minorEastAsia"/>
          <w:b w:val="0"/>
          <w:bCs w:val="0"/>
          <w:lang w:val="es-ES" w:eastAsia="en-US"/>
        </w:rPr>
      </w:pPr>
      <w:r>
        <w:rPr>
          <w:rFonts w:eastAsiaTheme="minorEastAsia"/>
          <w:b w:val="0"/>
          <w:bCs w:val="0"/>
          <w:lang w:val="es-ES" w:eastAsia="en-US"/>
        </w:rPr>
        <w:t xml:space="preserve">Se elaboró el </w:t>
      </w:r>
      <w:r w:rsidR="005D7D94" w:rsidRPr="00BB231B">
        <w:rPr>
          <w:rFonts w:eastAsiaTheme="minorEastAsia"/>
          <w:b w:val="0"/>
          <w:bCs w:val="0"/>
          <w:lang w:val="es-ES" w:eastAsia="en-US"/>
        </w:rPr>
        <w:t>Proyecto de Declaración Técnica sobre los Principios del Sistema Nacional de Control Interno (SINACI) y del proceso de Control Interno.</w:t>
      </w:r>
    </w:p>
    <w:p w:rsidR="00D76B0A" w:rsidRPr="00BB231B" w:rsidRDefault="00730639" w:rsidP="00AD2132">
      <w:pPr>
        <w:pStyle w:val="Prrafodelista"/>
        <w:numPr>
          <w:ilvl w:val="0"/>
          <w:numId w:val="28"/>
        </w:numPr>
        <w:spacing w:before="0" w:after="0"/>
        <w:rPr>
          <w:rFonts w:ascii="Times New Roman" w:hAnsi="Times New Roman" w:cs="Times New Roman"/>
          <w:color w:val="auto"/>
          <w:sz w:val="24"/>
          <w:szCs w:val="24"/>
        </w:rPr>
      </w:pPr>
      <w:r>
        <w:rPr>
          <w:rFonts w:ascii="Times New Roman" w:hAnsi="Times New Roman" w:cs="Times New Roman"/>
          <w:b/>
          <w:color w:val="auto"/>
          <w:sz w:val="24"/>
          <w:szCs w:val="24"/>
        </w:rPr>
        <w:t xml:space="preserve">Fueron </w:t>
      </w:r>
      <w:r w:rsidR="00D76B0A" w:rsidRPr="00BB231B">
        <w:rPr>
          <w:rFonts w:ascii="Times New Roman" w:hAnsi="Times New Roman" w:cs="Times New Roman"/>
          <w:b/>
          <w:color w:val="auto"/>
          <w:sz w:val="24"/>
          <w:szCs w:val="24"/>
        </w:rPr>
        <w:t>capacitado</w:t>
      </w:r>
      <w:r>
        <w:rPr>
          <w:rFonts w:ascii="Times New Roman" w:hAnsi="Times New Roman" w:cs="Times New Roman"/>
          <w:b/>
          <w:color w:val="auto"/>
          <w:sz w:val="24"/>
          <w:szCs w:val="24"/>
        </w:rPr>
        <w:t>s</w:t>
      </w:r>
      <w:r w:rsidR="00D76B0A" w:rsidRPr="00BB231B">
        <w:rPr>
          <w:rFonts w:ascii="Times New Roman" w:hAnsi="Times New Roman" w:cs="Times New Roman"/>
          <w:b/>
          <w:color w:val="auto"/>
          <w:sz w:val="24"/>
          <w:szCs w:val="24"/>
        </w:rPr>
        <w:t xml:space="preserve"> 347 colaboradores públicos</w:t>
      </w:r>
      <w:r>
        <w:rPr>
          <w:rFonts w:ascii="Times New Roman" w:hAnsi="Times New Roman" w:cs="Times New Roman"/>
          <w:color w:val="auto"/>
          <w:sz w:val="24"/>
          <w:szCs w:val="24"/>
        </w:rPr>
        <w:t xml:space="preserve"> en el </w:t>
      </w:r>
      <w:r w:rsidR="00D76B0A" w:rsidRPr="00BB231B">
        <w:rPr>
          <w:rFonts w:ascii="Times New Roman" w:hAnsi="Times New Roman" w:cs="Times New Roman"/>
          <w:color w:val="auto"/>
          <w:sz w:val="24"/>
          <w:szCs w:val="24"/>
        </w:rPr>
        <w:t>proceso</w:t>
      </w:r>
      <w:r>
        <w:rPr>
          <w:rFonts w:ascii="Times New Roman" w:hAnsi="Times New Roman" w:cs="Times New Roman"/>
          <w:color w:val="auto"/>
          <w:sz w:val="24"/>
          <w:szCs w:val="24"/>
        </w:rPr>
        <w:t xml:space="preserve"> SUAI TRE CHEQUES</w:t>
      </w:r>
      <w:r w:rsidR="00D76B0A" w:rsidRPr="00BB231B">
        <w:rPr>
          <w:rFonts w:ascii="Times New Roman" w:hAnsi="Times New Roman" w:cs="Times New Roman"/>
          <w:color w:val="auto"/>
          <w:sz w:val="24"/>
          <w:szCs w:val="24"/>
        </w:rPr>
        <w:t xml:space="preserve">: 277 Originadores y Revisores designados por el </w:t>
      </w:r>
      <w:r w:rsidR="007C2159" w:rsidRPr="00BB231B">
        <w:rPr>
          <w:rFonts w:ascii="Times New Roman" w:hAnsi="Times New Roman" w:cs="Times New Roman"/>
          <w:color w:val="auto"/>
          <w:sz w:val="24"/>
          <w:szCs w:val="24"/>
        </w:rPr>
        <w:t xml:space="preserve">Servicio Nacional de Salud </w:t>
      </w:r>
      <w:r w:rsidR="00D76B0A" w:rsidRPr="00BB231B">
        <w:rPr>
          <w:rFonts w:ascii="Times New Roman" w:hAnsi="Times New Roman" w:cs="Times New Roman"/>
          <w:color w:val="auto"/>
          <w:sz w:val="24"/>
          <w:szCs w:val="24"/>
        </w:rPr>
        <w:t xml:space="preserve"> y 70 Auditores Internos  y Encargados de la CGR. </w:t>
      </w:r>
    </w:p>
    <w:p w:rsidR="000B6BB1" w:rsidRPr="00BB231B" w:rsidRDefault="000B6BB1" w:rsidP="000B6BB1">
      <w:pPr>
        <w:pStyle w:val="Prrafodelista"/>
        <w:spacing w:before="0" w:after="0"/>
        <w:ind w:left="720" w:right="393" w:firstLine="0"/>
        <w:rPr>
          <w:rFonts w:ascii="Times New Roman" w:hAnsi="Times New Roman" w:cs="Times New Roman"/>
          <w:b/>
          <w:color w:val="auto"/>
          <w:sz w:val="24"/>
          <w:szCs w:val="24"/>
          <w:lang w:val="es-DO"/>
        </w:rPr>
      </w:pPr>
    </w:p>
    <w:p w:rsidR="000C7816" w:rsidRPr="00BB231B" w:rsidRDefault="004C30FC" w:rsidP="00AD2132">
      <w:pPr>
        <w:pStyle w:val="Prrafodelista"/>
        <w:numPr>
          <w:ilvl w:val="0"/>
          <w:numId w:val="28"/>
        </w:numPr>
        <w:spacing w:before="0" w:after="0"/>
        <w:ind w:right="393"/>
        <w:rPr>
          <w:rFonts w:ascii="Times New Roman" w:hAnsi="Times New Roman" w:cs="Times New Roman"/>
          <w:b/>
          <w:color w:val="auto"/>
          <w:sz w:val="24"/>
          <w:szCs w:val="24"/>
          <w:lang w:val="es-DO"/>
        </w:rPr>
      </w:pPr>
      <w:r w:rsidRPr="00BB231B">
        <w:rPr>
          <w:rFonts w:ascii="Times New Roman" w:hAnsi="Times New Roman" w:cs="Times New Roman"/>
          <w:color w:val="auto"/>
          <w:sz w:val="24"/>
          <w:szCs w:val="24"/>
        </w:rPr>
        <w:t xml:space="preserve">Junto al </w:t>
      </w:r>
      <w:r w:rsidR="000B6BB1" w:rsidRPr="00BB231B">
        <w:rPr>
          <w:rFonts w:ascii="Times New Roman" w:hAnsi="Times New Roman" w:cs="Times New Roman"/>
          <w:color w:val="auto"/>
          <w:sz w:val="24"/>
          <w:szCs w:val="24"/>
        </w:rPr>
        <w:t>Servicio Nacional de Salud (</w:t>
      </w:r>
      <w:r w:rsidRPr="00BB231B">
        <w:rPr>
          <w:rFonts w:ascii="Times New Roman" w:hAnsi="Times New Roman" w:cs="Times New Roman"/>
          <w:color w:val="auto"/>
          <w:sz w:val="24"/>
          <w:szCs w:val="24"/>
        </w:rPr>
        <w:t>SNS</w:t>
      </w:r>
      <w:r w:rsidR="000B6BB1"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w:t>
      </w:r>
      <w:r w:rsidRPr="00BB231B">
        <w:rPr>
          <w:rFonts w:ascii="Times New Roman" w:hAnsi="Times New Roman" w:cs="Times New Roman"/>
          <w:b/>
          <w:color w:val="auto"/>
          <w:sz w:val="24"/>
          <w:szCs w:val="24"/>
        </w:rPr>
        <w:t>s</w:t>
      </w:r>
      <w:r w:rsidR="00D76B0A" w:rsidRPr="00BB231B">
        <w:rPr>
          <w:rFonts w:ascii="Times New Roman" w:hAnsi="Times New Roman" w:cs="Times New Roman"/>
          <w:b/>
          <w:color w:val="auto"/>
          <w:sz w:val="24"/>
          <w:szCs w:val="24"/>
        </w:rPr>
        <w:t>e</w:t>
      </w:r>
      <w:r w:rsidR="00835626">
        <w:rPr>
          <w:rFonts w:ascii="Times New Roman" w:hAnsi="Times New Roman" w:cs="Times New Roman"/>
          <w:b/>
          <w:color w:val="auto"/>
          <w:sz w:val="24"/>
          <w:szCs w:val="24"/>
        </w:rPr>
        <w:t xml:space="preserve"> realizó el</w:t>
      </w:r>
      <w:r w:rsidR="00D76B0A" w:rsidRPr="00BB231B">
        <w:rPr>
          <w:rFonts w:ascii="Times New Roman" w:hAnsi="Times New Roman" w:cs="Times New Roman"/>
          <w:b/>
          <w:color w:val="auto"/>
          <w:sz w:val="24"/>
          <w:szCs w:val="24"/>
        </w:rPr>
        <w:t xml:space="preserve"> levantamiento de información sobre la</w:t>
      </w:r>
      <w:r w:rsidR="00835626">
        <w:rPr>
          <w:rFonts w:ascii="Times New Roman" w:hAnsi="Times New Roman" w:cs="Times New Roman"/>
          <w:b/>
          <w:color w:val="auto"/>
          <w:sz w:val="24"/>
          <w:szCs w:val="24"/>
        </w:rPr>
        <w:t xml:space="preserve"> infraestructura tecnológica de </w:t>
      </w:r>
      <w:r w:rsidR="00D76B0A" w:rsidRPr="00BB231B">
        <w:rPr>
          <w:rFonts w:ascii="Times New Roman" w:hAnsi="Times New Roman" w:cs="Times New Roman"/>
          <w:b/>
          <w:color w:val="auto"/>
          <w:sz w:val="24"/>
          <w:szCs w:val="24"/>
        </w:rPr>
        <w:t>140 hospitales</w:t>
      </w:r>
      <w:r w:rsidR="009453D5"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w:t>
      </w:r>
    </w:p>
    <w:p w:rsidR="000B6BB1" w:rsidRPr="00BB231B" w:rsidRDefault="000B6BB1" w:rsidP="000B6BB1">
      <w:pPr>
        <w:pStyle w:val="Prrafodelista"/>
        <w:spacing w:before="0" w:after="0"/>
        <w:ind w:left="720" w:right="393" w:firstLine="0"/>
        <w:rPr>
          <w:rFonts w:ascii="Times New Roman" w:hAnsi="Times New Roman" w:cs="Times New Roman"/>
          <w:color w:val="FF0000"/>
          <w:sz w:val="24"/>
          <w:szCs w:val="24"/>
        </w:rPr>
      </w:pPr>
    </w:p>
    <w:p w:rsidR="003F3CD2" w:rsidRPr="00BB231B" w:rsidRDefault="000C7816" w:rsidP="00AD2132">
      <w:pPr>
        <w:pStyle w:val="Prrafodelista"/>
        <w:numPr>
          <w:ilvl w:val="0"/>
          <w:numId w:val="28"/>
        </w:numPr>
        <w:spacing w:before="0" w:after="0"/>
        <w:ind w:right="393"/>
        <w:rPr>
          <w:rFonts w:ascii="Times New Roman" w:hAnsi="Times New Roman" w:cs="Times New Roman"/>
          <w:color w:val="FF0000"/>
          <w:sz w:val="24"/>
          <w:szCs w:val="24"/>
        </w:rPr>
      </w:pPr>
      <w:r w:rsidRPr="00BB231B">
        <w:rPr>
          <w:rFonts w:ascii="Times New Roman" w:hAnsi="Times New Roman" w:cs="Times New Roman"/>
          <w:color w:val="auto"/>
          <w:sz w:val="24"/>
          <w:szCs w:val="24"/>
        </w:rPr>
        <w:t xml:space="preserve">Como parte </w:t>
      </w:r>
      <w:r w:rsidR="00C56223" w:rsidRPr="00BB231B">
        <w:rPr>
          <w:rFonts w:ascii="Times New Roman" w:hAnsi="Times New Roman" w:cs="Times New Roman"/>
          <w:color w:val="auto"/>
          <w:sz w:val="24"/>
          <w:szCs w:val="24"/>
          <w:lang w:val="es-DO"/>
        </w:rPr>
        <w:t xml:space="preserve">del Fortalecimiento institucional y el logro de los Proyectos asociados a las Metas presidenciales, la </w:t>
      </w:r>
      <w:r w:rsidR="000B6BB1" w:rsidRPr="00BB231B">
        <w:rPr>
          <w:rFonts w:ascii="Times New Roman" w:hAnsi="Times New Roman" w:cs="Times New Roman"/>
          <w:color w:val="auto"/>
          <w:sz w:val="24"/>
          <w:szCs w:val="24"/>
          <w:lang w:val="es-DO"/>
        </w:rPr>
        <w:t>Contraloría General de la República</w:t>
      </w:r>
      <w:r w:rsidR="00C56223" w:rsidRPr="00BB231B">
        <w:rPr>
          <w:rFonts w:ascii="Times New Roman" w:hAnsi="Times New Roman" w:cs="Times New Roman"/>
          <w:color w:val="auto"/>
          <w:sz w:val="24"/>
          <w:szCs w:val="24"/>
          <w:lang w:val="es-DO"/>
        </w:rPr>
        <w:t xml:space="preserve"> </w:t>
      </w:r>
      <w:r w:rsidR="00835626">
        <w:rPr>
          <w:rFonts w:ascii="Times New Roman" w:hAnsi="Times New Roman" w:cs="Times New Roman"/>
          <w:color w:val="auto"/>
          <w:sz w:val="24"/>
          <w:szCs w:val="24"/>
          <w:lang w:val="es-DO"/>
        </w:rPr>
        <w:t>generó</w:t>
      </w:r>
      <w:r w:rsidR="00C56223" w:rsidRPr="00BB231B">
        <w:rPr>
          <w:rFonts w:ascii="Times New Roman" w:hAnsi="Times New Roman" w:cs="Times New Roman"/>
          <w:color w:val="auto"/>
          <w:sz w:val="24"/>
          <w:szCs w:val="24"/>
          <w:lang w:val="es-DO"/>
        </w:rPr>
        <w:t xml:space="preserve"> </w:t>
      </w:r>
      <w:r w:rsidR="00C56223" w:rsidRPr="00BB231B">
        <w:rPr>
          <w:rFonts w:ascii="Times New Roman" w:hAnsi="Times New Roman" w:cs="Times New Roman"/>
          <w:b/>
          <w:color w:val="auto"/>
          <w:sz w:val="24"/>
          <w:szCs w:val="24"/>
          <w:lang w:val="es-DO"/>
        </w:rPr>
        <w:t>38 nuevos empleos.</w:t>
      </w:r>
      <w:r w:rsidRPr="00BB231B">
        <w:rPr>
          <w:rFonts w:ascii="Times New Roman" w:hAnsi="Times New Roman" w:cs="Times New Roman"/>
          <w:b/>
          <w:i/>
          <w:color w:val="FF0000"/>
          <w:sz w:val="24"/>
          <w:szCs w:val="24"/>
        </w:rPr>
        <w:t xml:space="preserve"> </w:t>
      </w:r>
    </w:p>
    <w:p w:rsidR="005D7D94" w:rsidRDefault="005D7D94" w:rsidP="005D7D94">
      <w:pPr>
        <w:pStyle w:val="Prrafodelista"/>
        <w:spacing w:before="0" w:after="0"/>
        <w:ind w:left="720" w:firstLine="0"/>
        <w:rPr>
          <w:rFonts w:ascii="Times New Roman" w:hAnsi="Times New Roman" w:cs="Times New Roman"/>
          <w:color w:val="auto"/>
          <w:sz w:val="24"/>
          <w:szCs w:val="24"/>
        </w:rPr>
      </w:pPr>
    </w:p>
    <w:p w:rsidR="004B1860" w:rsidRPr="00BB231B" w:rsidRDefault="00505440" w:rsidP="00AD2132">
      <w:pPr>
        <w:pStyle w:val="Textoindependiente"/>
        <w:numPr>
          <w:ilvl w:val="0"/>
          <w:numId w:val="37"/>
        </w:numPr>
        <w:jc w:val="both"/>
        <w:rPr>
          <w:rFonts w:eastAsiaTheme="minorEastAsia"/>
          <w:b w:val="0"/>
          <w:bCs w:val="0"/>
          <w:lang w:val="es-ES" w:eastAsia="en-US"/>
        </w:rPr>
      </w:pPr>
      <w:r w:rsidRPr="00BB231B">
        <w:rPr>
          <w:rFonts w:eastAsiaTheme="minorEastAsia"/>
          <w:bCs w:val="0"/>
          <w:lang w:val="es-ES" w:eastAsia="en-US"/>
        </w:rPr>
        <w:t xml:space="preserve">Fueron abiertas </w:t>
      </w:r>
      <w:r w:rsidR="004B1860" w:rsidRPr="00BB231B">
        <w:rPr>
          <w:rFonts w:eastAsiaTheme="minorEastAsia"/>
          <w:bCs w:val="0"/>
          <w:lang w:val="es-ES" w:eastAsia="en-US"/>
        </w:rPr>
        <w:t xml:space="preserve">tres (3) </w:t>
      </w:r>
      <w:r w:rsidR="00835626">
        <w:rPr>
          <w:rFonts w:eastAsiaTheme="minorEastAsia"/>
          <w:bCs w:val="0"/>
          <w:lang w:val="es-ES" w:eastAsia="en-US"/>
        </w:rPr>
        <w:t xml:space="preserve">nuevas </w:t>
      </w:r>
      <w:r w:rsidR="004B1860" w:rsidRPr="00BB231B">
        <w:rPr>
          <w:rFonts w:eastAsiaTheme="minorEastAsia"/>
          <w:bCs w:val="0"/>
          <w:lang w:val="es-ES" w:eastAsia="en-US"/>
        </w:rPr>
        <w:t xml:space="preserve">Unidades de Auditoría </w:t>
      </w:r>
      <w:r w:rsidR="00816651" w:rsidRPr="00BB231B">
        <w:rPr>
          <w:rFonts w:eastAsiaTheme="minorEastAsia"/>
          <w:bCs w:val="0"/>
          <w:lang w:val="es-ES" w:eastAsia="en-US"/>
        </w:rPr>
        <w:t xml:space="preserve">Interna </w:t>
      </w:r>
      <w:r w:rsidR="004B1860" w:rsidRPr="00BB231B">
        <w:rPr>
          <w:rFonts w:eastAsiaTheme="minorEastAsia"/>
          <w:bCs w:val="0"/>
          <w:lang w:val="es-ES" w:eastAsia="en-US"/>
        </w:rPr>
        <w:t>Gubernamental</w:t>
      </w:r>
      <w:r w:rsidR="004B1860" w:rsidRPr="00BB231B">
        <w:rPr>
          <w:rFonts w:eastAsiaTheme="minorEastAsia"/>
          <w:b w:val="0"/>
          <w:bCs w:val="0"/>
          <w:lang w:val="es-ES" w:eastAsia="en-US"/>
        </w:rPr>
        <w:t xml:space="preserve"> para las instituciones</w:t>
      </w:r>
      <w:r w:rsidRPr="00BB231B">
        <w:rPr>
          <w:rFonts w:eastAsiaTheme="minorEastAsia"/>
          <w:b w:val="0"/>
          <w:bCs w:val="0"/>
          <w:lang w:val="es-ES" w:eastAsia="en-US"/>
        </w:rPr>
        <w:t xml:space="preserve"> siguientes</w:t>
      </w:r>
      <w:r w:rsidR="004B1860" w:rsidRPr="00BB231B">
        <w:rPr>
          <w:rFonts w:eastAsiaTheme="minorEastAsia"/>
          <w:b w:val="0"/>
          <w:bCs w:val="0"/>
          <w:lang w:val="es-ES" w:eastAsia="en-US"/>
        </w:rPr>
        <w:t xml:space="preserve">: Hospital Hugo </w:t>
      </w:r>
      <w:r w:rsidR="004B1860" w:rsidRPr="00BB231B">
        <w:rPr>
          <w:rFonts w:eastAsiaTheme="minorEastAsia"/>
          <w:b w:val="0"/>
          <w:bCs w:val="0"/>
          <w:lang w:val="es-ES" w:eastAsia="en-US"/>
        </w:rPr>
        <w:lastRenderedPageBreak/>
        <w:t>Mendoza, Instituto Nacional de Tránsito y Transporte Terrestre-INTRAN, Comisión Nacional de Energía-CNE.</w:t>
      </w:r>
    </w:p>
    <w:p w:rsidR="00734AD0" w:rsidRPr="00BB231B" w:rsidRDefault="003939B1" w:rsidP="00AD2132">
      <w:pPr>
        <w:pStyle w:val="Prrafodelista"/>
        <w:numPr>
          <w:ilvl w:val="0"/>
          <w:numId w:val="37"/>
        </w:numPr>
        <w:spacing w:before="0" w:after="0"/>
        <w:rPr>
          <w:rFonts w:ascii="Times New Roman" w:hAnsi="Times New Roman" w:cs="Times New Roman"/>
          <w:color w:val="FF0000"/>
          <w:sz w:val="24"/>
        </w:rPr>
      </w:pPr>
      <w:r>
        <w:rPr>
          <w:rFonts w:ascii="Times New Roman" w:hAnsi="Times New Roman" w:cs="Times New Roman"/>
          <w:color w:val="auto"/>
          <w:sz w:val="24"/>
        </w:rPr>
        <w:t xml:space="preserve">Fueron </w:t>
      </w:r>
      <w:r w:rsidRPr="00BB231B">
        <w:rPr>
          <w:rFonts w:ascii="Times New Roman" w:hAnsi="Times New Roman" w:cs="Times New Roman"/>
          <w:b/>
          <w:color w:val="auto"/>
          <w:sz w:val="24"/>
        </w:rPr>
        <w:t>auditados</w:t>
      </w:r>
      <w:r w:rsidRPr="00BB231B">
        <w:rPr>
          <w:rFonts w:ascii="Times New Roman" w:hAnsi="Times New Roman" w:cs="Times New Roman"/>
          <w:color w:val="auto"/>
          <w:sz w:val="24"/>
        </w:rPr>
        <w:t xml:space="preserve"> </w:t>
      </w:r>
      <w:r w:rsidRPr="00BB231B">
        <w:rPr>
          <w:rFonts w:ascii="Times New Roman" w:hAnsi="Times New Roman" w:cs="Times New Roman"/>
          <w:b/>
          <w:color w:val="auto"/>
          <w:sz w:val="24"/>
        </w:rPr>
        <w:t>28,047 expedientes</w:t>
      </w:r>
      <w:r w:rsidRPr="00BB231B">
        <w:rPr>
          <w:rFonts w:ascii="Times New Roman" w:hAnsi="Times New Roman" w:cs="Times New Roman"/>
          <w:color w:val="auto"/>
          <w:sz w:val="24"/>
        </w:rPr>
        <w:t xml:space="preserve"> </w:t>
      </w:r>
      <w:r>
        <w:rPr>
          <w:rFonts w:ascii="Times New Roman" w:hAnsi="Times New Roman" w:cs="Times New Roman"/>
          <w:color w:val="auto"/>
          <w:sz w:val="24"/>
        </w:rPr>
        <w:t>en cumplimiento al</w:t>
      </w:r>
      <w:r w:rsidR="00734AD0" w:rsidRPr="00BB231B">
        <w:rPr>
          <w:rFonts w:ascii="Times New Roman" w:hAnsi="Times New Roman" w:cs="Times New Roman"/>
          <w:color w:val="auto"/>
          <w:sz w:val="24"/>
        </w:rPr>
        <w:t xml:space="preserve"> Decreto No.268-16, artículo No.8, instruye a la Contraloría General de la República a </w:t>
      </w:r>
      <w:r w:rsidR="00734AD0" w:rsidRPr="00BB231B">
        <w:rPr>
          <w:rFonts w:ascii="Times New Roman" w:hAnsi="Times New Roman" w:cs="Times New Roman"/>
          <w:b/>
          <w:color w:val="auto"/>
          <w:sz w:val="24"/>
        </w:rPr>
        <w:t>auditar el inventario de los terrenos que estén a nombre de los ingenios azucareros propiedad del Consejo Estatal de Azúcar</w:t>
      </w:r>
      <w:r w:rsidR="00A346B4" w:rsidRPr="00BB231B">
        <w:rPr>
          <w:rFonts w:ascii="Times New Roman" w:hAnsi="Times New Roman" w:cs="Times New Roman"/>
          <w:b/>
          <w:color w:val="auto"/>
          <w:sz w:val="24"/>
        </w:rPr>
        <w:t xml:space="preserve">. </w:t>
      </w:r>
      <w:r w:rsidR="00A346B4" w:rsidRPr="00BB231B">
        <w:rPr>
          <w:rFonts w:ascii="Times New Roman" w:hAnsi="Times New Roman" w:cs="Times New Roman"/>
          <w:color w:val="FF0000"/>
          <w:sz w:val="24"/>
        </w:rPr>
        <w:t xml:space="preserve"> </w:t>
      </w:r>
      <w:r>
        <w:rPr>
          <w:rFonts w:ascii="Times New Roman" w:hAnsi="Times New Roman" w:cs="Times New Roman"/>
          <w:b/>
          <w:color w:val="auto"/>
          <w:sz w:val="24"/>
        </w:rPr>
        <w:t xml:space="preserve"> </w:t>
      </w:r>
    </w:p>
    <w:p w:rsidR="00253A72" w:rsidRPr="00BB231B" w:rsidRDefault="00253A72" w:rsidP="00253A72">
      <w:pPr>
        <w:pStyle w:val="Textoindependiente"/>
        <w:ind w:left="720"/>
        <w:jc w:val="both"/>
        <w:rPr>
          <w:rFonts w:eastAsiaTheme="minorEastAsia"/>
          <w:b w:val="0"/>
          <w:bCs w:val="0"/>
          <w:lang w:val="es-ES" w:eastAsia="en-US"/>
        </w:rPr>
      </w:pPr>
    </w:p>
    <w:p w:rsidR="004B1860" w:rsidRPr="00BB231B" w:rsidRDefault="003939B1" w:rsidP="00AD2132">
      <w:pPr>
        <w:pStyle w:val="Textoindependiente"/>
        <w:numPr>
          <w:ilvl w:val="0"/>
          <w:numId w:val="37"/>
        </w:numPr>
        <w:jc w:val="both"/>
        <w:rPr>
          <w:rFonts w:eastAsiaTheme="minorEastAsia"/>
          <w:b w:val="0"/>
          <w:bCs w:val="0"/>
          <w:lang w:val="es-ES" w:eastAsia="en-US"/>
        </w:rPr>
      </w:pPr>
      <w:r>
        <w:rPr>
          <w:b w:val="0"/>
        </w:rPr>
        <w:t>Fueron elaborados</w:t>
      </w:r>
      <w:r w:rsidR="00531A49" w:rsidRPr="00BB231B">
        <w:rPr>
          <w:b w:val="0"/>
        </w:rPr>
        <w:t xml:space="preserve"> </w:t>
      </w:r>
      <w:r w:rsidR="00531A49" w:rsidRPr="00BB231B">
        <w:t xml:space="preserve">ocho (8) informes </w:t>
      </w:r>
      <w:r w:rsidR="00EC6F9C">
        <w:t xml:space="preserve">que permitieron solicitar </w:t>
      </w:r>
      <w:r w:rsidR="001E26E8" w:rsidRPr="00BB231B">
        <w:rPr>
          <w:b w:val="0"/>
        </w:rPr>
        <w:t>a la Dirección General de Jubilaciones y Pensiones del Estado</w:t>
      </w:r>
      <w:r w:rsidR="001E26E8">
        <w:t xml:space="preserve"> </w:t>
      </w:r>
      <w:r w:rsidR="00EC6F9C">
        <w:t xml:space="preserve">la exclusión </w:t>
      </w:r>
      <w:r w:rsidR="001E26E8">
        <w:t xml:space="preserve">de </w:t>
      </w:r>
      <w:r w:rsidR="00EC6F9C">
        <w:t xml:space="preserve">un </w:t>
      </w:r>
      <w:r w:rsidR="00EC6F9C" w:rsidRPr="00BB231B">
        <w:t>total de 887 pensionados y jubilados fallecidos</w:t>
      </w:r>
      <w:r w:rsidR="001E26E8">
        <w:t xml:space="preserve">, </w:t>
      </w:r>
      <w:r w:rsidR="00531A49" w:rsidRPr="00BB231B">
        <w:t xml:space="preserve">equivalentes </w:t>
      </w:r>
      <w:r w:rsidR="00EC6F9C">
        <w:t>a un monto de RD$6</w:t>
      </w:r>
      <w:proofErr w:type="gramStart"/>
      <w:r w:rsidR="00EC6F9C">
        <w:t>,</w:t>
      </w:r>
      <w:r w:rsidR="00531A49" w:rsidRPr="00BB231B">
        <w:t>180,882.08</w:t>
      </w:r>
      <w:proofErr w:type="gramEnd"/>
      <w:r w:rsidR="001E26E8">
        <w:rPr>
          <w:b w:val="0"/>
        </w:rPr>
        <w:t>.</w:t>
      </w:r>
    </w:p>
    <w:p w:rsidR="00253A72" w:rsidRPr="00BB231B" w:rsidRDefault="00253A72" w:rsidP="00253A72">
      <w:pPr>
        <w:pStyle w:val="Prrafodelista"/>
        <w:shd w:val="clear" w:color="auto" w:fill="FFFFFF"/>
        <w:spacing w:before="0" w:after="0"/>
        <w:ind w:left="720" w:firstLine="0"/>
        <w:rPr>
          <w:rFonts w:ascii="Times New Roman" w:eastAsia="Times New Roman" w:hAnsi="Times New Roman" w:cs="Times New Roman"/>
          <w:color w:val="FF0000"/>
          <w:sz w:val="24"/>
          <w:szCs w:val="24"/>
          <w:lang w:eastAsia="es-DO"/>
        </w:rPr>
      </w:pPr>
    </w:p>
    <w:p w:rsidR="00531A49" w:rsidRPr="00BB231B" w:rsidRDefault="00A346B4" w:rsidP="00AD2132">
      <w:pPr>
        <w:pStyle w:val="Textoindependiente"/>
        <w:numPr>
          <w:ilvl w:val="0"/>
          <w:numId w:val="37"/>
        </w:numPr>
        <w:jc w:val="both"/>
        <w:rPr>
          <w:rFonts w:eastAsiaTheme="minorEastAsia"/>
          <w:b w:val="0"/>
          <w:bCs w:val="0"/>
          <w:lang w:val="es-ES" w:eastAsia="en-US"/>
        </w:rPr>
      </w:pPr>
      <w:r w:rsidRPr="00BB231B">
        <w:rPr>
          <w:b w:val="0"/>
          <w:lang w:val="es-ES"/>
        </w:rPr>
        <w:t>Fueron registrados</w:t>
      </w:r>
      <w:r w:rsidR="00A10757" w:rsidRPr="00BB231B">
        <w:rPr>
          <w:b w:val="0"/>
          <w:color w:val="FF0000"/>
          <w:lang w:val="es-ES"/>
        </w:rPr>
        <w:t xml:space="preserve"> </w:t>
      </w:r>
      <w:r w:rsidR="00C11918" w:rsidRPr="00BB231B">
        <w:rPr>
          <w:b w:val="0"/>
          <w:lang w:val="es-ES"/>
        </w:rPr>
        <w:t xml:space="preserve">un total de </w:t>
      </w:r>
      <w:r w:rsidR="00B534F8">
        <w:rPr>
          <w:lang w:val="es-ES"/>
        </w:rPr>
        <w:t>59,811</w:t>
      </w:r>
      <w:r w:rsidR="00C11918" w:rsidRPr="00BB231B">
        <w:rPr>
          <w:lang w:val="es-ES"/>
        </w:rPr>
        <w:t xml:space="preserve"> (cincuenta y </w:t>
      </w:r>
      <w:r w:rsidR="00B534F8">
        <w:rPr>
          <w:lang w:val="es-ES"/>
        </w:rPr>
        <w:t>nueve</w:t>
      </w:r>
      <w:r w:rsidRPr="00BB231B">
        <w:rPr>
          <w:lang w:val="es-ES"/>
        </w:rPr>
        <w:t xml:space="preserve"> mil </w:t>
      </w:r>
      <w:r w:rsidR="00B534F8">
        <w:rPr>
          <w:lang w:val="es-ES"/>
        </w:rPr>
        <w:t>ochocientos once</w:t>
      </w:r>
      <w:r w:rsidRPr="00BB231B">
        <w:rPr>
          <w:lang w:val="es-ES"/>
        </w:rPr>
        <w:t>) contratos</w:t>
      </w:r>
      <w:r w:rsidR="00C11918" w:rsidRPr="00BB231B">
        <w:rPr>
          <w:lang w:val="es-ES"/>
        </w:rPr>
        <w:t xml:space="preserve"> al 30 de noviembre</w:t>
      </w:r>
      <w:r w:rsidR="000C7816" w:rsidRPr="00BB231B">
        <w:rPr>
          <w:lang w:val="es-ES"/>
        </w:rPr>
        <w:t xml:space="preserve">. </w:t>
      </w:r>
      <w:r w:rsidR="000C7816" w:rsidRPr="00BB231B">
        <w:rPr>
          <w:b w:val="0"/>
          <w:lang w:val="es-ES"/>
        </w:rPr>
        <w:t xml:space="preserve"> </w:t>
      </w:r>
    </w:p>
    <w:p w:rsidR="001E4D0E" w:rsidRPr="00BB231B" w:rsidRDefault="001E4D0E" w:rsidP="001E4D0E">
      <w:pPr>
        <w:pStyle w:val="Prrafodelista"/>
        <w:spacing w:before="0" w:after="0"/>
        <w:ind w:left="720" w:firstLine="0"/>
        <w:rPr>
          <w:rFonts w:ascii="Times New Roman" w:eastAsia="Times New Roman" w:hAnsi="Times New Roman" w:cs="Times New Roman"/>
          <w:color w:val="FF0000"/>
          <w:lang w:eastAsia="es-ES"/>
        </w:rPr>
      </w:pPr>
    </w:p>
    <w:p w:rsidR="00380BEA" w:rsidRPr="00BB231B" w:rsidRDefault="00380BEA" w:rsidP="00380BEA">
      <w:pPr>
        <w:pStyle w:val="Prrafodelista"/>
        <w:numPr>
          <w:ilvl w:val="0"/>
          <w:numId w:val="37"/>
        </w:numPr>
        <w:rPr>
          <w:rFonts w:ascii="Times New Roman" w:eastAsia="Times New Roman" w:hAnsi="Times New Roman" w:cs="Times New Roman"/>
          <w:color w:val="auto"/>
          <w:sz w:val="24"/>
          <w:szCs w:val="24"/>
          <w:lang w:eastAsia="es-ES"/>
        </w:rPr>
      </w:pPr>
      <w:r w:rsidRPr="00BB231B">
        <w:rPr>
          <w:rFonts w:ascii="Times New Roman" w:hAnsi="Times New Roman" w:cs="Times New Roman"/>
          <w:color w:val="auto"/>
          <w:sz w:val="24"/>
          <w:szCs w:val="24"/>
        </w:rPr>
        <w:t xml:space="preserve">Como parte del Control </w:t>
      </w:r>
      <w:r w:rsidR="001E26E8">
        <w:rPr>
          <w:rFonts w:ascii="Times New Roman" w:hAnsi="Times New Roman" w:cs="Times New Roman"/>
          <w:color w:val="auto"/>
          <w:sz w:val="24"/>
          <w:szCs w:val="24"/>
        </w:rPr>
        <w:t xml:space="preserve">Interno </w:t>
      </w:r>
      <w:r w:rsidRPr="00BB231B">
        <w:rPr>
          <w:rFonts w:ascii="Times New Roman" w:hAnsi="Times New Roman" w:cs="Times New Roman"/>
          <w:color w:val="auto"/>
          <w:sz w:val="24"/>
          <w:szCs w:val="24"/>
        </w:rPr>
        <w:t xml:space="preserve">y de velar por los recursos del Estado, la CGR realizó las siguientes  operaciones: </w:t>
      </w:r>
      <w:r w:rsidR="000B1B6B" w:rsidRPr="00BB231B">
        <w:rPr>
          <w:rFonts w:ascii="Times New Roman" w:hAnsi="Times New Roman" w:cs="Times New Roman"/>
          <w:b/>
          <w:color w:val="auto"/>
          <w:sz w:val="24"/>
          <w:szCs w:val="24"/>
        </w:rPr>
        <w:t xml:space="preserve">fueron revisadas y validadas </w:t>
      </w:r>
      <w:r w:rsidRPr="00BB231B">
        <w:rPr>
          <w:rFonts w:ascii="Times New Roman" w:hAnsi="Times New Roman" w:cs="Times New Roman"/>
          <w:b/>
          <w:color w:val="auto"/>
          <w:sz w:val="24"/>
          <w:szCs w:val="24"/>
        </w:rPr>
        <w:t xml:space="preserve">  Trescientos Cincuenta y Nueve Mil Trescientos Dieciocho (359,318) órdenes de pago</w:t>
      </w:r>
      <w:r w:rsidR="000B1B6B" w:rsidRPr="00BB231B">
        <w:rPr>
          <w:rFonts w:ascii="Times New Roman" w:hAnsi="Times New Roman" w:cs="Times New Roman"/>
          <w:color w:val="auto"/>
          <w:sz w:val="24"/>
          <w:szCs w:val="24"/>
        </w:rPr>
        <w:t>, compuesta por</w:t>
      </w:r>
      <w:r w:rsidRPr="00BB231B">
        <w:rPr>
          <w:rFonts w:ascii="Times New Roman" w:hAnsi="Times New Roman" w:cs="Times New Roman"/>
          <w:color w:val="auto"/>
          <w:sz w:val="24"/>
          <w:szCs w:val="24"/>
        </w:rPr>
        <w:t xml:space="preserve">: 102,268 libramientos, </w:t>
      </w:r>
      <w:r w:rsidR="00A65091">
        <w:rPr>
          <w:rFonts w:ascii="Times New Roman" w:hAnsi="Times New Roman" w:cs="Times New Roman"/>
          <w:color w:val="auto"/>
          <w:sz w:val="24"/>
          <w:szCs w:val="24"/>
        </w:rPr>
        <w:t>59,811</w:t>
      </w:r>
      <w:r w:rsidRPr="00BB231B">
        <w:rPr>
          <w:rFonts w:ascii="Times New Roman" w:hAnsi="Times New Roman" w:cs="Times New Roman"/>
          <w:color w:val="auto"/>
          <w:sz w:val="24"/>
          <w:szCs w:val="24"/>
        </w:rPr>
        <w:t xml:space="preserve"> Contratos Procesados, </w:t>
      </w:r>
      <w:r w:rsidR="00585AB6" w:rsidRPr="00BB231B">
        <w:rPr>
          <w:rFonts w:ascii="Times New Roman" w:hAnsi="Times New Roman" w:cs="Times New Roman"/>
          <w:color w:val="auto"/>
          <w:sz w:val="24"/>
          <w:szCs w:val="24"/>
        </w:rPr>
        <w:t xml:space="preserve">124,908 </w:t>
      </w:r>
      <w:r w:rsidRPr="00BB231B">
        <w:rPr>
          <w:rFonts w:ascii="Times New Roman" w:hAnsi="Times New Roman" w:cs="Times New Roman"/>
          <w:color w:val="auto"/>
          <w:sz w:val="24"/>
          <w:szCs w:val="24"/>
        </w:rPr>
        <w:t>Cheques</w:t>
      </w:r>
      <w:r w:rsidR="00585AB6"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w:t>
      </w:r>
      <w:r w:rsidR="00585AB6" w:rsidRPr="00BB231B">
        <w:rPr>
          <w:rFonts w:ascii="Times New Roman" w:hAnsi="Times New Roman" w:cs="Times New Roman"/>
          <w:color w:val="auto"/>
          <w:sz w:val="24"/>
          <w:szCs w:val="24"/>
        </w:rPr>
        <w:t>51,024 Transferencias,</w:t>
      </w:r>
      <w:r w:rsidRPr="00BB231B">
        <w:rPr>
          <w:rFonts w:ascii="Times New Roman" w:hAnsi="Times New Roman" w:cs="Times New Roman"/>
          <w:color w:val="auto"/>
          <w:sz w:val="24"/>
          <w:szCs w:val="24"/>
        </w:rPr>
        <w:t xml:space="preserve"> </w:t>
      </w:r>
      <w:r w:rsidR="00585AB6" w:rsidRPr="00BB231B">
        <w:rPr>
          <w:rFonts w:ascii="Times New Roman" w:hAnsi="Times New Roman" w:cs="Times New Roman"/>
          <w:color w:val="auto"/>
          <w:sz w:val="24"/>
          <w:szCs w:val="24"/>
        </w:rPr>
        <w:t xml:space="preserve"> 2,836 </w:t>
      </w:r>
      <w:r w:rsidRPr="00BB231B">
        <w:rPr>
          <w:rFonts w:ascii="Times New Roman" w:hAnsi="Times New Roman" w:cs="Times New Roman"/>
          <w:color w:val="auto"/>
          <w:sz w:val="24"/>
          <w:szCs w:val="24"/>
        </w:rPr>
        <w:t>Anticipos</w:t>
      </w:r>
      <w:r w:rsidR="00585AB6" w:rsidRPr="00BB231B">
        <w:rPr>
          <w:rFonts w:ascii="Times New Roman" w:hAnsi="Times New Roman" w:cs="Times New Roman"/>
          <w:color w:val="auto"/>
          <w:sz w:val="24"/>
          <w:szCs w:val="24"/>
        </w:rPr>
        <w:t>,  19,346</w:t>
      </w:r>
      <w:r w:rsidRPr="00BB231B">
        <w:rPr>
          <w:rFonts w:ascii="Times New Roman" w:hAnsi="Times New Roman" w:cs="Times New Roman"/>
          <w:color w:val="auto"/>
          <w:sz w:val="24"/>
          <w:szCs w:val="24"/>
        </w:rPr>
        <w:t xml:space="preserve"> Nóminas Procesadas</w:t>
      </w:r>
      <w:r w:rsidR="00585AB6" w:rsidRPr="00BB231B">
        <w:rPr>
          <w:rFonts w:ascii="Times New Roman" w:hAnsi="Times New Roman" w:cs="Times New Roman"/>
          <w:color w:val="auto"/>
          <w:sz w:val="24"/>
          <w:szCs w:val="24"/>
        </w:rPr>
        <w:t xml:space="preserve">. </w:t>
      </w:r>
      <w:r w:rsidRPr="00BB231B">
        <w:rPr>
          <w:rFonts w:ascii="Times New Roman" w:hAnsi="Times New Roman" w:cs="Times New Roman"/>
          <w:color w:val="auto"/>
          <w:sz w:val="24"/>
          <w:szCs w:val="24"/>
        </w:rPr>
        <w:t xml:space="preserve"> </w:t>
      </w:r>
      <w:r w:rsidR="00585AB6" w:rsidRPr="00BB231B">
        <w:rPr>
          <w:rFonts w:ascii="Times New Roman" w:hAnsi="Times New Roman" w:cs="Times New Roman"/>
          <w:color w:val="auto"/>
          <w:sz w:val="24"/>
          <w:szCs w:val="24"/>
        </w:rPr>
        <w:t xml:space="preserve"> </w:t>
      </w:r>
    </w:p>
    <w:p w:rsidR="00DC218D" w:rsidRPr="00BB231B" w:rsidRDefault="00863BB6" w:rsidP="00AD2132">
      <w:pPr>
        <w:pStyle w:val="Textoindependiente"/>
        <w:numPr>
          <w:ilvl w:val="0"/>
          <w:numId w:val="37"/>
        </w:numPr>
        <w:jc w:val="both"/>
        <w:rPr>
          <w:rFonts w:eastAsiaTheme="minorEastAsia"/>
          <w:b w:val="0"/>
          <w:bCs w:val="0"/>
          <w:lang w:val="es-ES" w:eastAsia="en-US"/>
        </w:rPr>
      </w:pPr>
      <w:r w:rsidRPr="00BB231B">
        <w:rPr>
          <w:rFonts w:eastAsiaTheme="minorEastAsia"/>
          <w:bCs w:val="0"/>
          <w:lang w:val="es-ES" w:eastAsia="en-US"/>
        </w:rPr>
        <w:t>Se emitieron 26,656 Certificaciones de Cargo</w:t>
      </w:r>
      <w:r w:rsidR="00C56223" w:rsidRPr="00BB231B">
        <w:rPr>
          <w:rFonts w:eastAsiaTheme="minorEastAsia"/>
          <w:bCs w:val="0"/>
          <w:lang w:val="es-ES" w:eastAsia="en-US"/>
        </w:rPr>
        <w:t>s</w:t>
      </w:r>
      <w:r w:rsidR="00C56223" w:rsidRPr="00BB231B">
        <w:rPr>
          <w:rFonts w:eastAsiaTheme="minorEastAsia"/>
          <w:b w:val="0"/>
          <w:bCs w:val="0"/>
          <w:lang w:val="es-ES" w:eastAsia="en-US"/>
        </w:rPr>
        <w:t xml:space="preserve"> a solicitud de los ciudadanos/ beneficiarios.</w:t>
      </w:r>
    </w:p>
    <w:p w:rsidR="00AD2132" w:rsidRPr="00BB231B" w:rsidRDefault="00AD2132" w:rsidP="00AD2132">
      <w:pPr>
        <w:pStyle w:val="Textoindependiente"/>
        <w:jc w:val="both"/>
        <w:rPr>
          <w:rFonts w:eastAsiaTheme="minorEastAsia"/>
          <w:b w:val="0"/>
          <w:bCs w:val="0"/>
          <w:lang w:val="es-ES" w:eastAsia="en-US"/>
        </w:rPr>
      </w:pPr>
    </w:p>
    <w:p w:rsidR="0061000B" w:rsidRPr="00BB231B" w:rsidRDefault="0061000B" w:rsidP="0061000B">
      <w:pPr>
        <w:pStyle w:val="Prrafodelista"/>
        <w:numPr>
          <w:ilvl w:val="0"/>
          <w:numId w:val="37"/>
        </w:numPr>
        <w:rPr>
          <w:rFonts w:ascii="Times New Roman" w:hAnsi="Times New Roman" w:cs="Times New Roman"/>
          <w:color w:val="auto"/>
          <w:szCs w:val="24"/>
        </w:rPr>
      </w:pPr>
      <w:r w:rsidRPr="00BB231B">
        <w:rPr>
          <w:rFonts w:ascii="Times New Roman" w:hAnsi="Times New Roman" w:cs="Times New Roman"/>
          <w:color w:val="auto"/>
          <w:szCs w:val="24"/>
        </w:rPr>
        <w:t>En materia legal, se emitieron 353 Certificaciones de No Objeción (Permiso otorgado  por la Contraloría General para que los funcionarios o empleados de la Administración Pública y de las Instituciones Autónomas del Estado que manejan fondos del Estado, puedan viajar al exterior, previa autorización del Ministerio Administrativo de la Presidencia), 639 Análisis Actos de Alguacil  y 40 Opiniones Legales  a solicitud Interna y Externa.</w:t>
      </w:r>
    </w:p>
    <w:p w:rsidR="0061000B" w:rsidRPr="00BB231B" w:rsidRDefault="0061000B" w:rsidP="0061000B">
      <w:pPr>
        <w:pStyle w:val="Prrafodelista"/>
        <w:ind w:left="720" w:firstLine="0"/>
        <w:rPr>
          <w:rFonts w:ascii="Times New Roman" w:hAnsi="Times New Roman" w:cs="Times New Roman"/>
          <w:color w:val="auto"/>
          <w:sz w:val="24"/>
          <w:szCs w:val="24"/>
        </w:rPr>
      </w:pPr>
    </w:p>
    <w:p w:rsidR="0061000B" w:rsidRDefault="0061000B" w:rsidP="0061000B">
      <w:pPr>
        <w:pStyle w:val="Prrafodelista"/>
        <w:numPr>
          <w:ilvl w:val="0"/>
          <w:numId w:val="37"/>
        </w:numPr>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En los resultados del Sistema de Monitoreo de la Administración Pública </w:t>
      </w:r>
      <w:r w:rsidRPr="00BB231B">
        <w:rPr>
          <w:rFonts w:ascii="Times New Roman" w:hAnsi="Times New Roman" w:cs="Times New Roman"/>
          <w:b/>
          <w:color w:val="auto"/>
          <w:sz w:val="24"/>
          <w:szCs w:val="24"/>
        </w:rPr>
        <w:t>SISMAP</w:t>
      </w:r>
      <w:r w:rsidR="0014769C">
        <w:rPr>
          <w:rFonts w:ascii="Times New Roman" w:hAnsi="Times New Roman" w:cs="Times New Roman"/>
          <w:b/>
          <w:color w:val="auto"/>
          <w:sz w:val="24"/>
          <w:szCs w:val="24"/>
        </w:rPr>
        <w:t xml:space="preserve">, </w:t>
      </w:r>
      <w:r w:rsidR="0014769C" w:rsidRPr="0014769C">
        <w:rPr>
          <w:rFonts w:ascii="Times New Roman" w:hAnsi="Times New Roman" w:cs="Times New Roman"/>
          <w:color w:val="auto"/>
          <w:sz w:val="24"/>
          <w:szCs w:val="24"/>
        </w:rPr>
        <w:t>l</w:t>
      </w:r>
      <w:r w:rsidRPr="0014769C">
        <w:rPr>
          <w:rFonts w:ascii="Times New Roman" w:hAnsi="Times New Roman" w:cs="Times New Roman"/>
          <w:color w:val="auto"/>
          <w:sz w:val="24"/>
          <w:szCs w:val="24"/>
        </w:rPr>
        <w:t xml:space="preserve">a </w:t>
      </w:r>
      <w:r w:rsidRPr="00BB231B">
        <w:rPr>
          <w:rFonts w:ascii="Times New Roman" w:hAnsi="Times New Roman" w:cs="Times New Roman"/>
          <w:color w:val="auto"/>
          <w:sz w:val="24"/>
          <w:szCs w:val="24"/>
        </w:rPr>
        <w:t xml:space="preserve">institución </w:t>
      </w:r>
      <w:r w:rsidR="0014769C">
        <w:rPr>
          <w:rFonts w:ascii="Times New Roman" w:hAnsi="Times New Roman" w:cs="Times New Roman"/>
          <w:color w:val="auto"/>
          <w:sz w:val="24"/>
          <w:szCs w:val="24"/>
        </w:rPr>
        <w:t>cumplió</w:t>
      </w:r>
      <w:r w:rsidRPr="00BB231B">
        <w:rPr>
          <w:rFonts w:ascii="Times New Roman" w:hAnsi="Times New Roman" w:cs="Times New Roman"/>
          <w:color w:val="auto"/>
          <w:sz w:val="24"/>
          <w:szCs w:val="24"/>
        </w:rPr>
        <w:t xml:space="preserve"> satisfactoriamente con 30 de los 34 indicadores</w:t>
      </w:r>
      <w:r w:rsidR="0014769C">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w:t>
      </w:r>
      <w:r w:rsidR="0014769C">
        <w:rPr>
          <w:rFonts w:ascii="Times New Roman" w:hAnsi="Times New Roman" w:cs="Times New Roman"/>
          <w:color w:val="auto"/>
          <w:sz w:val="24"/>
          <w:szCs w:val="24"/>
        </w:rPr>
        <w:t>logrando un</w:t>
      </w:r>
      <w:r w:rsidR="00481F8C" w:rsidRPr="00BB231B">
        <w:rPr>
          <w:rFonts w:ascii="Times New Roman" w:hAnsi="Times New Roman" w:cs="Times New Roman"/>
          <w:color w:val="auto"/>
          <w:sz w:val="24"/>
          <w:szCs w:val="24"/>
        </w:rPr>
        <w:t xml:space="preserve"> </w:t>
      </w:r>
      <w:r w:rsidR="0014769C">
        <w:rPr>
          <w:rFonts w:ascii="Times New Roman" w:hAnsi="Times New Roman" w:cs="Times New Roman"/>
          <w:b/>
          <w:color w:val="auto"/>
          <w:sz w:val="24"/>
          <w:szCs w:val="24"/>
        </w:rPr>
        <w:t xml:space="preserve">97%. </w:t>
      </w:r>
      <w:r w:rsidR="0014769C" w:rsidRPr="00967000">
        <w:rPr>
          <w:rFonts w:ascii="Times New Roman" w:hAnsi="Times New Roman" w:cs="Times New Roman"/>
          <w:color w:val="auto"/>
          <w:sz w:val="24"/>
          <w:szCs w:val="24"/>
        </w:rPr>
        <w:t>Estos</w:t>
      </w:r>
      <w:r w:rsidR="0014769C">
        <w:rPr>
          <w:rFonts w:ascii="Times New Roman" w:hAnsi="Times New Roman" w:cs="Times New Roman"/>
          <w:b/>
          <w:color w:val="auto"/>
          <w:sz w:val="24"/>
          <w:szCs w:val="24"/>
        </w:rPr>
        <w:t xml:space="preserve"> </w:t>
      </w:r>
      <w:r w:rsidR="00481F8C" w:rsidRPr="00BB231B">
        <w:rPr>
          <w:rFonts w:ascii="Times New Roman" w:hAnsi="Times New Roman" w:cs="Times New Roman"/>
          <w:color w:val="auto"/>
          <w:sz w:val="24"/>
          <w:szCs w:val="24"/>
        </w:rPr>
        <w:t>están asociados con aspectos de</w:t>
      </w:r>
      <w:r w:rsidRPr="00BB231B">
        <w:rPr>
          <w:rFonts w:ascii="Times New Roman" w:hAnsi="Times New Roman" w:cs="Times New Roman"/>
          <w:color w:val="auto"/>
          <w:sz w:val="24"/>
          <w:szCs w:val="24"/>
        </w:rPr>
        <w:t>: Planificación, Gestión del Empleo</w:t>
      </w:r>
      <w:r w:rsidRPr="00BB231B">
        <w:rPr>
          <w:rFonts w:ascii="Times New Roman" w:hAnsi="Times New Roman" w:cs="Times New Roman"/>
          <w:color w:val="7030A0"/>
          <w:sz w:val="24"/>
        </w:rPr>
        <w:t xml:space="preserve"> </w:t>
      </w:r>
      <w:r w:rsidRPr="00BB231B">
        <w:rPr>
          <w:rFonts w:ascii="Times New Roman" w:hAnsi="Times New Roman" w:cs="Times New Roman"/>
          <w:color w:val="auto"/>
          <w:sz w:val="24"/>
          <w:szCs w:val="24"/>
        </w:rPr>
        <w:t>y Rendimiento, Gestión</w:t>
      </w:r>
      <w:r w:rsidRPr="00BB231B">
        <w:rPr>
          <w:rFonts w:ascii="Times New Roman" w:hAnsi="Times New Roman" w:cs="Times New Roman"/>
          <w:color w:val="7030A0"/>
          <w:sz w:val="24"/>
        </w:rPr>
        <w:t xml:space="preserve"> </w:t>
      </w:r>
      <w:r w:rsidRPr="00BB231B">
        <w:rPr>
          <w:rFonts w:ascii="Times New Roman" w:hAnsi="Times New Roman" w:cs="Times New Roman"/>
          <w:color w:val="auto"/>
          <w:sz w:val="24"/>
          <w:szCs w:val="24"/>
        </w:rPr>
        <w:t>de las Relaciones Humanas y Sociales, Organización de las Funciones de RRHH y Gestión de la Calidad.</w:t>
      </w:r>
    </w:p>
    <w:p w:rsidR="00835626" w:rsidRPr="00835626" w:rsidRDefault="00835626" w:rsidP="00835626">
      <w:pPr>
        <w:pStyle w:val="Prrafodelista"/>
        <w:rPr>
          <w:rFonts w:ascii="Times New Roman" w:hAnsi="Times New Roman" w:cs="Times New Roman"/>
          <w:color w:val="auto"/>
          <w:sz w:val="24"/>
          <w:szCs w:val="24"/>
        </w:rPr>
      </w:pPr>
    </w:p>
    <w:p w:rsidR="005E5142" w:rsidRPr="00BB231B" w:rsidRDefault="005E5142" w:rsidP="005E5142">
      <w:pPr>
        <w:pStyle w:val="Prrafodelista"/>
        <w:numPr>
          <w:ilvl w:val="0"/>
          <w:numId w:val="37"/>
        </w:numPr>
        <w:spacing w:before="0" w:after="0"/>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Se han incorporado  </w:t>
      </w:r>
      <w:r w:rsidRPr="00BB231B">
        <w:rPr>
          <w:rFonts w:ascii="Times New Roman" w:hAnsi="Times New Roman" w:cs="Times New Roman"/>
          <w:b/>
          <w:color w:val="auto"/>
          <w:sz w:val="24"/>
          <w:szCs w:val="24"/>
        </w:rPr>
        <w:t xml:space="preserve">56 Hospitales </w:t>
      </w:r>
      <w:r w:rsidRPr="00BB231B">
        <w:rPr>
          <w:rFonts w:ascii="Times New Roman" w:hAnsi="Times New Roman" w:cs="Times New Roman"/>
          <w:color w:val="auto"/>
          <w:sz w:val="24"/>
          <w:szCs w:val="24"/>
        </w:rPr>
        <w:t xml:space="preserve">pertenecientes al Sistema Nacional de Salud, a los procesos y sistemas de Control Interno provistos por la CGR. </w:t>
      </w:r>
      <w:r w:rsidRPr="00BB231B">
        <w:rPr>
          <w:rFonts w:ascii="Times New Roman" w:hAnsi="Times New Roman" w:cs="Times New Roman"/>
          <w:color w:val="FF0000"/>
          <w:sz w:val="24"/>
          <w:szCs w:val="24"/>
        </w:rPr>
        <w:t xml:space="preserve"> </w:t>
      </w:r>
      <w:r w:rsidRPr="00BB231B">
        <w:rPr>
          <w:rFonts w:ascii="Times New Roman" w:eastAsia="MS Mincho" w:hAnsi="Times New Roman" w:cs="Times New Roman"/>
          <w:b/>
          <w:color w:val="FF0000"/>
          <w:sz w:val="24"/>
          <w:szCs w:val="24"/>
        </w:rPr>
        <w:t xml:space="preserve"> </w:t>
      </w:r>
      <w:r w:rsidRPr="00BB231B">
        <w:rPr>
          <w:rFonts w:ascii="Times New Roman" w:hAnsi="Times New Roman" w:cs="Times New Roman"/>
          <w:color w:val="auto"/>
          <w:sz w:val="24"/>
          <w:szCs w:val="24"/>
        </w:rPr>
        <w:t xml:space="preserve">Estas instituciones están tramitando las </w:t>
      </w:r>
      <w:r w:rsidRPr="00967000">
        <w:rPr>
          <w:rFonts w:ascii="Times New Roman" w:hAnsi="Times New Roman" w:cs="Times New Roman"/>
          <w:b/>
          <w:color w:val="auto"/>
          <w:sz w:val="24"/>
          <w:szCs w:val="24"/>
        </w:rPr>
        <w:t>operaciones de Registro de Contratos</w:t>
      </w:r>
      <w:r w:rsidRPr="00BB231B">
        <w:rPr>
          <w:rFonts w:ascii="Times New Roman" w:hAnsi="Times New Roman" w:cs="Times New Roman"/>
          <w:color w:val="auto"/>
          <w:sz w:val="24"/>
          <w:szCs w:val="24"/>
        </w:rPr>
        <w:t xml:space="preserve"> para ser autorizadas por la Contraloría garantizando así  obtener  mayor transparencia y aseguramiento del  cumplimiento de las </w:t>
      </w:r>
      <w:r w:rsidRPr="00BB231B">
        <w:rPr>
          <w:rFonts w:ascii="Times New Roman" w:hAnsi="Times New Roman" w:cs="Times New Roman"/>
          <w:color w:val="auto"/>
          <w:sz w:val="24"/>
          <w:szCs w:val="24"/>
        </w:rPr>
        <w:lastRenderedPageBreak/>
        <w:t xml:space="preserve">normativas vigentes. </w:t>
      </w:r>
      <w:r w:rsidRPr="00BB231B">
        <w:rPr>
          <w:rFonts w:ascii="Times New Roman" w:eastAsia="MS Mincho" w:hAnsi="Times New Roman" w:cs="Times New Roman"/>
          <w:b/>
          <w:color w:val="auto"/>
          <w:sz w:val="24"/>
          <w:szCs w:val="24"/>
        </w:rPr>
        <w:t>Estos 56 se suman a 21  que ya estaban operando con estos procesos de Control, alcanzando un total de 77 instituciones del SNS.</w:t>
      </w:r>
    </w:p>
    <w:p w:rsidR="00437D8D" w:rsidRPr="00BB231B" w:rsidRDefault="00F13247" w:rsidP="008A1D90">
      <w:pPr>
        <w:pStyle w:val="Normal-blanco"/>
        <w:numPr>
          <w:ilvl w:val="0"/>
          <w:numId w:val="23"/>
        </w:numPr>
        <w:spacing w:before="0" w:after="0"/>
        <w:ind w:left="426" w:right="199" w:hanging="284"/>
        <w:outlineLvl w:val="0"/>
        <w:rPr>
          <w:rStyle w:val="nfasissutil"/>
          <w:rFonts w:ascii="Times New Roman" w:hAnsi="Times New Roman" w:cs="Times New Roman"/>
          <w:b/>
          <w:color w:val="000000" w:themeColor="text1"/>
          <w:sz w:val="32"/>
          <w:szCs w:val="32"/>
          <w:lang w:val="es-DO"/>
        </w:rPr>
      </w:pPr>
      <w:bookmarkStart w:id="9" w:name="_Toc500858010"/>
      <w:bookmarkStart w:id="10" w:name="_Toc500858160"/>
      <w:bookmarkStart w:id="11" w:name="_Toc500918586"/>
      <w:bookmarkEnd w:id="3"/>
      <w:r w:rsidRPr="00BB231B">
        <w:rPr>
          <w:rStyle w:val="nfasissutil"/>
          <w:rFonts w:ascii="Times New Roman" w:hAnsi="Times New Roman" w:cs="Times New Roman"/>
          <w:b/>
          <w:color w:val="000000" w:themeColor="text1"/>
          <w:sz w:val="32"/>
          <w:szCs w:val="32"/>
          <w:u w:val="single"/>
          <w:lang w:val="es-DO"/>
        </w:rPr>
        <w:t>INFORMACION INSTITUCIONAL</w:t>
      </w:r>
      <w:bookmarkEnd w:id="9"/>
      <w:bookmarkEnd w:id="10"/>
      <w:bookmarkEnd w:id="11"/>
    </w:p>
    <w:p w:rsidR="00483712" w:rsidRPr="00BB231B" w:rsidRDefault="00483712" w:rsidP="00483712">
      <w:pPr>
        <w:ind w:right="182"/>
        <w:rPr>
          <w:rStyle w:val="nfasissutil"/>
          <w:rFonts w:ascii="Times New Roman" w:hAnsi="Times New Roman" w:cs="Times New Roman"/>
          <w:b/>
          <w:color w:val="000000" w:themeColor="text1"/>
          <w:sz w:val="22"/>
          <w:u w:val="single"/>
          <w:lang w:val="es-DO"/>
        </w:rPr>
      </w:pPr>
    </w:p>
    <w:p w:rsidR="00C35673" w:rsidRPr="00BB231B" w:rsidRDefault="00C35673" w:rsidP="00695E70">
      <w:pPr>
        <w:ind w:right="182"/>
        <w:rPr>
          <w:rFonts w:ascii="Times New Roman" w:hAnsi="Times New Roman" w:cs="Times New Roman"/>
          <w:b/>
          <w:color w:val="auto"/>
          <w:sz w:val="28"/>
          <w:szCs w:val="28"/>
        </w:rPr>
      </w:pPr>
      <w:r w:rsidRPr="00BB231B">
        <w:rPr>
          <w:rFonts w:ascii="Times New Roman" w:hAnsi="Times New Roman" w:cs="Times New Roman"/>
          <w:b/>
          <w:color w:val="auto"/>
          <w:sz w:val="28"/>
          <w:szCs w:val="28"/>
        </w:rPr>
        <w:t>Naturaleza de la Organización.</w:t>
      </w:r>
    </w:p>
    <w:p w:rsidR="00C35673" w:rsidRPr="00BB231B" w:rsidRDefault="00E34A04" w:rsidP="005A047D">
      <w:pPr>
        <w:spacing w:line="480" w:lineRule="auto"/>
        <w:ind w:right="181" w:firstLine="709"/>
        <w:rPr>
          <w:rFonts w:ascii="Times New Roman" w:hAnsi="Times New Roman" w:cs="Times New Roman"/>
          <w:color w:val="auto"/>
          <w:sz w:val="24"/>
        </w:rPr>
      </w:pPr>
      <w:r w:rsidRPr="00BB231B">
        <w:rPr>
          <w:rFonts w:ascii="Times New Roman" w:hAnsi="Times New Roman" w:cs="Times New Roman"/>
          <w:color w:val="auto"/>
          <w:sz w:val="24"/>
        </w:rPr>
        <w:t>De acuerdo con lo dispuesto en el Artículo  247 de la Constitución de la República, “la Contraloría General de la República es el órgano del Poder Ejecutivo rector del control interno, ejerce la fiscalización interna y la evaluación del debido recaudo, manejo, uso e inversión de los recursos públicos y autoriza las órdenes de pago, previa comprobación del cumplimiento de los trámites legales y administrativos, de las instituciones bajo su ámbito, de conformidad con la ley.”, la base legal del Sistema Nacional de Control Interno y de la Contraloría General de la República está representada por  la Ley No. 10-07 que instituye el Sistema Nacional de Control Interno y de la Contraloría General de la República y en el   Decreto  No. 491-07 que aprueba el Reglamento de Aplicación de la Ley No. 10-07.</w:t>
      </w:r>
    </w:p>
    <w:p w:rsidR="00390ACC" w:rsidRPr="00BB231B" w:rsidRDefault="00695E70" w:rsidP="00390ACC">
      <w:pPr>
        <w:spacing w:before="0" w:after="0" w:line="480" w:lineRule="auto"/>
        <w:ind w:right="181"/>
        <w:rPr>
          <w:rFonts w:ascii="Times New Roman" w:hAnsi="Times New Roman" w:cs="Times New Roman"/>
          <w:b/>
          <w:color w:val="auto"/>
          <w:sz w:val="28"/>
          <w:szCs w:val="28"/>
        </w:rPr>
      </w:pPr>
      <w:r w:rsidRPr="00BB231B">
        <w:rPr>
          <w:rFonts w:ascii="Times New Roman" w:hAnsi="Times New Roman" w:cs="Times New Roman"/>
          <w:b/>
          <w:color w:val="auto"/>
          <w:sz w:val="28"/>
          <w:szCs w:val="28"/>
        </w:rPr>
        <w:t>Visión.</w:t>
      </w:r>
    </w:p>
    <w:p w:rsidR="00695E70" w:rsidRPr="00BB231B" w:rsidRDefault="00695E70" w:rsidP="00256145">
      <w:pPr>
        <w:spacing w:before="0" w:after="0" w:line="480" w:lineRule="auto"/>
        <w:ind w:right="181" w:firstLine="709"/>
        <w:rPr>
          <w:rFonts w:ascii="Times New Roman" w:hAnsi="Times New Roman" w:cs="Times New Roman"/>
          <w:color w:val="auto"/>
          <w:sz w:val="24"/>
        </w:rPr>
      </w:pPr>
      <w:r w:rsidRPr="00BB231B">
        <w:rPr>
          <w:rFonts w:ascii="Times New Roman" w:hAnsi="Times New Roman" w:cs="Times New Roman"/>
          <w:color w:val="auto"/>
          <w:sz w:val="24"/>
        </w:rPr>
        <w:t>La Contraloría General de la República será reconocida como una entidad ejemplo de gestión, que contribuye al debido recaudo, manejo, uso e inversión de los recursos públicos.</w:t>
      </w:r>
    </w:p>
    <w:p w:rsidR="00390ACC" w:rsidRPr="00BB231B" w:rsidRDefault="00695E70" w:rsidP="00CE4B2B">
      <w:pPr>
        <w:spacing w:line="480" w:lineRule="auto"/>
        <w:ind w:right="182"/>
        <w:rPr>
          <w:rFonts w:ascii="Times New Roman" w:hAnsi="Times New Roman" w:cs="Times New Roman"/>
          <w:b/>
          <w:color w:val="auto"/>
          <w:sz w:val="28"/>
          <w:szCs w:val="28"/>
        </w:rPr>
      </w:pPr>
      <w:r w:rsidRPr="00BB231B">
        <w:rPr>
          <w:rFonts w:ascii="Times New Roman" w:hAnsi="Times New Roman" w:cs="Times New Roman"/>
          <w:b/>
          <w:color w:val="auto"/>
          <w:sz w:val="28"/>
          <w:szCs w:val="28"/>
        </w:rPr>
        <w:t>Misión.</w:t>
      </w:r>
    </w:p>
    <w:p w:rsidR="00695E70" w:rsidRPr="00BB231B" w:rsidRDefault="00695E70" w:rsidP="00256145">
      <w:pPr>
        <w:spacing w:line="480" w:lineRule="auto"/>
        <w:ind w:right="182" w:firstLine="709"/>
        <w:rPr>
          <w:rFonts w:ascii="Times New Roman" w:hAnsi="Times New Roman" w:cs="Times New Roman"/>
          <w:color w:val="auto"/>
          <w:sz w:val="24"/>
        </w:rPr>
      </w:pPr>
      <w:r w:rsidRPr="00BB231B">
        <w:rPr>
          <w:rFonts w:ascii="Times New Roman" w:hAnsi="Times New Roman" w:cs="Times New Roman"/>
          <w:color w:val="auto"/>
          <w:sz w:val="24"/>
        </w:rPr>
        <w:lastRenderedPageBreak/>
        <w:t>Ejercemos la Rectoría del Sistema Nacional de Control Interno y efectuamos Auditorías Internas, para ayudar a proteger los recursos públic</w:t>
      </w:r>
      <w:r w:rsidR="005D11E8" w:rsidRPr="00BB231B">
        <w:rPr>
          <w:rFonts w:ascii="Times New Roman" w:hAnsi="Times New Roman" w:cs="Times New Roman"/>
          <w:color w:val="auto"/>
          <w:sz w:val="24"/>
        </w:rPr>
        <w:t>os y mejorar su desempeño en</w:t>
      </w:r>
      <w:r w:rsidRPr="00BB231B">
        <w:rPr>
          <w:rFonts w:ascii="Times New Roman" w:hAnsi="Times New Roman" w:cs="Times New Roman"/>
          <w:color w:val="auto"/>
          <w:sz w:val="24"/>
        </w:rPr>
        <w:t xml:space="preserve"> beneficio de los ciudadanos.</w:t>
      </w:r>
    </w:p>
    <w:p w:rsidR="00695E70" w:rsidRPr="00BB231B" w:rsidRDefault="00695E70" w:rsidP="00CA7CF6">
      <w:pPr>
        <w:spacing w:before="0" w:after="0" w:line="480" w:lineRule="auto"/>
        <w:ind w:right="181"/>
        <w:rPr>
          <w:rFonts w:ascii="Times New Roman" w:hAnsi="Times New Roman" w:cs="Times New Roman"/>
          <w:b/>
          <w:color w:val="auto"/>
          <w:sz w:val="28"/>
          <w:szCs w:val="28"/>
        </w:rPr>
      </w:pPr>
      <w:r w:rsidRPr="00BB231B">
        <w:rPr>
          <w:rFonts w:ascii="Times New Roman" w:hAnsi="Times New Roman" w:cs="Times New Roman"/>
          <w:b/>
          <w:color w:val="auto"/>
          <w:sz w:val="28"/>
          <w:szCs w:val="28"/>
        </w:rPr>
        <w:t>Valores.</w:t>
      </w:r>
    </w:p>
    <w:p w:rsidR="00695E70" w:rsidRPr="00BB231B" w:rsidRDefault="00695E70" w:rsidP="005A047D">
      <w:pPr>
        <w:spacing w:line="480" w:lineRule="auto"/>
        <w:ind w:right="181" w:firstLine="709"/>
        <w:rPr>
          <w:rFonts w:ascii="Times New Roman" w:hAnsi="Times New Roman" w:cs="Times New Roman"/>
          <w:b/>
          <w:color w:val="auto"/>
          <w:sz w:val="28"/>
          <w:szCs w:val="28"/>
        </w:rPr>
      </w:pPr>
      <w:r w:rsidRPr="00BB231B">
        <w:rPr>
          <w:rFonts w:ascii="Times New Roman" w:hAnsi="Times New Roman" w:cs="Times New Roman"/>
          <w:color w:val="auto"/>
          <w:sz w:val="24"/>
        </w:rPr>
        <w:t xml:space="preserve">Los siguientes valores constituyen los pilares más importantes de nuestra organización, y están presentes en todas nuestras actuaciones.    </w:t>
      </w:r>
    </w:p>
    <w:p w:rsidR="00695E70" w:rsidRPr="00BB231B" w:rsidRDefault="00695E70" w:rsidP="0013776D">
      <w:pPr>
        <w:pStyle w:val="Normal-blanco"/>
        <w:numPr>
          <w:ilvl w:val="0"/>
          <w:numId w:val="32"/>
        </w:numPr>
        <w:spacing w:before="0" w:after="0" w:line="480" w:lineRule="auto"/>
        <w:ind w:right="199"/>
        <w:rPr>
          <w:rFonts w:ascii="Times New Roman" w:hAnsi="Times New Roman" w:cs="Times New Roman"/>
          <w:color w:val="auto"/>
          <w:sz w:val="24"/>
        </w:rPr>
      </w:pPr>
      <w:r w:rsidRPr="00BB231B">
        <w:rPr>
          <w:rFonts w:ascii="Times New Roman" w:hAnsi="Times New Roman" w:cs="Times New Roman"/>
          <w:b/>
          <w:color w:val="auto"/>
          <w:sz w:val="24"/>
        </w:rPr>
        <w:t>Confiabilidad.</w:t>
      </w:r>
      <w:r w:rsidRPr="00BB231B">
        <w:rPr>
          <w:rFonts w:ascii="Times New Roman" w:hAnsi="Times New Roman" w:cs="Times New Roman"/>
          <w:color w:val="auto"/>
          <w:sz w:val="24"/>
        </w:rPr>
        <w:t xml:space="preserve"> Nuestra gestión se basa en altos estándares profesionales dirigidos al desempeño técnico de nuestras funciones con eficiencia, certeza, pertinencia, oportunidad, y efectividad, asegurando razonablemente la validez de los resultados que producimos.</w:t>
      </w:r>
      <w:r w:rsidRPr="00BB231B">
        <w:rPr>
          <w:rFonts w:ascii="Times New Roman" w:hAnsi="Times New Roman" w:cs="Times New Roman"/>
          <w:color w:val="auto"/>
          <w:sz w:val="24"/>
        </w:rPr>
        <w:tab/>
      </w:r>
    </w:p>
    <w:p w:rsidR="00695E70" w:rsidRPr="00BB231B" w:rsidRDefault="00695E70" w:rsidP="0013776D">
      <w:pPr>
        <w:pStyle w:val="Normal-blanco"/>
        <w:numPr>
          <w:ilvl w:val="0"/>
          <w:numId w:val="32"/>
        </w:numPr>
        <w:spacing w:before="0" w:after="0" w:line="480" w:lineRule="auto"/>
        <w:ind w:right="199"/>
        <w:rPr>
          <w:rFonts w:ascii="Times New Roman" w:hAnsi="Times New Roman" w:cs="Times New Roman"/>
          <w:color w:val="auto"/>
          <w:sz w:val="24"/>
        </w:rPr>
      </w:pPr>
      <w:r w:rsidRPr="00BB231B">
        <w:rPr>
          <w:rFonts w:ascii="Times New Roman" w:hAnsi="Times New Roman" w:cs="Times New Roman"/>
          <w:b/>
          <w:color w:val="auto"/>
          <w:sz w:val="24"/>
        </w:rPr>
        <w:t xml:space="preserve">Legalidad. </w:t>
      </w:r>
      <w:r w:rsidRPr="00BB231B">
        <w:rPr>
          <w:rFonts w:ascii="Times New Roman" w:hAnsi="Times New Roman" w:cs="Times New Roman"/>
          <w:color w:val="auto"/>
          <w:sz w:val="24"/>
        </w:rPr>
        <w:t>Cumplimos y vigilamos que se cumpla la Constitución y las disposiciones legales, reglamentarias y administrativas aplicables.</w:t>
      </w:r>
    </w:p>
    <w:p w:rsidR="00695E70" w:rsidRPr="00BB231B" w:rsidRDefault="00695E70" w:rsidP="0013776D">
      <w:pPr>
        <w:pStyle w:val="Normal-blanco"/>
        <w:numPr>
          <w:ilvl w:val="0"/>
          <w:numId w:val="32"/>
        </w:numPr>
        <w:spacing w:before="0" w:after="0" w:line="480" w:lineRule="auto"/>
        <w:ind w:right="199"/>
        <w:rPr>
          <w:rFonts w:ascii="Times New Roman" w:hAnsi="Times New Roman" w:cs="Times New Roman"/>
          <w:color w:val="auto"/>
          <w:sz w:val="24"/>
        </w:rPr>
      </w:pPr>
      <w:r w:rsidRPr="00BB231B">
        <w:rPr>
          <w:rFonts w:ascii="Times New Roman" w:hAnsi="Times New Roman" w:cs="Times New Roman"/>
          <w:b/>
          <w:color w:val="auto"/>
          <w:sz w:val="24"/>
        </w:rPr>
        <w:t xml:space="preserve">Probidad. </w:t>
      </w:r>
      <w:r w:rsidRPr="00BB231B">
        <w:rPr>
          <w:rFonts w:ascii="Times New Roman" w:hAnsi="Times New Roman" w:cs="Times New Roman"/>
          <w:color w:val="auto"/>
          <w:sz w:val="24"/>
        </w:rPr>
        <w:t>Actuamos de manera íntegra vigilantes del cumplimiento de nuestra ética profesional, anteponiendo los fines e intereses de la institución y de la comunidad sobre todo lo demás.</w:t>
      </w:r>
    </w:p>
    <w:p w:rsidR="00695E70" w:rsidRPr="00BB231B" w:rsidRDefault="00695E70" w:rsidP="0013776D">
      <w:pPr>
        <w:pStyle w:val="Normal-blanco"/>
        <w:numPr>
          <w:ilvl w:val="0"/>
          <w:numId w:val="32"/>
        </w:numPr>
        <w:spacing w:before="0" w:after="0" w:line="480" w:lineRule="auto"/>
        <w:ind w:right="199"/>
        <w:rPr>
          <w:rFonts w:ascii="Times New Roman" w:hAnsi="Times New Roman" w:cs="Times New Roman"/>
          <w:color w:val="auto"/>
          <w:sz w:val="24"/>
        </w:rPr>
      </w:pPr>
      <w:r w:rsidRPr="00BB231B">
        <w:rPr>
          <w:rFonts w:ascii="Times New Roman" w:hAnsi="Times New Roman" w:cs="Times New Roman"/>
          <w:b/>
          <w:color w:val="auto"/>
          <w:sz w:val="24"/>
        </w:rPr>
        <w:t xml:space="preserve">Transparencia. </w:t>
      </w:r>
      <w:r w:rsidRPr="00BB231B">
        <w:rPr>
          <w:rFonts w:ascii="Times New Roman" w:hAnsi="Times New Roman" w:cs="Times New Roman"/>
          <w:color w:val="auto"/>
          <w:sz w:val="24"/>
        </w:rPr>
        <w:t>Facilitamos el acceso a la información sobre los procesos y alcance de nuestra labor garantizando razonablemente el conocimiento de los resultados obtenidos en el recaudo, manejo e inversión de los recursos públicos.</w:t>
      </w:r>
    </w:p>
    <w:p w:rsidR="00695E70" w:rsidRPr="00BB231B" w:rsidRDefault="00695E70" w:rsidP="00CE4B2B">
      <w:pPr>
        <w:pStyle w:val="Normal-blanco"/>
        <w:spacing w:before="0" w:after="0" w:line="480" w:lineRule="auto"/>
        <w:ind w:right="199"/>
        <w:rPr>
          <w:rFonts w:ascii="Times New Roman" w:hAnsi="Times New Roman" w:cs="Times New Roman"/>
          <w:color w:val="auto"/>
          <w:sz w:val="24"/>
        </w:rPr>
      </w:pPr>
      <w:r w:rsidRPr="00BB231B">
        <w:rPr>
          <w:rFonts w:ascii="Times New Roman" w:hAnsi="Times New Roman" w:cs="Times New Roman"/>
          <w:b/>
          <w:color w:val="auto"/>
          <w:sz w:val="28"/>
          <w:szCs w:val="28"/>
        </w:rPr>
        <w:t>Base legal.</w:t>
      </w:r>
    </w:p>
    <w:p w:rsidR="00695E70" w:rsidRPr="00BB231B" w:rsidRDefault="00695E70" w:rsidP="00F9173F">
      <w:pPr>
        <w:spacing w:before="0" w:after="0"/>
        <w:ind w:right="182"/>
        <w:rPr>
          <w:rFonts w:ascii="Times New Roman" w:hAnsi="Times New Roman" w:cs="Times New Roman"/>
          <w:b/>
          <w:color w:val="auto"/>
          <w:sz w:val="24"/>
        </w:rPr>
      </w:pPr>
      <w:r w:rsidRPr="00BB231B">
        <w:rPr>
          <w:rFonts w:ascii="Times New Roman" w:hAnsi="Times New Roman" w:cs="Times New Roman"/>
          <w:b/>
          <w:color w:val="auto"/>
          <w:sz w:val="24"/>
        </w:rPr>
        <w:t>Leyes</w:t>
      </w:r>
      <w:r w:rsidRPr="00BB231B">
        <w:rPr>
          <w:rFonts w:ascii="Times New Roman" w:hAnsi="Times New Roman" w:cs="Times New Roman"/>
          <w:b/>
          <w:color w:val="auto"/>
          <w:sz w:val="24"/>
        </w:rPr>
        <w:tab/>
      </w:r>
    </w:p>
    <w:p w:rsidR="00695E70" w:rsidRPr="00BB231B" w:rsidRDefault="00775314" w:rsidP="00CA7CF6">
      <w:pPr>
        <w:pStyle w:val="Prrafodelista"/>
        <w:numPr>
          <w:ilvl w:val="0"/>
          <w:numId w:val="33"/>
        </w:numPr>
        <w:spacing w:after="0" w:line="480" w:lineRule="auto"/>
        <w:ind w:right="182"/>
        <w:rPr>
          <w:rFonts w:ascii="Times New Roman" w:hAnsi="Times New Roman" w:cs="Times New Roman"/>
          <w:color w:val="auto"/>
        </w:rPr>
      </w:pPr>
      <w:r w:rsidRPr="00BB231B">
        <w:rPr>
          <w:rFonts w:ascii="Times New Roman" w:hAnsi="Times New Roman" w:cs="Times New Roman"/>
          <w:color w:val="auto"/>
        </w:rPr>
        <w:lastRenderedPageBreak/>
        <w:t xml:space="preserve">Constitución Política de la República Dominicana, promulgada el 26 de enero del 2010.   </w:t>
      </w:r>
    </w:p>
    <w:p w:rsidR="005E4006" w:rsidRPr="00BB231B" w:rsidRDefault="005E4006" w:rsidP="005E4006">
      <w:pPr>
        <w:pStyle w:val="Prrafodelista"/>
        <w:spacing w:after="0"/>
        <w:ind w:left="720" w:right="182" w:firstLine="0"/>
        <w:rPr>
          <w:rFonts w:ascii="Times New Roman" w:hAnsi="Times New Roman" w:cs="Times New Roman"/>
          <w:b/>
          <w:color w:val="auto"/>
        </w:rPr>
      </w:pPr>
    </w:p>
    <w:p w:rsidR="00695E70" w:rsidRPr="00BB231B" w:rsidRDefault="00695E70" w:rsidP="0013776D">
      <w:pPr>
        <w:pStyle w:val="Prrafodelista"/>
        <w:numPr>
          <w:ilvl w:val="0"/>
          <w:numId w:val="33"/>
        </w:numPr>
        <w:spacing w:after="0" w:line="480" w:lineRule="auto"/>
        <w:ind w:right="182"/>
        <w:rPr>
          <w:rFonts w:ascii="Times New Roman" w:hAnsi="Times New Roman" w:cs="Times New Roman"/>
          <w:b/>
          <w:color w:val="auto"/>
        </w:rPr>
      </w:pPr>
      <w:r w:rsidRPr="00BB231B">
        <w:rPr>
          <w:rFonts w:ascii="Times New Roman" w:hAnsi="Times New Roman" w:cs="Times New Roman"/>
          <w:color w:val="auto"/>
        </w:rPr>
        <w:t>Ley 10 – 07</w:t>
      </w:r>
      <w:r w:rsidR="00CA7CF6" w:rsidRPr="00BB231B">
        <w:rPr>
          <w:rFonts w:ascii="Times New Roman" w:hAnsi="Times New Roman" w:cs="Times New Roman"/>
          <w:color w:val="auto"/>
        </w:rPr>
        <w:t>, del 4 de enero del 2007,</w:t>
      </w:r>
      <w:r w:rsidRPr="00BB231B">
        <w:rPr>
          <w:rFonts w:ascii="Times New Roman" w:hAnsi="Times New Roman" w:cs="Times New Roman"/>
          <w:color w:val="auto"/>
        </w:rPr>
        <w:t xml:space="preserve"> </w:t>
      </w:r>
      <w:r w:rsidR="00CA7CF6" w:rsidRPr="00BB231B">
        <w:rPr>
          <w:rFonts w:ascii="Times New Roman" w:hAnsi="Times New Roman" w:cs="Times New Roman"/>
          <w:color w:val="auto"/>
        </w:rPr>
        <w:t>q</w:t>
      </w:r>
      <w:r w:rsidRPr="00BB231B">
        <w:rPr>
          <w:rFonts w:ascii="Times New Roman" w:hAnsi="Times New Roman" w:cs="Times New Roman"/>
          <w:color w:val="auto"/>
        </w:rPr>
        <w:t>ue Instituye el Sistema Nacional de Control Interno, y de la Cont</w:t>
      </w:r>
      <w:r w:rsidR="00CA7CF6" w:rsidRPr="00BB231B">
        <w:rPr>
          <w:rFonts w:ascii="Times New Roman" w:hAnsi="Times New Roman" w:cs="Times New Roman"/>
          <w:color w:val="auto"/>
        </w:rPr>
        <w:t>raloría General de la República.</w:t>
      </w:r>
    </w:p>
    <w:p w:rsidR="00695E70" w:rsidRPr="00BB231B" w:rsidRDefault="00695E70" w:rsidP="00F9173F">
      <w:pPr>
        <w:spacing w:after="0"/>
        <w:ind w:right="182"/>
        <w:rPr>
          <w:rFonts w:ascii="Times New Roman" w:hAnsi="Times New Roman" w:cs="Times New Roman"/>
          <w:b/>
          <w:color w:val="auto"/>
        </w:rPr>
      </w:pPr>
      <w:r w:rsidRPr="00BB231B">
        <w:rPr>
          <w:rFonts w:ascii="Times New Roman" w:hAnsi="Times New Roman" w:cs="Times New Roman"/>
          <w:b/>
          <w:color w:val="auto"/>
          <w:sz w:val="24"/>
        </w:rPr>
        <w:t>Decretos</w:t>
      </w:r>
      <w:r w:rsidRPr="00BB231B">
        <w:rPr>
          <w:rFonts w:ascii="Times New Roman" w:hAnsi="Times New Roman" w:cs="Times New Roman"/>
          <w:b/>
          <w:color w:val="auto"/>
        </w:rPr>
        <w:tab/>
      </w:r>
      <w:r w:rsidRPr="00BB231B">
        <w:rPr>
          <w:rFonts w:ascii="Times New Roman" w:hAnsi="Times New Roman" w:cs="Times New Roman"/>
          <w:b/>
          <w:color w:val="auto"/>
        </w:rPr>
        <w:tab/>
      </w:r>
    </w:p>
    <w:p w:rsidR="006A2271" w:rsidRPr="00BB231B" w:rsidRDefault="00695E70" w:rsidP="00AD3F34">
      <w:pPr>
        <w:pStyle w:val="Prrafodelista"/>
        <w:numPr>
          <w:ilvl w:val="0"/>
          <w:numId w:val="31"/>
        </w:numPr>
        <w:spacing w:after="0" w:line="480" w:lineRule="auto"/>
        <w:ind w:right="182" w:firstLine="0"/>
        <w:rPr>
          <w:rFonts w:ascii="Times New Roman" w:hAnsi="Times New Roman" w:cs="Times New Roman"/>
          <w:color w:val="auto"/>
        </w:rPr>
      </w:pPr>
      <w:r w:rsidRPr="00BB231B">
        <w:rPr>
          <w:rFonts w:ascii="Times New Roman" w:hAnsi="Times New Roman" w:cs="Times New Roman"/>
          <w:color w:val="auto"/>
        </w:rPr>
        <w:t xml:space="preserve">Decreto </w:t>
      </w:r>
      <w:r w:rsidR="00A10915" w:rsidRPr="00BB231B">
        <w:rPr>
          <w:rFonts w:ascii="Times New Roman" w:hAnsi="Times New Roman" w:cs="Times New Roman"/>
          <w:color w:val="auto"/>
        </w:rPr>
        <w:t xml:space="preserve">491-07, </w:t>
      </w:r>
      <w:r w:rsidR="00B052EB" w:rsidRPr="00BB231B">
        <w:rPr>
          <w:rFonts w:ascii="Times New Roman" w:hAnsi="Times New Roman" w:cs="Times New Roman"/>
          <w:color w:val="auto"/>
        </w:rPr>
        <w:t xml:space="preserve">del 30 de agosto del 2007, </w:t>
      </w:r>
      <w:r w:rsidR="00A10915" w:rsidRPr="00BB231B">
        <w:rPr>
          <w:rFonts w:ascii="Times New Roman" w:hAnsi="Times New Roman" w:cs="Times New Roman"/>
          <w:color w:val="auto"/>
        </w:rPr>
        <w:t>de Aplicación Ley 10-07.</w:t>
      </w:r>
    </w:p>
    <w:p w:rsidR="00695E70" w:rsidRPr="00BB231B" w:rsidRDefault="00695E70" w:rsidP="00024C6F">
      <w:pPr>
        <w:pStyle w:val="Normal-blanco"/>
        <w:spacing w:before="0" w:after="0" w:line="480" w:lineRule="auto"/>
        <w:ind w:right="199"/>
        <w:outlineLvl w:val="1"/>
        <w:rPr>
          <w:rStyle w:val="nfasissutil"/>
          <w:rFonts w:ascii="Times New Roman" w:hAnsi="Times New Roman" w:cs="Times New Roman"/>
          <w:b/>
          <w:color w:val="000000" w:themeColor="text1"/>
          <w:sz w:val="28"/>
          <w:u w:val="single"/>
          <w:lang w:val="es-DO"/>
        </w:rPr>
      </w:pPr>
      <w:bookmarkStart w:id="12" w:name="_Toc488412820"/>
      <w:bookmarkStart w:id="13" w:name="_Toc500858011"/>
      <w:bookmarkStart w:id="14" w:name="_Toc500858161"/>
      <w:bookmarkStart w:id="15" w:name="_Toc500858675"/>
      <w:bookmarkStart w:id="16" w:name="_Toc500918587"/>
      <w:r w:rsidRPr="00BB231B">
        <w:rPr>
          <w:rStyle w:val="nfasissutil"/>
          <w:rFonts w:ascii="Times New Roman" w:hAnsi="Times New Roman" w:cs="Times New Roman"/>
          <w:b/>
          <w:color w:val="000000" w:themeColor="text1"/>
          <w:sz w:val="28"/>
          <w:u w:val="single"/>
          <w:lang w:val="es-DO"/>
        </w:rPr>
        <w:t>Perfil de la organización</w:t>
      </w:r>
      <w:bookmarkEnd w:id="12"/>
      <w:bookmarkEnd w:id="13"/>
      <w:bookmarkEnd w:id="14"/>
      <w:bookmarkEnd w:id="15"/>
      <w:bookmarkEnd w:id="16"/>
    </w:p>
    <w:p w:rsidR="00695E70" w:rsidRPr="00BB231B" w:rsidRDefault="00695E70" w:rsidP="00256145">
      <w:pPr>
        <w:pStyle w:val="Normal-blanco"/>
        <w:spacing w:before="0" w:after="0" w:line="480" w:lineRule="auto"/>
        <w:ind w:right="199" w:firstLine="70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Las atribuciones y facultades de la Contraloría General de la República están establecidas en la Ley 10 – 07 que Instituye el Sistema Nacional de Control Interno, en su artículo No.5 dice que “</w:t>
      </w:r>
      <w:r w:rsidRPr="00BB231B">
        <w:rPr>
          <w:rStyle w:val="nfasissutil"/>
          <w:rFonts w:ascii="Times New Roman" w:hAnsi="Times New Roman" w:cs="Times New Roman"/>
          <w:i/>
          <w:color w:val="000000" w:themeColor="text1"/>
          <w:sz w:val="24"/>
          <w:lang w:val="es-DO"/>
        </w:rPr>
        <w:t>La Contraloría General de la República es el órgano rector del Sistema Nacional de Control Interno contemplado en esta ley y a esos fines, las disposiciones, normas, políticas, y directrices que ella dicte dentro del ámbito de su competencia, son de acatamiento obligatorio y prevalecerán sobre cualesquiera otras disposiciones de las entidades y organismos bajo el ámbito de esta ley que se le opongan</w:t>
      </w:r>
      <w:r w:rsidRPr="00BB231B">
        <w:rPr>
          <w:rStyle w:val="nfasissutil"/>
          <w:rFonts w:ascii="Times New Roman" w:hAnsi="Times New Roman" w:cs="Times New Roman"/>
          <w:color w:val="000000" w:themeColor="text1"/>
          <w:sz w:val="24"/>
          <w:lang w:val="es-DO"/>
        </w:rPr>
        <w:t>”.</w:t>
      </w:r>
    </w:p>
    <w:p w:rsidR="00695E70" w:rsidRPr="00BB231B" w:rsidRDefault="00695E70" w:rsidP="005A047D">
      <w:pPr>
        <w:pStyle w:val="Normal-blanco"/>
        <w:spacing w:before="0" w:after="0" w:line="480" w:lineRule="auto"/>
        <w:ind w:right="199" w:firstLine="70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La Contraloría General de la República, además de ejercer la dirección del órgano rector del control interno, tiene las siguientes atribuciones:</w:t>
      </w:r>
    </w:p>
    <w:p w:rsidR="00695E70" w:rsidRPr="00BB231B" w:rsidRDefault="00695E70" w:rsidP="0013776D">
      <w:pPr>
        <w:pStyle w:val="Normal-blanco"/>
        <w:numPr>
          <w:ilvl w:val="0"/>
          <w:numId w:val="25"/>
        </w:numPr>
        <w:spacing w:before="0" w:line="480" w:lineRule="auto"/>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Proponer de forma permanente, ante las autoridades de las entidades y organismos del sector público, la importancia y utilidad del control interno;</w:t>
      </w:r>
    </w:p>
    <w:p w:rsidR="00695E70" w:rsidRPr="00BB231B" w:rsidRDefault="00695E70" w:rsidP="0013776D">
      <w:pPr>
        <w:pStyle w:val="Normal-blanco"/>
        <w:numPr>
          <w:ilvl w:val="0"/>
          <w:numId w:val="25"/>
        </w:numPr>
        <w:spacing w:before="0" w:line="480" w:lineRule="auto"/>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 xml:space="preserve">Inspeccionar y evaluar de acuerdo con normas de auditoría interna gubernamental, y en función de los programas, objetivos, metas y </w:t>
      </w:r>
      <w:r w:rsidRPr="00BB231B">
        <w:rPr>
          <w:rStyle w:val="nfasissutil"/>
          <w:rFonts w:ascii="Times New Roman" w:hAnsi="Times New Roman" w:cs="Times New Roman"/>
          <w:color w:val="000000" w:themeColor="text1"/>
          <w:sz w:val="24"/>
          <w:lang w:val="es-DO"/>
        </w:rPr>
        <w:lastRenderedPageBreak/>
        <w:t xml:space="preserve">resultados previstos en el presupuesto,  de las instituciones bajo el ámbito de la Ley 10-07, los siguientes aspectos: efectividad del control interno; la efectividad y calidad de los procedimientos de captación, revisión, verificación y registro de los ingresos tributarios y no tributarios; la confiabilidad de los estados anuales presupuestarios y financieros, con fines de la toma de decisiones de gerencia pública y de su utilización en el proceso de transparencia de la gestión; </w:t>
      </w:r>
      <w:proofErr w:type="spellStart"/>
      <w:r w:rsidRPr="00BB231B">
        <w:rPr>
          <w:rStyle w:val="nfasissutil"/>
          <w:rFonts w:ascii="Times New Roman" w:hAnsi="Times New Roman" w:cs="Times New Roman"/>
          <w:color w:val="000000" w:themeColor="text1"/>
          <w:sz w:val="24"/>
          <w:lang w:val="es-DO"/>
        </w:rPr>
        <w:t>revisi</w:t>
      </w:r>
      <w:r w:rsidRPr="00BB231B">
        <w:rPr>
          <w:rStyle w:val="nfasissutil"/>
          <w:rFonts w:ascii="Times New Roman" w:hAnsi="Times New Roman" w:cs="Times New Roman"/>
          <w:color w:val="000000" w:themeColor="text1"/>
          <w:sz w:val="24"/>
        </w:rPr>
        <w:t>ón</w:t>
      </w:r>
      <w:proofErr w:type="spellEnd"/>
      <w:r w:rsidRPr="00BB231B">
        <w:rPr>
          <w:rStyle w:val="nfasissutil"/>
          <w:rFonts w:ascii="Times New Roman" w:hAnsi="Times New Roman" w:cs="Times New Roman"/>
          <w:color w:val="000000" w:themeColor="text1"/>
          <w:sz w:val="24"/>
        </w:rPr>
        <w:t xml:space="preserve"> previa</w:t>
      </w:r>
      <w:r w:rsidRPr="00BB231B">
        <w:rPr>
          <w:rFonts w:ascii="Times New Roman" w:hAnsi="Times New Roman" w:cs="Times New Roman"/>
          <w:color w:val="000000" w:themeColor="text1"/>
          <w:sz w:val="24"/>
        </w:rPr>
        <w:t xml:space="preserve">, </w:t>
      </w:r>
      <w:r w:rsidRPr="00BB231B">
        <w:rPr>
          <w:rStyle w:val="nfasissutil"/>
          <w:rFonts w:ascii="Times New Roman" w:hAnsi="Times New Roman" w:cs="Times New Roman"/>
          <w:color w:val="000000" w:themeColor="text1"/>
          <w:sz w:val="24"/>
          <w:lang w:val="es-DO"/>
        </w:rPr>
        <w:t>a su envío a la Cámara de Cuentas, del estado anual de recaudación e inversión de las rentas que elabora la Dirección General de Contabilidad Gubernamental; los resultados de la gestión de las entidades y organismos públicos, de acuerdo con los principios de eficacia, eficiencia, economía, responsabilidad, transparencia, confiabilidad, legalidad y probidad; los costos e impacto ambientales causados por las operaciones y proyectos, el cumplimiento de las recomendaciones formuladas por las Unidades de Auditoría Interna y el órgano de control externo; la calidad y efectividad del sistema de seguridad y control de la tecnología informática utilizada por las entidades y organismos bajo el ámbito de esta ley y de sus aplicaciones; la efectividad de los demás aspectos especiales de carácter financiero, operacional o de cumplimiento, que considere necesarios para velar por la adecuada recaudación, manejo e inversión de los recursos públicos.</w:t>
      </w:r>
    </w:p>
    <w:p w:rsidR="00695E70" w:rsidRPr="00BB231B" w:rsidRDefault="00695E70" w:rsidP="0013776D">
      <w:pPr>
        <w:pStyle w:val="Normal-blanco"/>
        <w:numPr>
          <w:ilvl w:val="0"/>
          <w:numId w:val="25"/>
        </w:numPr>
        <w:spacing w:before="0" w:line="480" w:lineRule="auto"/>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lastRenderedPageBreak/>
        <w:t>Asesorar a las entidades y organismos bajo el ámbito de la Ley para mejorar y fortalecer el control interno, mediante recomendaciones presentadas en los informes de resultados de las evaluaciones que efectúe;</w:t>
      </w:r>
    </w:p>
    <w:p w:rsidR="00695E70" w:rsidRPr="00BB231B" w:rsidRDefault="00695E70" w:rsidP="0013776D">
      <w:pPr>
        <w:pStyle w:val="Normal-blanco"/>
        <w:numPr>
          <w:ilvl w:val="0"/>
          <w:numId w:val="25"/>
        </w:numPr>
        <w:spacing w:before="0" w:line="480" w:lineRule="auto"/>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 xml:space="preserve">Realizar investigaciones administrativas. </w:t>
      </w:r>
    </w:p>
    <w:p w:rsidR="00CC5C50" w:rsidRPr="00BB231B" w:rsidRDefault="00695E70" w:rsidP="00AD3F34">
      <w:pPr>
        <w:pStyle w:val="Normal-blanco"/>
        <w:numPr>
          <w:ilvl w:val="0"/>
          <w:numId w:val="25"/>
        </w:numPr>
        <w:spacing w:before="0" w:line="480" w:lineRule="auto"/>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Efectuar las inspecciones especiales o específicas previstas en la Ley. </w:t>
      </w:r>
    </w:p>
    <w:p w:rsidR="00695E70" w:rsidRPr="00BB231B" w:rsidRDefault="00695E70" w:rsidP="005A047D">
      <w:pPr>
        <w:pStyle w:val="Normal-blanco"/>
        <w:spacing w:before="0" w:after="0" w:line="480" w:lineRule="auto"/>
        <w:ind w:right="199" w:firstLine="70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Es importante destacar que el enfoque estratégico de la Contraloría se deriva de tres (3) ejes, que son:</w:t>
      </w:r>
    </w:p>
    <w:p w:rsidR="00695E70" w:rsidRPr="00BB231B" w:rsidRDefault="00695E70" w:rsidP="0013776D">
      <w:pPr>
        <w:pStyle w:val="Normal-blanco"/>
        <w:numPr>
          <w:ilvl w:val="0"/>
          <w:numId w:val="24"/>
        </w:numPr>
        <w:spacing w:before="0"/>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Apoyo al gobierno en el logro de la Ley 1-12  de Estrategia Nacional de Desarrollo (END) 2030;</w:t>
      </w:r>
    </w:p>
    <w:p w:rsidR="00695E70" w:rsidRPr="00BB231B" w:rsidRDefault="00695E70" w:rsidP="0013776D">
      <w:pPr>
        <w:pStyle w:val="Normal-blanco"/>
        <w:numPr>
          <w:ilvl w:val="0"/>
          <w:numId w:val="24"/>
        </w:numPr>
        <w:spacing w:before="0"/>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Optimización de la gestión de la CGR;</w:t>
      </w:r>
    </w:p>
    <w:p w:rsidR="00695E70" w:rsidRPr="00BB231B" w:rsidRDefault="00695E70" w:rsidP="0013776D">
      <w:pPr>
        <w:pStyle w:val="Normal-blanco"/>
        <w:numPr>
          <w:ilvl w:val="0"/>
          <w:numId w:val="24"/>
        </w:numPr>
        <w:spacing w:before="0"/>
        <w:ind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Fortalecimiento de la capacidad institucional.</w:t>
      </w:r>
    </w:p>
    <w:p w:rsidR="00CC5C50" w:rsidRPr="00BB231B" w:rsidRDefault="00CC5C50" w:rsidP="00CC5C50">
      <w:pPr>
        <w:pStyle w:val="Normal-blanco"/>
        <w:spacing w:before="0"/>
        <w:ind w:left="720" w:right="199"/>
        <w:rPr>
          <w:rStyle w:val="nfasissutil"/>
          <w:rFonts w:ascii="Times New Roman" w:hAnsi="Times New Roman" w:cs="Times New Roman"/>
          <w:color w:val="000000" w:themeColor="text1"/>
          <w:sz w:val="24"/>
          <w:lang w:val="es-DO"/>
        </w:rPr>
      </w:pPr>
    </w:p>
    <w:p w:rsidR="00E6241A" w:rsidRPr="00BB231B" w:rsidRDefault="00E46018" w:rsidP="00F57203">
      <w:pPr>
        <w:spacing w:before="0" w:after="0"/>
        <w:jc w:val="center"/>
        <w:rPr>
          <w:rStyle w:val="nfasissutil"/>
          <w:rFonts w:ascii="Times New Roman" w:hAnsi="Times New Roman" w:cs="Times New Roman"/>
          <w:color w:val="000000" w:themeColor="text1"/>
          <w:sz w:val="22"/>
          <w:lang w:val="es-DO"/>
        </w:rPr>
      </w:pPr>
      <w:r w:rsidRPr="00BB231B">
        <w:rPr>
          <w:rFonts w:ascii="Times New Roman" w:hAnsi="Times New Roman" w:cs="Times New Roman"/>
          <w:noProof/>
          <w:lang w:val="es-US" w:eastAsia="es-US"/>
        </w:rPr>
        <w:drawing>
          <wp:inline distT="0" distB="0" distL="0" distR="0" wp14:anchorId="21D28D25" wp14:editId="257D9AD6">
            <wp:extent cx="5792400" cy="287280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2400" cy="2872800"/>
                    </a:xfrm>
                    <a:prstGeom prst="rect">
                      <a:avLst/>
                    </a:prstGeom>
                  </pic:spPr>
                </pic:pic>
              </a:graphicData>
            </a:graphic>
          </wp:inline>
        </w:drawing>
      </w:r>
    </w:p>
    <w:p w:rsidR="00E6241A" w:rsidRPr="00BB231B" w:rsidRDefault="00E6241A" w:rsidP="00E635C3">
      <w:pPr>
        <w:spacing w:before="0" w:after="0"/>
        <w:rPr>
          <w:rStyle w:val="nfasissutil"/>
          <w:rFonts w:ascii="Times New Roman" w:hAnsi="Times New Roman" w:cs="Times New Roman"/>
          <w:color w:val="000000" w:themeColor="text1"/>
          <w:sz w:val="22"/>
          <w:lang w:val="es-DO"/>
        </w:rPr>
      </w:pPr>
    </w:p>
    <w:p w:rsidR="00E6241A" w:rsidRPr="00BB231B" w:rsidRDefault="00E6241A" w:rsidP="00E635C3">
      <w:pPr>
        <w:spacing w:before="0" w:after="0"/>
        <w:rPr>
          <w:rStyle w:val="nfasissutil"/>
          <w:rFonts w:ascii="Times New Roman" w:hAnsi="Times New Roman" w:cs="Times New Roman"/>
          <w:color w:val="000000" w:themeColor="text1"/>
          <w:sz w:val="22"/>
          <w:lang w:val="es-DO"/>
        </w:rPr>
      </w:pPr>
    </w:p>
    <w:p w:rsidR="00E6241A" w:rsidRPr="00BB231B" w:rsidRDefault="00E6241A" w:rsidP="00E635C3">
      <w:pPr>
        <w:spacing w:before="0" w:after="0"/>
        <w:rPr>
          <w:rStyle w:val="nfasissutil"/>
          <w:rFonts w:ascii="Times New Roman" w:hAnsi="Times New Roman" w:cs="Times New Roman"/>
          <w:color w:val="000000" w:themeColor="text1"/>
          <w:sz w:val="22"/>
          <w:lang w:val="es-DO"/>
        </w:rPr>
      </w:pPr>
    </w:p>
    <w:p w:rsidR="00E6241A" w:rsidRPr="00BB231B" w:rsidRDefault="00E6241A" w:rsidP="00E635C3">
      <w:pPr>
        <w:spacing w:before="0" w:after="0"/>
        <w:rPr>
          <w:rStyle w:val="nfasissutil"/>
          <w:rFonts w:ascii="Times New Roman" w:hAnsi="Times New Roman" w:cs="Times New Roman"/>
          <w:color w:val="000000" w:themeColor="text1"/>
          <w:sz w:val="22"/>
          <w:lang w:val="es-DO"/>
        </w:rPr>
      </w:pPr>
    </w:p>
    <w:p w:rsidR="00E6241A" w:rsidRPr="00BB231B" w:rsidRDefault="00E6241A" w:rsidP="00E635C3">
      <w:pPr>
        <w:spacing w:before="0" w:after="0"/>
        <w:rPr>
          <w:rStyle w:val="nfasissutil"/>
          <w:rFonts w:ascii="Times New Roman" w:hAnsi="Times New Roman" w:cs="Times New Roman"/>
          <w:color w:val="000000" w:themeColor="text1"/>
          <w:sz w:val="22"/>
          <w:lang w:val="es-DO"/>
        </w:rPr>
      </w:pPr>
    </w:p>
    <w:p w:rsidR="00CC5C50" w:rsidRPr="00BB231B" w:rsidRDefault="00CC5C50" w:rsidP="00E635C3">
      <w:pPr>
        <w:spacing w:before="0" w:after="0"/>
        <w:rPr>
          <w:rStyle w:val="nfasissutil"/>
          <w:rFonts w:ascii="Times New Roman" w:hAnsi="Times New Roman" w:cs="Times New Roman"/>
          <w:color w:val="000000" w:themeColor="text1"/>
          <w:sz w:val="22"/>
          <w:lang w:val="es-DO"/>
        </w:rPr>
      </w:pPr>
    </w:p>
    <w:p w:rsidR="00CC5C50" w:rsidRPr="00BB231B" w:rsidRDefault="00CC5C50" w:rsidP="00E635C3">
      <w:pPr>
        <w:spacing w:before="0" w:after="0"/>
        <w:rPr>
          <w:rStyle w:val="nfasissutil"/>
          <w:rFonts w:ascii="Times New Roman" w:hAnsi="Times New Roman" w:cs="Times New Roman"/>
          <w:color w:val="000000" w:themeColor="text1"/>
          <w:sz w:val="22"/>
          <w:lang w:val="es-DO"/>
        </w:rPr>
      </w:pPr>
    </w:p>
    <w:p w:rsidR="00F57203" w:rsidRPr="00BB231B" w:rsidRDefault="00F57203" w:rsidP="00E635C3">
      <w:pPr>
        <w:spacing w:before="0" w:after="0"/>
        <w:rPr>
          <w:rStyle w:val="nfasissutil"/>
          <w:rFonts w:ascii="Times New Roman" w:hAnsi="Times New Roman" w:cs="Times New Roman"/>
          <w:color w:val="000000" w:themeColor="text1"/>
          <w:sz w:val="22"/>
          <w:lang w:val="es-DO"/>
        </w:rPr>
      </w:pPr>
    </w:p>
    <w:p w:rsidR="004D6986" w:rsidRPr="00BB231B" w:rsidRDefault="004D6986" w:rsidP="00E635C3">
      <w:pPr>
        <w:spacing w:before="0" w:after="0"/>
        <w:rPr>
          <w:rStyle w:val="nfasissutil"/>
          <w:rFonts w:ascii="Times New Roman" w:hAnsi="Times New Roman" w:cs="Times New Roman"/>
          <w:color w:val="000000" w:themeColor="text1"/>
          <w:sz w:val="22"/>
          <w:lang w:val="es-DO"/>
        </w:rPr>
      </w:pPr>
    </w:p>
    <w:p w:rsidR="004D6986" w:rsidRPr="00BB231B" w:rsidRDefault="004D6986" w:rsidP="00E635C3">
      <w:pPr>
        <w:spacing w:before="0" w:after="0"/>
        <w:rPr>
          <w:rStyle w:val="nfasissutil"/>
          <w:rFonts w:ascii="Times New Roman" w:hAnsi="Times New Roman" w:cs="Times New Roman"/>
          <w:color w:val="000000" w:themeColor="text1"/>
          <w:sz w:val="22"/>
          <w:lang w:val="es-DO"/>
        </w:rPr>
      </w:pPr>
    </w:p>
    <w:p w:rsidR="004D6986" w:rsidRPr="00BB231B" w:rsidRDefault="004D6986" w:rsidP="00E635C3">
      <w:pPr>
        <w:spacing w:before="0" w:after="0"/>
        <w:rPr>
          <w:rStyle w:val="nfasissutil"/>
          <w:rFonts w:ascii="Times New Roman" w:hAnsi="Times New Roman" w:cs="Times New Roman"/>
          <w:color w:val="000000" w:themeColor="text1"/>
          <w:sz w:val="22"/>
          <w:lang w:val="es-DO"/>
        </w:rPr>
      </w:pPr>
    </w:p>
    <w:p w:rsidR="004D6986" w:rsidRPr="00BB231B" w:rsidRDefault="004D6986" w:rsidP="00E635C3">
      <w:pPr>
        <w:spacing w:before="0" w:after="0"/>
        <w:rPr>
          <w:rStyle w:val="nfasissutil"/>
          <w:rFonts w:ascii="Times New Roman" w:hAnsi="Times New Roman" w:cs="Times New Roman"/>
          <w:color w:val="000000" w:themeColor="text1"/>
          <w:sz w:val="22"/>
          <w:lang w:val="es-DO"/>
        </w:rPr>
      </w:pPr>
    </w:p>
    <w:p w:rsidR="004D6986" w:rsidRPr="00BB231B" w:rsidRDefault="004D6986" w:rsidP="00E635C3">
      <w:pPr>
        <w:spacing w:before="0" w:after="0"/>
        <w:rPr>
          <w:rStyle w:val="nfasissutil"/>
          <w:rFonts w:ascii="Times New Roman" w:hAnsi="Times New Roman" w:cs="Times New Roman"/>
          <w:color w:val="000000" w:themeColor="text1"/>
          <w:sz w:val="22"/>
          <w:lang w:val="es-DO"/>
        </w:rPr>
      </w:pPr>
    </w:p>
    <w:p w:rsidR="004D6986" w:rsidRPr="00BB231B" w:rsidRDefault="004D6986" w:rsidP="00E635C3">
      <w:pPr>
        <w:spacing w:before="0" w:after="0"/>
        <w:rPr>
          <w:rStyle w:val="nfasissutil"/>
          <w:rFonts w:ascii="Times New Roman" w:hAnsi="Times New Roman" w:cs="Times New Roman"/>
          <w:color w:val="000000" w:themeColor="text1"/>
          <w:sz w:val="22"/>
          <w:lang w:val="es-DO"/>
        </w:rPr>
      </w:pPr>
    </w:p>
    <w:p w:rsidR="00F57203" w:rsidRPr="00BB231B" w:rsidRDefault="00F57203" w:rsidP="00E635C3">
      <w:pPr>
        <w:spacing w:before="0" w:after="0"/>
        <w:rPr>
          <w:rStyle w:val="nfasissutil"/>
          <w:rFonts w:ascii="Times New Roman" w:hAnsi="Times New Roman" w:cs="Times New Roman"/>
          <w:color w:val="000000" w:themeColor="text1"/>
          <w:sz w:val="22"/>
          <w:lang w:val="es-DO"/>
        </w:rPr>
      </w:pPr>
    </w:p>
    <w:p w:rsidR="00F57203" w:rsidRPr="00BB231B" w:rsidRDefault="00F57203" w:rsidP="00E635C3">
      <w:pPr>
        <w:spacing w:before="0" w:after="0"/>
        <w:rPr>
          <w:rStyle w:val="nfasissutil"/>
          <w:rFonts w:ascii="Times New Roman" w:hAnsi="Times New Roman" w:cs="Times New Roman"/>
          <w:color w:val="000000" w:themeColor="text1"/>
          <w:sz w:val="22"/>
          <w:lang w:val="es-DO"/>
        </w:rPr>
      </w:pPr>
    </w:p>
    <w:p w:rsidR="00CC5C50" w:rsidRPr="00BB231B" w:rsidRDefault="00CC5C50" w:rsidP="00E635C3">
      <w:pPr>
        <w:spacing w:before="0" w:after="0"/>
        <w:rPr>
          <w:rStyle w:val="nfasissutil"/>
          <w:rFonts w:ascii="Times New Roman" w:hAnsi="Times New Roman" w:cs="Times New Roman"/>
          <w:color w:val="000000" w:themeColor="text1"/>
          <w:sz w:val="22"/>
          <w:lang w:val="es-DO"/>
        </w:rPr>
      </w:pPr>
    </w:p>
    <w:p w:rsidR="00CC5C50" w:rsidRPr="00BB231B" w:rsidRDefault="00CC5C50" w:rsidP="00E635C3">
      <w:pPr>
        <w:spacing w:before="0" w:after="0"/>
        <w:rPr>
          <w:rStyle w:val="nfasissutil"/>
          <w:rFonts w:ascii="Times New Roman" w:hAnsi="Times New Roman" w:cs="Times New Roman"/>
          <w:color w:val="000000" w:themeColor="text1"/>
          <w:sz w:val="22"/>
          <w:lang w:val="es-DO"/>
        </w:rPr>
      </w:pPr>
    </w:p>
    <w:p w:rsidR="001A2175" w:rsidRPr="00F94885" w:rsidRDefault="001A2175" w:rsidP="00E635C3">
      <w:pPr>
        <w:spacing w:before="0" w:after="0"/>
        <w:rPr>
          <w:rStyle w:val="nfasissutil"/>
          <w:rFonts w:ascii="Times New Roman" w:hAnsi="Times New Roman" w:cs="Times New Roman"/>
          <w:b/>
          <w:color w:val="000000" w:themeColor="text1"/>
          <w:sz w:val="24"/>
          <w:lang w:val="es-DO"/>
        </w:rPr>
      </w:pPr>
      <w:r w:rsidRPr="00F94885">
        <w:rPr>
          <w:rStyle w:val="nfasissutil"/>
          <w:rFonts w:ascii="Times New Roman" w:hAnsi="Times New Roman" w:cs="Times New Roman"/>
          <w:b/>
          <w:color w:val="000000" w:themeColor="text1"/>
          <w:sz w:val="24"/>
          <w:lang w:val="es-DO"/>
        </w:rPr>
        <w:t>Nuestro compromiso o promesa de valor se muestra en la tabla No. 1.</w:t>
      </w:r>
    </w:p>
    <w:p w:rsidR="00B569D8" w:rsidRPr="00BB231B" w:rsidRDefault="00B569D8" w:rsidP="00E635C3">
      <w:pPr>
        <w:spacing w:before="0" w:after="0"/>
        <w:ind w:left="567"/>
        <w:jc w:val="center"/>
        <w:rPr>
          <w:rStyle w:val="nfasissutil"/>
          <w:rFonts w:ascii="Times New Roman" w:hAnsi="Times New Roman" w:cs="Times New Roman"/>
          <w:b/>
          <w:color w:val="000000" w:themeColor="text1"/>
          <w:sz w:val="20"/>
          <w:szCs w:val="18"/>
          <w:lang w:val="es-DO"/>
        </w:rPr>
      </w:pPr>
    </w:p>
    <w:p w:rsidR="001A2175" w:rsidRPr="00BB231B" w:rsidRDefault="001A2175" w:rsidP="00E635C3">
      <w:pPr>
        <w:spacing w:before="0" w:after="0"/>
        <w:ind w:left="567"/>
        <w:jc w:val="center"/>
        <w:rPr>
          <w:rStyle w:val="nfasissutil"/>
          <w:rFonts w:ascii="Times New Roman" w:hAnsi="Times New Roman" w:cs="Times New Roman"/>
          <w:b/>
          <w:color w:val="000000" w:themeColor="text1"/>
          <w:sz w:val="18"/>
          <w:szCs w:val="18"/>
          <w:lang w:val="es-DO"/>
        </w:rPr>
      </w:pPr>
      <w:r w:rsidRPr="00BB231B">
        <w:rPr>
          <w:rStyle w:val="nfasissutil"/>
          <w:rFonts w:ascii="Times New Roman" w:hAnsi="Times New Roman" w:cs="Times New Roman"/>
          <w:b/>
          <w:color w:val="000000" w:themeColor="text1"/>
          <w:sz w:val="18"/>
          <w:szCs w:val="18"/>
          <w:lang w:val="es-DO"/>
        </w:rPr>
        <w:t>Tabla 1</w:t>
      </w:r>
    </w:p>
    <w:p w:rsidR="001A2175" w:rsidRPr="00BB231B" w:rsidRDefault="0088416A" w:rsidP="00E635C3">
      <w:pPr>
        <w:spacing w:before="0" w:after="0"/>
        <w:ind w:left="567"/>
        <w:jc w:val="center"/>
        <w:rPr>
          <w:rStyle w:val="nfasissutil"/>
          <w:rFonts w:ascii="Times New Roman" w:hAnsi="Times New Roman" w:cs="Times New Roman"/>
          <w:color w:val="000000" w:themeColor="text1"/>
          <w:sz w:val="20"/>
          <w:szCs w:val="20"/>
          <w:lang w:val="es-DO"/>
        </w:rPr>
      </w:pPr>
      <w:r w:rsidRPr="00BB231B">
        <w:rPr>
          <w:rStyle w:val="nfasissutil"/>
          <w:rFonts w:ascii="Times New Roman" w:hAnsi="Times New Roman" w:cs="Times New Roman"/>
          <w:color w:val="000000" w:themeColor="text1"/>
          <w:sz w:val="20"/>
          <w:szCs w:val="20"/>
          <w:lang w:val="es-DO"/>
        </w:rPr>
        <w:t>CONTRALORÍA GENERAL DE LA REPÚBLICA</w:t>
      </w:r>
      <w:r w:rsidR="001A2175" w:rsidRPr="00BB231B">
        <w:rPr>
          <w:rStyle w:val="nfasissutil"/>
          <w:rFonts w:ascii="Times New Roman" w:hAnsi="Times New Roman" w:cs="Times New Roman"/>
          <w:color w:val="000000" w:themeColor="text1"/>
          <w:sz w:val="20"/>
          <w:szCs w:val="20"/>
          <w:lang w:val="es-DO"/>
        </w:rPr>
        <w:t>: Compromiso o promesa de valor</w:t>
      </w:r>
    </w:p>
    <w:tbl>
      <w:tblPr>
        <w:tblW w:w="8585"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763"/>
        <w:gridCol w:w="5822"/>
      </w:tblGrid>
      <w:tr w:rsidR="001A2175" w:rsidRPr="00BB231B" w:rsidTr="00E6241A">
        <w:trPr>
          <w:trHeight w:val="1064"/>
          <w:jc w:val="center"/>
        </w:trPr>
        <w:tc>
          <w:tcPr>
            <w:tcW w:w="0" w:type="auto"/>
            <w:tcBorders>
              <w:bottom w:val="single" w:sz="12" w:space="0" w:color="A8D08D"/>
            </w:tcBorders>
            <w:shd w:val="clear" w:color="auto" w:fill="auto"/>
            <w:vAlign w:val="center"/>
          </w:tcPr>
          <w:p w:rsidR="001A2175" w:rsidRPr="00BB231B" w:rsidRDefault="001A2175" w:rsidP="00E635C3">
            <w:pPr>
              <w:spacing w:before="0" w:after="0"/>
              <w:rPr>
                <w:rFonts w:ascii="Times New Roman" w:hAnsi="Times New Roman" w:cs="Times New Roman"/>
                <w:b/>
                <w:bCs/>
                <w:sz w:val="20"/>
                <w:szCs w:val="16"/>
                <w:lang w:val="es-DO"/>
              </w:rPr>
            </w:pPr>
            <w:r w:rsidRPr="00BB231B">
              <w:rPr>
                <w:rFonts w:ascii="Times New Roman" w:hAnsi="Times New Roman" w:cs="Times New Roman"/>
                <w:b/>
                <w:bCs/>
                <w:smallCaps/>
                <w:sz w:val="20"/>
                <w:szCs w:val="16"/>
                <w:lang w:val="es-DO"/>
              </w:rPr>
              <w:t>Sociedad / Nación</w:t>
            </w:r>
          </w:p>
        </w:tc>
        <w:tc>
          <w:tcPr>
            <w:tcW w:w="5822" w:type="dxa"/>
            <w:tcBorders>
              <w:bottom w:val="single" w:sz="12" w:space="0" w:color="A8D08D"/>
            </w:tcBorders>
            <w:shd w:val="clear" w:color="auto" w:fill="auto"/>
            <w:vAlign w:val="center"/>
          </w:tcPr>
          <w:p w:rsidR="001A2175" w:rsidRPr="00BB231B" w:rsidRDefault="001A2175" w:rsidP="00E635C3">
            <w:pPr>
              <w:spacing w:before="0" w:after="0"/>
              <w:rPr>
                <w:rFonts w:ascii="Times New Roman" w:hAnsi="Times New Roman" w:cs="Times New Roman"/>
                <w:bCs/>
                <w:sz w:val="20"/>
                <w:szCs w:val="16"/>
                <w:lang w:val="es-DO"/>
              </w:rPr>
            </w:pPr>
            <w:r w:rsidRPr="00BB231B">
              <w:rPr>
                <w:rFonts w:ascii="Times New Roman" w:hAnsi="Times New Roman" w:cs="Times New Roman"/>
                <w:bCs/>
                <w:sz w:val="20"/>
                <w:szCs w:val="16"/>
                <w:lang w:val="es-DO"/>
              </w:rPr>
              <w:t>Nos comprometemos a servir los mejores intereses de la sociedad y la nación contribuyendo a la preservación de los activos del sector público y al uso eficiente y eficaz de los recursos públicos, así como a la prevención y combate a la corrupción.</w:t>
            </w:r>
          </w:p>
        </w:tc>
      </w:tr>
      <w:tr w:rsidR="001A2175" w:rsidRPr="00BB231B" w:rsidTr="00E6241A">
        <w:trPr>
          <w:trHeight w:val="1064"/>
          <w:jc w:val="center"/>
        </w:trPr>
        <w:tc>
          <w:tcPr>
            <w:tcW w:w="0" w:type="auto"/>
            <w:shd w:val="clear" w:color="auto" w:fill="E2EFD9"/>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t>El Presidente de la República</w:t>
            </w:r>
          </w:p>
        </w:tc>
        <w:tc>
          <w:tcPr>
            <w:tcW w:w="5822" w:type="dxa"/>
            <w:shd w:val="clear" w:color="auto" w:fill="E2EFD9"/>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Servimos al Presidente de la República y, así, al Poder Ejecutivo, dando cumplimiento al mandato de la Constitución y las leyes en procura del buen uso y recaudo de los fondos públicos, con transparencia, probidad y responsabilidad para el logro de los objetivos de buen gobierno.</w:t>
            </w:r>
          </w:p>
        </w:tc>
      </w:tr>
      <w:tr w:rsidR="001A2175" w:rsidRPr="00BB231B" w:rsidTr="00E6241A">
        <w:trPr>
          <w:trHeight w:val="1064"/>
          <w:jc w:val="center"/>
        </w:trPr>
        <w:tc>
          <w:tcPr>
            <w:tcW w:w="0" w:type="auto"/>
            <w:shd w:val="clear" w:color="auto" w:fill="auto"/>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t>Instituciones de la administración pública y los gobiernos locales en general</w:t>
            </w:r>
          </w:p>
        </w:tc>
        <w:tc>
          <w:tcPr>
            <w:tcW w:w="5822" w:type="dxa"/>
            <w:shd w:val="clear" w:color="auto" w:fill="auto"/>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Como órgano rector del sistema nacional de control interno colaboramos con todas las instituciones de la administración pública y los gobiernos locales para que diseñen e implementen sistemas de control interno competentes, de tal forma que se fortalezca la calidad de la gestión pública y se cumplan   las normativas vigentes.</w:t>
            </w:r>
          </w:p>
        </w:tc>
      </w:tr>
      <w:tr w:rsidR="001A2175" w:rsidRPr="00BB231B" w:rsidTr="00E6241A">
        <w:trPr>
          <w:trHeight w:val="1064"/>
          <w:jc w:val="center"/>
        </w:trPr>
        <w:tc>
          <w:tcPr>
            <w:tcW w:w="0" w:type="auto"/>
            <w:shd w:val="clear" w:color="auto" w:fill="E2EFD9"/>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t>Funcionarios y directivos de las instituciones de la administración pública y los gobiernos locales</w:t>
            </w:r>
          </w:p>
        </w:tc>
        <w:tc>
          <w:tcPr>
            <w:tcW w:w="5822" w:type="dxa"/>
            <w:shd w:val="clear" w:color="auto" w:fill="E2EFD9"/>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Ofrecemos debido asesoramiento y capacitación a los funcionarios y directivos de las instituciones de la administración pública y los gobiernos locales en el cumplimiento de sus responsabilidades legales sobre el control interno en la gestión de fondos públicos.</w:t>
            </w:r>
          </w:p>
        </w:tc>
      </w:tr>
      <w:tr w:rsidR="001A2175" w:rsidRPr="00BB231B" w:rsidTr="00E6241A">
        <w:trPr>
          <w:trHeight w:val="1064"/>
          <w:jc w:val="center"/>
        </w:trPr>
        <w:tc>
          <w:tcPr>
            <w:tcW w:w="0" w:type="auto"/>
            <w:shd w:val="clear" w:color="auto" w:fill="auto"/>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t>Servidores Públicos</w:t>
            </w:r>
          </w:p>
        </w:tc>
        <w:tc>
          <w:tcPr>
            <w:tcW w:w="5822" w:type="dxa"/>
            <w:shd w:val="clear" w:color="auto" w:fill="auto"/>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Contribuimos y velamos por el cumplimiento de las normativas y procedimientos vigentes para la Función Pública respecto de los servidores públicos. Capacitamos o suministramos medios de capacitación a los Servidores públicos, en aspectos específicos de sus responsabilidades sobre control interno.</w:t>
            </w:r>
          </w:p>
        </w:tc>
      </w:tr>
      <w:tr w:rsidR="001A2175" w:rsidRPr="00BB231B" w:rsidTr="00E6241A">
        <w:trPr>
          <w:trHeight w:val="1064"/>
          <w:jc w:val="center"/>
        </w:trPr>
        <w:tc>
          <w:tcPr>
            <w:tcW w:w="0" w:type="auto"/>
            <w:shd w:val="clear" w:color="auto" w:fill="E2EFD9"/>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t>Instituciones Recaudadoras del Estado</w:t>
            </w:r>
          </w:p>
        </w:tc>
        <w:tc>
          <w:tcPr>
            <w:tcW w:w="5822" w:type="dxa"/>
            <w:shd w:val="clear" w:color="auto" w:fill="E2EFD9"/>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Velamos por el cumplimiento de las normativas y deberes de los compromisos tributarios de los contribuyentes.</w:t>
            </w:r>
          </w:p>
        </w:tc>
      </w:tr>
      <w:tr w:rsidR="001A2175" w:rsidRPr="00BB231B" w:rsidTr="00E6241A">
        <w:trPr>
          <w:trHeight w:val="1064"/>
          <w:jc w:val="center"/>
        </w:trPr>
        <w:tc>
          <w:tcPr>
            <w:tcW w:w="0" w:type="auto"/>
            <w:shd w:val="clear" w:color="auto" w:fill="auto"/>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lastRenderedPageBreak/>
              <w:t>Entidades de Administración Financiera del Estado</w:t>
            </w:r>
          </w:p>
        </w:tc>
        <w:tc>
          <w:tcPr>
            <w:tcW w:w="5822" w:type="dxa"/>
            <w:shd w:val="clear" w:color="auto" w:fill="auto"/>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Damos apoyo a las entidades de Administración Financiera del Estado</w:t>
            </w:r>
            <w:r w:rsidR="00F37461" w:rsidRPr="00BB231B">
              <w:rPr>
                <w:rFonts w:ascii="Times New Roman" w:hAnsi="Times New Roman" w:cs="Times New Roman"/>
                <w:sz w:val="20"/>
                <w:szCs w:val="16"/>
                <w:lang w:val="es-DO"/>
              </w:rPr>
              <w:t xml:space="preserve">, requiriendo </w:t>
            </w:r>
            <w:r w:rsidRPr="00BB231B">
              <w:rPr>
                <w:rFonts w:ascii="Times New Roman" w:hAnsi="Times New Roman" w:cs="Times New Roman"/>
                <w:sz w:val="20"/>
                <w:szCs w:val="16"/>
                <w:lang w:val="es-DO"/>
              </w:rPr>
              <w:t>mediante los procedimientos de control, el cumplimiento de las normativas y procedimientos vigentes.</w:t>
            </w:r>
          </w:p>
        </w:tc>
      </w:tr>
      <w:tr w:rsidR="001A2175" w:rsidRPr="00BB231B" w:rsidTr="00E6241A">
        <w:trPr>
          <w:trHeight w:val="1064"/>
          <w:jc w:val="center"/>
        </w:trPr>
        <w:tc>
          <w:tcPr>
            <w:tcW w:w="0" w:type="auto"/>
            <w:shd w:val="clear" w:color="auto" w:fill="E2EFD9"/>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t>Cámara de Cuentas de la República Dominicana</w:t>
            </w:r>
          </w:p>
        </w:tc>
        <w:tc>
          <w:tcPr>
            <w:tcW w:w="5822" w:type="dxa"/>
            <w:shd w:val="clear" w:color="auto" w:fill="E2EFD9"/>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Cooperamos con el cumplimiento de las responsabilidades institucionales de la Cámara de Cuentas de la República Dominicana en los ámbitos de interacción entre los sistemas de control externo e interno de la administración pública.</w:t>
            </w:r>
          </w:p>
        </w:tc>
      </w:tr>
      <w:tr w:rsidR="001A2175" w:rsidRPr="00BB231B" w:rsidTr="00E6241A">
        <w:trPr>
          <w:trHeight w:val="1064"/>
          <w:jc w:val="center"/>
        </w:trPr>
        <w:tc>
          <w:tcPr>
            <w:tcW w:w="0" w:type="auto"/>
            <w:shd w:val="clear" w:color="auto" w:fill="auto"/>
            <w:vAlign w:val="center"/>
          </w:tcPr>
          <w:p w:rsidR="001A2175" w:rsidRPr="00BB231B" w:rsidRDefault="001A2175" w:rsidP="00E635C3">
            <w:pPr>
              <w:spacing w:before="0" w:after="0"/>
              <w:rPr>
                <w:rFonts w:ascii="Times New Roman" w:hAnsi="Times New Roman" w:cs="Times New Roman"/>
                <w:b/>
                <w:bCs/>
                <w:smallCaps/>
                <w:sz w:val="20"/>
                <w:szCs w:val="16"/>
                <w:lang w:val="es-DO"/>
              </w:rPr>
            </w:pPr>
            <w:r w:rsidRPr="00BB231B">
              <w:rPr>
                <w:rFonts w:ascii="Times New Roman" w:hAnsi="Times New Roman" w:cs="Times New Roman"/>
                <w:b/>
                <w:bCs/>
                <w:smallCaps/>
                <w:sz w:val="20"/>
                <w:szCs w:val="16"/>
                <w:lang w:val="es-DO"/>
              </w:rPr>
              <w:t>Dirección General de Contabilidad</w:t>
            </w:r>
          </w:p>
        </w:tc>
        <w:tc>
          <w:tcPr>
            <w:tcW w:w="5822" w:type="dxa"/>
            <w:shd w:val="clear" w:color="auto" w:fill="auto"/>
            <w:vAlign w:val="center"/>
          </w:tcPr>
          <w:p w:rsidR="001A2175" w:rsidRPr="00BB231B" w:rsidRDefault="001A2175" w:rsidP="00E635C3">
            <w:pPr>
              <w:spacing w:before="0" w:after="0"/>
              <w:rPr>
                <w:rFonts w:ascii="Times New Roman" w:hAnsi="Times New Roman" w:cs="Times New Roman"/>
                <w:sz w:val="20"/>
                <w:szCs w:val="16"/>
                <w:lang w:val="es-DO"/>
              </w:rPr>
            </w:pPr>
            <w:r w:rsidRPr="00BB231B">
              <w:rPr>
                <w:rFonts w:ascii="Times New Roman" w:hAnsi="Times New Roman" w:cs="Times New Roman"/>
                <w:sz w:val="20"/>
                <w:szCs w:val="16"/>
                <w:lang w:val="es-DO"/>
              </w:rPr>
              <w:t>Cooperamos con la Dirección General de Contabilidad apoyando la puesta en vigencia de las normas y procedimientos estandarizados de contabilidad pública, facilitando así la toma de decisiones, a través de información transparente, objetiva y oportuna.</w:t>
            </w:r>
          </w:p>
        </w:tc>
      </w:tr>
    </w:tbl>
    <w:p w:rsidR="001A2175" w:rsidRPr="00BB231B" w:rsidRDefault="0088416A" w:rsidP="00E635C3">
      <w:pPr>
        <w:pStyle w:val="Normal-blanco"/>
        <w:spacing w:before="0" w:after="0"/>
        <w:ind w:right="199"/>
        <w:rPr>
          <w:rStyle w:val="nfasissutil"/>
          <w:rFonts w:ascii="Times New Roman" w:hAnsi="Times New Roman" w:cs="Times New Roman"/>
          <w:i/>
          <w:color w:val="000000" w:themeColor="text1"/>
          <w:sz w:val="18"/>
          <w:szCs w:val="18"/>
          <w:lang w:val="es-DO"/>
        </w:rPr>
      </w:pPr>
      <w:r w:rsidRPr="00BB231B">
        <w:rPr>
          <w:rStyle w:val="nfasissutil"/>
          <w:rFonts w:ascii="Times New Roman" w:hAnsi="Times New Roman" w:cs="Times New Roman"/>
          <w:b/>
          <w:color w:val="000000" w:themeColor="text1"/>
          <w:sz w:val="18"/>
          <w:szCs w:val="18"/>
          <w:lang w:val="es-DO"/>
        </w:rPr>
        <w:t xml:space="preserve">    </w:t>
      </w:r>
      <w:r w:rsidR="001D2A5A" w:rsidRPr="00BB231B">
        <w:rPr>
          <w:rStyle w:val="nfasissutil"/>
          <w:rFonts w:ascii="Times New Roman" w:hAnsi="Times New Roman" w:cs="Times New Roman"/>
          <w:b/>
          <w:color w:val="000000" w:themeColor="text1"/>
          <w:sz w:val="18"/>
          <w:szCs w:val="18"/>
          <w:lang w:val="es-DO"/>
        </w:rPr>
        <w:tab/>
      </w:r>
      <w:r w:rsidR="001D2A5A" w:rsidRPr="00BB231B">
        <w:rPr>
          <w:rStyle w:val="nfasissutil"/>
          <w:rFonts w:ascii="Times New Roman" w:hAnsi="Times New Roman" w:cs="Times New Roman"/>
          <w:b/>
          <w:color w:val="000000" w:themeColor="text1"/>
          <w:sz w:val="18"/>
          <w:szCs w:val="18"/>
          <w:lang w:val="es-DO"/>
        </w:rPr>
        <w:tab/>
      </w:r>
      <w:r w:rsidR="001D2A5A" w:rsidRPr="00BB231B">
        <w:rPr>
          <w:rStyle w:val="nfasissutil"/>
          <w:rFonts w:ascii="Times New Roman" w:hAnsi="Times New Roman" w:cs="Times New Roman"/>
          <w:b/>
          <w:color w:val="000000" w:themeColor="text1"/>
          <w:sz w:val="18"/>
          <w:szCs w:val="18"/>
          <w:lang w:val="es-DO"/>
        </w:rPr>
        <w:tab/>
      </w:r>
      <w:r w:rsidR="001D2A5A" w:rsidRPr="00BB231B">
        <w:rPr>
          <w:rStyle w:val="nfasissutil"/>
          <w:rFonts w:ascii="Times New Roman" w:hAnsi="Times New Roman" w:cs="Times New Roman"/>
          <w:b/>
          <w:color w:val="000000" w:themeColor="text1"/>
          <w:sz w:val="18"/>
          <w:szCs w:val="18"/>
          <w:lang w:val="es-DO"/>
        </w:rPr>
        <w:tab/>
      </w:r>
      <w:r w:rsidRPr="00BB231B">
        <w:rPr>
          <w:rStyle w:val="nfasissutil"/>
          <w:rFonts w:ascii="Times New Roman" w:hAnsi="Times New Roman" w:cs="Times New Roman"/>
          <w:b/>
          <w:color w:val="000000" w:themeColor="text1"/>
          <w:sz w:val="18"/>
          <w:szCs w:val="18"/>
          <w:lang w:val="es-DO"/>
        </w:rPr>
        <w:t>Fuente:</w:t>
      </w:r>
      <w:r w:rsidRPr="00BB231B">
        <w:rPr>
          <w:rStyle w:val="nfasissutil"/>
          <w:rFonts w:ascii="Times New Roman" w:hAnsi="Times New Roman" w:cs="Times New Roman"/>
          <w:color w:val="000000" w:themeColor="text1"/>
          <w:sz w:val="18"/>
          <w:szCs w:val="18"/>
          <w:lang w:val="es-DO"/>
        </w:rPr>
        <w:t xml:space="preserve"> </w:t>
      </w:r>
      <w:r w:rsidRPr="00BB231B">
        <w:rPr>
          <w:rStyle w:val="nfasissutil"/>
          <w:rFonts w:ascii="Times New Roman" w:hAnsi="Times New Roman" w:cs="Times New Roman"/>
          <w:i/>
          <w:color w:val="000000" w:themeColor="text1"/>
          <w:sz w:val="18"/>
          <w:szCs w:val="18"/>
          <w:lang w:val="es-DO"/>
        </w:rPr>
        <w:t xml:space="preserve">Contraloría </w:t>
      </w:r>
      <w:r w:rsidR="002725C4" w:rsidRPr="00BB231B">
        <w:rPr>
          <w:rStyle w:val="nfasissutil"/>
          <w:rFonts w:ascii="Times New Roman" w:hAnsi="Times New Roman" w:cs="Times New Roman"/>
          <w:i/>
          <w:color w:val="000000" w:themeColor="text1"/>
          <w:sz w:val="18"/>
          <w:szCs w:val="18"/>
          <w:lang w:val="es-DO"/>
        </w:rPr>
        <w:t>General de</w:t>
      </w:r>
      <w:r w:rsidRPr="00BB231B">
        <w:rPr>
          <w:rStyle w:val="nfasissutil"/>
          <w:rFonts w:ascii="Times New Roman" w:hAnsi="Times New Roman" w:cs="Times New Roman"/>
          <w:i/>
          <w:color w:val="000000" w:themeColor="text1"/>
          <w:sz w:val="18"/>
          <w:szCs w:val="18"/>
          <w:lang w:val="es-DO"/>
        </w:rPr>
        <w:t xml:space="preserve"> la República (CGR).</w:t>
      </w:r>
    </w:p>
    <w:p w:rsidR="00BF2F31" w:rsidRPr="00BB231B" w:rsidRDefault="00BF2F31" w:rsidP="00E635C3">
      <w:pPr>
        <w:pStyle w:val="Normal-blanco"/>
        <w:spacing w:before="0" w:after="0"/>
        <w:ind w:right="199"/>
        <w:rPr>
          <w:rStyle w:val="nfasissutil"/>
          <w:rFonts w:ascii="Times New Roman" w:hAnsi="Times New Roman" w:cs="Times New Roman"/>
          <w:i/>
          <w:color w:val="000000" w:themeColor="text1"/>
          <w:sz w:val="18"/>
          <w:szCs w:val="18"/>
          <w:lang w:val="es-DO"/>
        </w:rPr>
      </w:pPr>
    </w:p>
    <w:p w:rsidR="00BF2F31" w:rsidRPr="00BB231B" w:rsidRDefault="00BF2F31" w:rsidP="00E635C3">
      <w:pPr>
        <w:pStyle w:val="Normal-blanco"/>
        <w:spacing w:before="0" w:after="0"/>
        <w:ind w:right="199"/>
        <w:rPr>
          <w:rStyle w:val="nfasissutil"/>
          <w:rFonts w:ascii="Times New Roman" w:hAnsi="Times New Roman" w:cs="Times New Roman"/>
          <w:color w:val="000000" w:themeColor="text1"/>
          <w:sz w:val="18"/>
          <w:szCs w:val="18"/>
          <w:lang w:val="es-DO"/>
        </w:rPr>
      </w:pPr>
    </w:p>
    <w:p w:rsidR="001C5AE7" w:rsidRPr="00BB231B" w:rsidRDefault="00F77E97" w:rsidP="001C5AE7">
      <w:pPr>
        <w:pStyle w:val="Normal-blanco"/>
        <w:spacing w:before="0" w:after="0"/>
        <w:ind w:right="199"/>
        <w:rPr>
          <w:rStyle w:val="nfasissutil"/>
          <w:rFonts w:ascii="Times New Roman" w:hAnsi="Times New Roman" w:cs="Times New Roman"/>
          <w:b/>
          <w:color w:val="000000" w:themeColor="text1"/>
          <w:sz w:val="28"/>
          <w:lang w:val="es-DO"/>
        </w:rPr>
      </w:pPr>
      <w:bookmarkStart w:id="17" w:name="_Toc488412821"/>
      <w:r>
        <w:rPr>
          <w:rFonts w:ascii="Times New Roman" w:hAnsi="Times New Roman" w:cs="Times New Roman"/>
          <w:sz w:val="28"/>
          <w:u w:val="single"/>
          <w:lang w:val="es-DO"/>
        </w:rPr>
        <w:pict>
          <v:shape id="_x0000_s1031" type="#_x0000_t75" style="position:absolute;left:0;text-align:left;margin-left:1.75pt;margin-top:24pt;width:452.6pt;height:278.35pt;z-index:251719680;mso-position-horizontal-relative:text;mso-position-vertical-relative:text" filled="t" fillcolor="#d7ead2" stroked="t" strokecolor="#00b050" strokeweight="5.25pt">
            <v:imagedata r:id="rId12" o:title=""/>
            <w10:wrap type="square"/>
          </v:shape>
          <o:OLEObject Type="Embed" ProgID="Visio.Drawing.11" ShapeID="_x0000_s1031" DrawAspect="Content" ObjectID="_1574860581" r:id="rId13"/>
        </w:pict>
      </w:r>
      <w:r w:rsidR="00AF7E9E" w:rsidRPr="00BB231B">
        <w:rPr>
          <w:rStyle w:val="nfasissutil"/>
          <w:rFonts w:ascii="Times New Roman" w:hAnsi="Times New Roman" w:cs="Times New Roman"/>
          <w:b/>
          <w:color w:val="000000" w:themeColor="text1"/>
          <w:sz w:val="28"/>
          <w:u w:val="single"/>
          <w:lang w:val="es-DO"/>
        </w:rPr>
        <w:t xml:space="preserve">Estructura </w:t>
      </w:r>
      <w:bookmarkStart w:id="18" w:name="_Toc488412822"/>
      <w:bookmarkEnd w:id="17"/>
      <w:r w:rsidR="008214CE" w:rsidRPr="00BB231B">
        <w:rPr>
          <w:rStyle w:val="nfasissutil"/>
          <w:rFonts w:ascii="Times New Roman" w:hAnsi="Times New Roman" w:cs="Times New Roman"/>
          <w:b/>
          <w:color w:val="000000" w:themeColor="text1"/>
          <w:sz w:val="28"/>
          <w:u w:val="single"/>
          <w:lang w:val="es-DO"/>
        </w:rPr>
        <w:t>organizativa</w:t>
      </w:r>
      <w:r w:rsidR="008214CE" w:rsidRPr="00BB231B">
        <w:rPr>
          <w:rStyle w:val="nfasissutil"/>
          <w:rFonts w:ascii="Times New Roman" w:hAnsi="Times New Roman" w:cs="Times New Roman"/>
          <w:b/>
          <w:color w:val="000000" w:themeColor="text1"/>
          <w:sz w:val="28"/>
          <w:lang w:val="es-DO"/>
        </w:rPr>
        <w:t>:</w:t>
      </w:r>
    </w:p>
    <w:p w:rsidR="001D2A5A" w:rsidRPr="00BB231B" w:rsidRDefault="001D2A5A" w:rsidP="001C5AE7">
      <w:pPr>
        <w:pStyle w:val="Normal-blanco"/>
        <w:spacing w:before="0" w:after="0"/>
        <w:ind w:right="199"/>
        <w:rPr>
          <w:rStyle w:val="nfasissutil"/>
          <w:rFonts w:ascii="Times New Roman" w:hAnsi="Times New Roman" w:cs="Times New Roman"/>
          <w:b/>
          <w:color w:val="000000" w:themeColor="text1"/>
          <w:sz w:val="22"/>
          <w:lang w:val="es-DO"/>
        </w:rPr>
      </w:pPr>
    </w:p>
    <w:p w:rsidR="001C5AE7" w:rsidRPr="00BB231B" w:rsidRDefault="001C5AE7" w:rsidP="001C5AE7">
      <w:pPr>
        <w:pStyle w:val="Normal-blanco"/>
        <w:spacing w:before="0" w:after="0"/>
        <w:ind w:right="199"/>
        <w:rPr>
          <w:rStyle w:val="nfasissutil"/>
          <w:rFonts w:ascii="Times New Roman" w:hAnsi="Times New Roman" w:cs="Times New Roman"/>
          <w:b/>
          <w:color w:val="000000" w:themeColor="text1"/>
          <w:sz w:val="22"/>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F57203" w:rsidRPr="00BB231B" w:rsidRDefault="00F57203" w:rsidP="001C5AE7">
      <w:pPr>
        <w:pStyle w:val="Normal-blanco"/>
        <w:spacing w:before="0" w:after="0"/>
        <w:ind w:right="199"/>
        <w:rPr>
          <w:rStyle w:val="nfasissutil"/>
          <w:rFonts w:ascii="Times New Roman" w:hAnsi="Times New Roman" w:cs="Times New Roman"/>
          <w:b/>
          <w:color w:val="000000" w:themeColor="text1"/>
          <w:sz w:val="28"/>
          <w:lang w:val="es-DO"/>
        </w:rPr>
      </w:pPr>
    </w:p>
    <w:p w:rsidR="001C5AE7" w:rsidRPr="00BB231B" w:rsidRDefault="001C5AE7" w:rsidP="001C5AE7">
      <w:pPr>
        <w:pStyle w:val="Normal-blanco"/>
        <w:spacing w:before="0" w:after="0"/>
        <w:ind w:right="199"/>
        <w:rPr>
          <w:rStyle w:val="nfasissutil"/>
          <w:rFonts w:ascii="Times New Roman" w:hAnsi="Times New Roman" w:cs="Times New Roman"/>
          <w:b/>
          <w:color w:val="000000" w:themeColor="text1"/>
          <w:sz w:val="22"/>
          <w:lang w:val="es-DO"/>
        </w:rPr>
      </w:pPr>
      <w:r w:rsidRPr="00BB231B">
        <w:rPr>
          <w:rStyle w:val="nfasissutil"/>
          <w:rFonts w:ascii="Times New Roman" w:hAnsi="Times New Roman" w:cs="Times New Roman"/>
          <w:b/>
          <w:color w:val="000000" w:themeColor="text1"/>
          <w:sz w:val="28"/>
          <w:lang w:val="es-DO"/>
        </w:rPr>
        <w:t>Principales funcionarios de la Institución:</w:t>
      </w:r>
    </w:p>
    <w:p w:rsidR="001C5AE7" w:rsidRPr="00BB231B" w:rsidRDefault="001C5AE7" w:rsidP="001C5AE7">
      <w:pPr>
        <w:pStyle w:val="Normal-blanco"/>
        <w:spacing w:before="0" w:after="0"/>
        <w:ind w:right="199"/>
        <w:rPr>
          <w:rStyle w:val="nfasissutil"/>
          <w:rFonts w:ascii="Times New Roman" w:hAnsi="Times New Roman" w:cs="Times New Roman"/>
          <w:b/>
          <w:color w:val="000000" w:themeColor="text1"/>
          <w:sz w:val="24"/>
          <w:lang w:val="es-DO"/>
        </w:rPr>
      </w:pPr>
    </w:p>
    <w:p w:rsidR="001C5AE7" w:rsidRPr="00BB231B" w:rsidRDefault="001C5AE7" w:rsidP="0013776D">
      <w:pPr>
        <w:pStyle w:val="Normal-blanco"/>
        <w:numPr>
          <w:ilvl w:val="0"/>
          <w:numId w:val="28"/>
        </w:numPr>
        <w:spacing w:before="0" w:after="0"/>
        <w:ind w:right="199"/>
        <w:rPr>
          <w:rStyle w:val="nfasissutil"/>
          <w:rFonts w:ascii="Times New Roman" w:hAnsi="Times New Roman" w:cs="Times New Roman"/>
          <w:b/>
          <w:color w:val="000000" w:themeColor="text1"/>
          <w:sz w:val="24"/>
          <w:lang w:val="es-DO"/>
        </w:rPr>
      </w:pPr>
      <w:r w:rsidRPr="00BB231B">
        <w:rPr>
          <w:rStyle w:val="nfasissutil"/>
          <w:rFonts w:ascii="Times New Roman" w:hAnsi="Times New Roman" w:cs="Times New Roman"/>
          <w:b/>
          <w:color w:val="000000" w:themeColor="text1"/>
          <w:sz w:val="24"/>
          <w:lang w:val="es-DO"/>
        </w:rPr>
        <w:t>Lic. Daniel Omar Caamaño</w:t>
      </w:r>
      <w:r w:rsidR="00F57203" w:rsidRPr="00BB231B">
        <w:rPr>
          <w:rStyle w:val="nfasissutil"/>
          <w:rFonts w:ascii="Times New Roman" w:hAnsi="Times New Roman" w:cs="Times New Roman"/>
          <w:b/>
          <w:color w:val="000000" w:themeColor="text1"/>
          <w:sz w:val="24"/>
          <w:lang w:val="es-DO"/>
        </w:rPr>
        <w:t xml:space="preserve"> Santana</w:t>
      </w:r>
    </w:p>
    <w:p w:rsidR="00F57203" w:rsidRPr="00BB231B" w:rsidRDefault="001C5AE7" w:rsidP="001C5AE7">
      <w:pPr>
        <w:pStyle w:val="Normal-blanco"/>
        <w:spacing w:before="0" w:after="0"/>
        <w:ind w:left="720"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 xml:space="preserve">Contralor General de la República </w:t>
      </w:r>
    </w:p>
    <w:p w:rsidR="00D6364E" w:rsidRPr="00BB231B" w:rsidRDefault="00D6364E" w:rsidP="001C5AE7">
      <w:pPr>
        <w:pStyle w:val="Normal-blanco"/>
        <w:spacing w:before="0" w:after="0"/>
        <w:ind w:left="720" w:right="199"/>
        <w:rPr>
          <w:rStyle w:val="nfasissutil"/>
          <w:rFonts w:ascii="Times New Roman" w:hAnsi="Times New Roman" w:cs="Times New Roman"/>
          <w:color w:val="000000" w:themeColor="text1"/>
          <w:sz w:val="24"/>
          <w:lang w:val="es-DO"/>
        </w:rPr>
      </w:pPr>
    </w:p>
    <w:p w:rsidR="001C5AE7" w:rsidRPr="00BB231B" w:rsidRDefault="001C5AE7" w:rsidP="0013776D">
      <w:pPr>
        <w:pStyle w:val="Normal-blanco"/>
        <w:numPr>
          <w:ilvl w:val="0"/>
          <w:numId w:val="28"/>
        </w:numPr>
        <w:spacing w:before="0" w:after="0"/>
        <w:ind w:right="199"/>
        <w:rPr>
          <w:rStyle w:val="nfasissutil"/>
          <w:rFonts w:ascii="Times New Roman" w:hAnsi="Times New Roman" w:cs="Times New Roman"/>
          <w:b/>
          <w:color w:val="000000" w:themeColor="text1"/>
          <w:sz w:val="24"/>
          <w:lang w:val="es-DO"/>
        </w:rPr>
      </w:pPr>
      <w:r w:rsidRPr="00BB231B">
        <w:rPr>
          <w:rStyle w:val="nfasissutil"/>
          <w:rFonts w:ascii="Times New Roman" w:hAnsi="Times New Roman" w:cs="Times New Roman"/>
          <w:b/>
          <w:color w:val="000000" w:themeColor="text1"/>
          <w:sz w:val="24"/>
          <w:lang w:val="es-DO"/>
        </w:rPr>
        <w:t>Francisco Javier Clark</w:t>
      </w:r>
    </w:p>
    <w:p w:rsidR="001C5AE7" w:rsidRPr="00BB231B" w:rsidRDefault="001C5AE7" w:rsidP="001C5AE7">
      <w:pPr>
        <w:pStyle w:val="Normal-blanco"/>
        <w:spacing w:before="0" w:after="0"/>
        <w:ind w:left="720" w:right="19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Sub Contralor</w:t>
      </w:r>
      <w:r w:rsidR="00D6364E" w:rsidRPr="00BB231B">
        <w:rPr>
          <w:rStyle w:val="nfasissutil"/>
          <w:rFonts w:ascii="Times New Roman" w:hAnsi="Times New Roman" w:cs="Times New Roman"/>
          <w:color w:val="000000" w:themeColor="text1"/>
          <w:sz w:val="24"/>
          <w:lang w:val="es-DO"/>
        </w:rPr>
        <w:t xml:space="preserve"> General de la República</w:t>
      </w:r>
    </w:p>
    <w:p w:rsidR="001C5AE7" w:rsidRPr="00BB231B" w:rsidRDefault="001C5AE7" w:rsidP="001C5AE7">
      <w:pPr>
        <w:pStyle w:val="Normal-blanco"/>
        <w:spacing w:before="0" w:after="0"/>
        <w:ind w:left="720" w:right="199"/>
        <w:rPr>
          <w:rStyle w:val="nfasissutil"/>
          <w:rFonts w:ascii="Times New Roman" w:hAnsi="Times New Roman" w:cs="Times New Roman"/>
          <w:color w:val="000000" w:themeColor="text1"/>
          <w:sz w:val="24"/>
          <w:lang w:val="es-DO"/>
        </w:rPr>
      </w:pPr>
    </w:p>
    <w:p w:rsidR="00D6364E" w:rsidRPr="00BB231B" w:rsidRDefault="00D6364E" w:rsidP="001C5AE7">
      <w:pPr>
        <w:pStyle w:val="Normal-blanco"/>
        <w:spacing w:before="0" w:after="0"/>
        <w:ind w:left="720" w:right="199"/>
        <w:rPr>
          <w:rStyle w:val="nfasissutil"/>
          <w:rFonts w:ascii="Times New Roman" w:hAnsi="Times New Roman" w:cs="Times New Roman"/>
          <w:color w:val="000000" w:themeColor="text1"/>
          <w:sz w:val="24"/>
          <w:lang w:val="es-DO"/>
        </w:rPr>
      </w:pPr>
    </w:p>
    <w:p w:rsidR="00D6364E" w:rsidRPr="00BB231B" w:rsidRDefault="00D6364E" w:rsidP="001C5AE7">
      <w:pPr>
        <w:pStyle w:val="Normal-blanco"/>
        <w:spacing w:before="0" w:after="0"/>
        <w:ind w:left="720" w:right="199"/>
        <w:rPr>
          <w:rStyle w:val="nfasissutil"/>
          <w:rFonts w:ascii="Times New Roman" w:hAnsi="Times New Roman" w:cs="Times New Roman"/>
          <w:color w:val="000000" w:themeColor="text1"/>
          <w:sz w:val="24"/>
          <w:lang w:val="es-DO"/>
        </w:rPr>
      </w:pPr>
    </w:p>
    <w:p w:rsidR="001C5AE7" w:rsidRPr="00BB231B" w:rsidRDefault="001C5AE7" w:rsidP="001D2A5A">
      <w:pPr>
        <w:pStyle w:val="Normal-blanco"/>
        <w:spacing w:before="0" w:after="0"/>
        <w:ind w:right="199"/>
        <w:rPr>
          <w:rStyle w:val="nfasissutil"/>
          <w:rFonts w:ascii="Times New Roman" w:hAnsi="Times New Roman" w:cs="Times New Roman"/>
          <w:b/>
          <w:color w:val="000000" w:themeColor="text1"/>
          <w:sz w:val="24"/>
          <w:u w:val="single"/>
          <w:lang w:val="es-DO"/>
        </w:rPr>
      </w:pPr>
      <w:r w:rsidRPr="00BB231B">
        <w:rPr>
          <w:rStyle w:val="nfasissutil"/>
          <w:rFonts w:ascii="Times New Roman" w:hAnsi="Times New Roman" w:cs="Times New Roman"/>
          <w:b/>
          <w:color w:val="000000" w:themeColor="text1"/>
          <w:sz w:val="24"/>
          <w:u w:val="single"/>
          <w:lang w:val="es-DO"/>
        </w:rPr>
        <w:t>D</w:t>
      </w:r>
      <w:r w:rsidR="006A4623" w:rsidRPr="00BB231B">
        <w:rPr>
          <w:rStyle w:val="nfasissutil"/>
          <w:rFonts w:ascii="Times New Roman" w:hAnsi="Times New Roman" w:cs="Times New Roman"/>
          <w:b/>
          <w:color w:val="000000" w:themeColor="text1"/>
          <w:sz w:val="24"/>
          <w:u w:val="single"/>
          <w:lang w:val="es-DO"/>
        </w:rPr>
        <w:t>irectores y</w:t>
      </w:r>
      <w:r w:rsidR="000A29F1" w:rsidRPr="00BB231B">
        <w:rPr>
          <w:rStyle w:val="nfasissutil"/>
          <w:rFonts w:ascii="Times New Roman" w:hAnsi="Times New Roman" w:cs="Times New Roman"/>
          <w:b/>
          <w:color w:val="000000" w:themeColor="text1"/>
          <w:sz w:val="24"/>
          <w:u w:val="single"/>
          <w:lang w:val="es-DO"/>
        </w:rPr>
        <w:t xml:space="preserve"> </w:t>
      </w:r>
      <w:r w:rsidR="006A4623" w:rsidRPr="00BB231B">
        <w:rPr>
          <w:rStyle w:val="nfasissutil"/>
          <w:rFonts w:ascii="Times New Roman" w:hAnsi="Times New Roman" w:cs="Times New Roman"/>
          <w:b/>
          <w:color w:val="000000" w:themeColor="text1"/>
          <w:sz w:val="24"/>
          <w:u w:val="single"/>
          <w:lang w:val="es-DO"/>
        </w:rPr>
        <w:t>Encargados</w:t>
      </w:r>
      <w:r w:rsidR="00515C03" w:rsidRPr="00BB231B">
        <w:rPr>
          <w:rStyle w:val="nfasissutil"/>
          <w:rFonts w:ascii="Times New Roman" w:hAnsi="Times New Roman" w:cs="Times New Roman"/>
          <w:b/>
          <w:color w:val="000000" w:themeColor="text1"/>
          <w:sz w:val="24"/>
          <w:u w:val="single"/>
          <w:lang w:val="es-DO"/>
        </w:rPr>
        <w:t>:</w:t>
      </w:r>
    </w:p>
    <w:p w:rsidR="001C5AE7" w:rsidRPr="00BB231B" w:rsidRDefault="001C5AE7" w:rsidP="001C5AE7">
      <w:pPr>
        <w:pStyle w:val="Normal-blanco"/>
        <w:spacing w:before="0" w:after="0"/>
        <w:ind w:left="720" w:right="199"/>
        <w:rPr>
          <w:rStyle w:val="nfasissutil"/>
          <w:rFonts w:ascii="Times New Roman" w:hAnsi="Times New Roman" w:cs="Times New Roman"/>
          <w:b/>
          <w:color w:val="000000" w:themeColor="text1"/>
          <w:sz w:val="22"/>
          <w:u w:val="single"/>
          <w:lang w:val="es-DO"/>
        </w:rPr>
      </w:pPr>
    </w:p>
    <w:tbl>
      <w:tblPr>
        <w:tblStyle w:val="Listaclara-nfasis3"/>
        <w:tblW w:w="0" w:type="auto"/>
        <w:jc w:val="center"/>
        <w:tblLook w:val="04A0" w:firstRow="1" w:lastRow="0" w:firstColumn="1" w:lastColumn="0" w:noHBand="0" w:noVBand="1"/>
      </w:tblPr>
      <w:tblGrid>
        <w:gridCol w:w="3083"/>
        <w:gridCol w:w="4817"/>
      </w:tblGrid>
      <w:tr w:rsidR="001C5AE7" w:rsidRPr="00BB231B" w:rsidTr="000A29F1">
        <w:trPr>
          <w:cnfStyle w:val="100000000000" w:firstRow="1" w:lastRow="0" w:firstColumn="0" w:lastColumn="0" w:oddVBand="0" w:evenVBand="0" w:oddHBand="0"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bottom w:val="single" w:sz="8" w:space="0" w:color="73B763" w:themeColor="accent3"/>
            </w:tcBorders>
            <w:shd w:val="clear" w:color="auto" w:fill="36602C" w:themeFill="accent3" w:themeFillShade="80"/>
            <w:vAlign w:val="center"/>
          </w:tcPr>
          <w:p w:rsidR="001C5AE7" w:rsidRPr="00BB231B" w:rsidRDefault="001C5AE7" w:rsidP="001D0B6E">
            <w:pPr>
              <w:spacing w:before="0"/>
              <w:jc w:val="center"/>
              <w:rPr>
                <w:rStyle w:val="nfasissutil"/>
                <w:rFonts w:ascii="Times New Roman" w:hAnsi="Times New Roman" w:cs="Times New Roman"/>
                <w:b w:val="0"/>
                <w:color w:val="FFFFFF" w:themeColor="background2"/>
                <w:sz w:val="24"/>
                <w:szCs w:val="18"/>
                <w:lang w:val="es-DO"/>
              </w:rPr>
            </w:pPr>
            <w:r w:rsidRPr="00BB231B">
              <w:rPr>
                <w:rStyle w:val="nfasissutil"/>
                <w:rFonts w:ascii="Times New Roman" w:hAnsi="Times New Roman" w:cs="Times New Roman"/>
                <w:b w:val="0"/>
                <w:color w:val="FFFFFF" w:themeColor="background2"/>
                <w:sz w:val="24"/>
                <w:szCs w:val="18"/>
                <w:lang w:val="es-DO"/>
              </w:rPr>
              <w:t>NOMBRE</w:t>
            </w:r>
          </w:p>
        </w:tc>
        <w:tc>
          <w:tcPr>
            <w:tcW w:w="4817" w:type="dxa"/>
            <w:tcBorders>
              <w:bottom w:val="single" w:sz="8" w:space="0" w:color="73B763" w:themeColor="accent3"/>
            </w:tcBorders>
            <w:shd w:val="clear" w:color="auto" w:fill="36602C" w:themeFill="accent3" w:themeFillShade="80"/>
            <w:vAlign w:val="center"/>
          </w:tcPr>
          <w:p w:rsidR="001C5AE7" w:rsidRPr="00BB231B" w:rsidRDefault="001C5AE7" w:rsidP="001D0B6E">
            <w:pPr>
              <w:spacing w:before="0"/>
              <w:jc w:val="center"/>
              <w:cnfStyle w:val="100000000000" w:firstRow="1" w:lastRow="0" w:firstColumn="0" w:lastColumn="0" w:oddVBand="0" w:evenVBand="0" w:oddHBand="0" w:evenHBand="0" w:firstRowFirstColumn="0" w:firstRowLastColumn="0" w:lastRowFirstColumn="0" w:lastRowLastColumn="0"/>
              <w:rPr>
                <w:rStyle w:val="nfasissutil"/>
                <w:rFonts w:ascii="Times New Roman" w:hAnsi="Times New Roman" w:cs="Times New Roman"/>
                <w:b w:val="0"/>
                <w:color w:val="FFFFFF" w:themeColor="background2"/>
                <w:sz w:val="24"/>
                <w:szCs w:val="18"/>
                <w:lang w:val="es-DO"/>
              </w:rPr>
            </w:pPr>
            <w:r w:rsidRPr="00BB231B">
              <w:rPr>
                <w:rStyle w:val="nfasissutil"/>
                <w:rFonts w:ascii="Times New Roman" w:hAnsi="Times New Roman" w:cs="Times New Roman"/>
                <w:b w:val="0"/>
                <w:color w:val="FFFFFF" w:themeColor="background2"/>
                <w:sz w:val="24"/>
                <w:szCs w:val="18"/>
                <w:lang w:val="es-DO"/>
              </w:rPr>
              <w:t>CARGOS</w:t>
            </w:r>
          </w:p>
        </w:tc>
      </w:tr>
      <w:tr w:rsidR="001C5AE7" w:rsidRPr="00BB231B" w:rsidTr="000A29F1">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515C03"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w:t>
            </w:r>
            <w:r w:rsidR="001C5AE7" w:rsidRPr="00BB231B">
              <w:rPr>
                <w:rStyle w:val="nfasissutil"/>
                <w:rFonts w:ascii="Times New Roman" w:hAnsi="Times New Roman" w:cs="Times New Roman"/>
                <w:b w:val="0"/>
                <w:color w:val="000000" w:themeColor="text1"/>
                <w:sz w:val="22"/>
                <w:szCs w:val="18"/>
                <w:lang w:val="es-DO"/>
              </w:rPr>
              <w:t xml:space="preserve">.  Joaquín </w:t>
            </w:r>
            <w:proofErr w:type="spellStart"/>
            <w:r w:rsidR="001C5AE7" w:rsidRPr="00BB231B">
              <w:rPr>
                <w:rStyle w:val="nfasissutil"/>
                <w:rFonts w:ascii="Times New Roman" w:hAnsi="Times New Roman" w:cs="Times New Roman"/>
                <w:b w:val="0"/>
                <w:color w:val="000000" w:themeColor="text1"/>
                <w:sz w:val="22"/>
                <w:szCs w:val="18"/>
                <w:lang w:val="es-DO"/>
              </w:rPr>
              <w:t>Gonzalez</w:t>
            </w:r>
            <w:proofErr w:type="spellEnd"/>
            <w:r w:rsidR="001C5AE7" w:rsidRPr="00BB231B">
              <w:rPr>
                <w:rStyle w:val="nfasissutil"/>
                <w:rFonts w:ascii="Times New Roman" w:hAnsi="Times New Roman" w:cs="Times New Roman"/>
                <w:b w:val="0"/>
                <w:color w:val="000000" w:themeColor="text1"/>
                <w:sz w:val="22"/>
                <w:szCs w:val="18"/>
                <w:lang w:val="es-DO"/>
              </w:rPr>
              <w:t xml:space="preserve"> </w:t>
            </w:r>
          </w:p>
        </w:tc>
        <w:tc>
          <w:tcPr>
            <w:tcW w:w="4817" w:type="dxa"/>
            <w:tcBorders>
              <w:left w:val="single" w:sz="8" w:space="0" w:color="73B763" w:themeColor="accent3"/>
            </w:tcBorders>
            <w:vAlign w:val="center"/>
          </w:tcPr>
          <w:p w:rsidR="001C5AE7" w:rsidRPr="00BB231B" w:rsidRDefault="001C5AE7" w:rsidP="001D0B6E">
            <w:pPr>
              <w:spacing w:before="0"/>
              <w:jc w:val="center"/>
              <w:cnfStyle w:val="000000100000" w:firstRow="0" w:lastRow="0" w:firstColumn="0" w:lastColumn="0" w:oddVBand="0" w:evenVBand="0" w:oddHBand="1"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Sub   Director de Auditoría Interna</w:t>
            </w:r>
            <w:r w:rsidR="000A29F1" w:rsidRPr="00BB231B">
              <w:rPr>
                <w:rStyle w:val="nfasissutil"/>
                <w:rFonts w:ascii="Times New Roman" w:hAnsi="Times New Roman" w:cs="Times New Roman"/>
                <w:b/>
                <w:color w:val="000000" w:themeColor="text1"/>
                <w:sz w:val="22"/>
                <w:szCs w:val="18"/>
                <w:lang w:val="es-DO"/>
              </w:rPr>
              <w:t xml:space="preserve"> Gubernamental</w:t>
            </w:r>
          </w:p>
        </w:tc>
      </w:tr>
      <w:tr w:rsidR="001C5AE7" w:rsidRPr="00BB231B" w:rsidTr="000A29F1">
        <w:trPr>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top w:val="single" w:sz="8" w:space="0" w:color="73B763" w:themeColor="accent3"/>
              <w:bottom w:val="single" w:sz="8" w:space="0" w:color="73B763" w:themeColor="accent3"/>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Licda. Rafaela Gomez</w:t>
            </w:r>
          </w:p>
        </w:tc>
        <w:tc>
          <w:tcPr>
            <w:tcW w:w="4817" w:type="dxa"/>
            <w:tcBorders>
              <w:top w:val="single" w:sz="8" w:space="0" w:color="73B763" w:themeColor="accent3"/>
              <w:left w:val="single" w:sz="8" w:space="0" w:color="73B763" w:themeColor="accent3"/>
              <w:bottom w:val="single" w:sz="8" w:space="0" w:color="73B763" w:themeColor="accent3"/>
            </w:tcBorders>
            <w:vAlign w:val="center"/>
          </w:tcPr>
          <w:p w:rsidR="001C5AE7" w:rsidRPr="00BB231B" w:rsidRDefault="008A1D90" w:rsidP="008A1D90">
            <w:pPr>
              <w:spacing w:before="0"/>
              <w:jc w:val="center"/>
              <w:cnfStyle w:val="000000000000" w:firstRow="0" w:lastRow="0" w:firstColumn="0" w:lastColumn="0" w:oddVBand="0" w:evenVBand="0" w:oddHBand="0"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Directora de</w:t>
            </w:r>
            <w:r w:rsidR="001C5AE7" w:rsidRPr="00BB231B">
              <w:rPr>
                <w:rStyle w:val="nfasissutil"/>
                <w:rFonts w:ascii="Times New Roman" w:hAnsi="Times New Roman" w:cs="Times New Roman"/>
                <w:b/>
                <w:color w:val="000000" w:themeColor="text1"/>
                <w:sz w:val="22"/>
                <w:szCs w:val="18"/>
                <w:lang w:val="es-DO"/>
              </w:rPr>
              <w:t xml:space="preserve"> Auditoría</w:t>
            </w:r>
            <w:r w:rsidR="004D6986" w:rsidRPr="00BB231B">
              <w:rPr>
                <w:rStyle w:val="nfasissutil"/>
                <w:rFonts w:ascii="Times New Roman" w:hAnsi="Times New Roman" w:cs="Times New Roman"/>
                <w:b/>
                <w:color w:val="000000" w:themeColor="text1"/>
                <w:sz w:val="22"/>
                <w:szCs w:val="18"/>
                <w:lang w:val="es-DO"/>
              </w:rPr>
              <w:t>s</w:t>
            </w:r>
            <w:r w:rsidR="001C5AE7" w:rsidRPr="00BB231B">
              <w:rPr>
                <w:rStyle w:val="nfasissutil"/>
                <w:rFonts w:ascii="Times New Roman" w:hAnsi="Times New Roman" w:cs="Times New Roman"/>
                <w:b/>
                <w:color w:val="000000" w:themeColor="text1"/>
                <w:sz w:val="22"/>
                <w:szCs w:val="18"/>
                <w:lang w:val="es-DO"/>
              </w:rPr>
              <w:t xml:space="preserve">  Especiales</w:t>
            </w:r>
            <w:r w:rsidRPr="00BB231B">
              <w:rPr>
                <w:rStyle w:val="nfasissutil"/>
                <w:rFonts w:ascii="Times New Roman" w:hAnsi="Times New Roman" w:cs="Times New Roman"/>
                <w:b/>
                <w:color w:val="000000" w:themeColor="text1"/>
                <w:sz w:val="22"/>
                <w:szCs w:val="18"/>
                <w:lang w:val="es-DO"/>
              </w:rPr>
              <w:t xml:space="preserve"> e Investigación</w:t>
            </w:r>
          </w:p>
        </w:tc>
      </w:tr>
      <w:tr w:rsidR="001C5AE7" w:rsidRPr="00BB231B" w:rsidTr="000A29F1">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 xml:space="preserve">Licda. Sandy </w:t>
            </w:r>
            <w:proofErr w:type="spellStart"/>
            <w:r w:rsidRPr="00BB231B">
              <w:rPr>
                <w:rStyle w:val="nfasissutil"/>
                <w:rFonts w:ascii="Times New Roman" w:hAnsi="Times New Roman" w:cs="Times New Roman"/>
                <w:b w:val="0"/>
                <w:color w:val="000000" w:themeColor="text1"/>
                <w:sz w:val="22"/>
                <w:szCs w:val="18"/>
                <w:lang w:val="es-DO"/>
              </w:rPr>
              <w:t>Sanchez</w:t>
            </w:r>
            <w:proofErr w:type="spellEnd"/>
          </w:p>
        </w:tc>
        <w:tc>
          <w:tcPr>
            <w:tcW w:w="4817" w:type="dxa"/>
            <w:tcBorders>
              <w:left w:val="single" w:sz="8" w:space="0" w:color="73B763" w:themeColor="accent3"/>
            </w:tcBorders>
            <w:vAlign w:val="center"/>
          </w:tcPr>
          <w:p w:rsidR="001C5AE7" w:rsidRPr="00BB231B" w:rsidRDefault="001C5AE7" w:rsidP="001D0B6E">
            <w:pPr>
              <w:spacing w:before="0"/>
              <w:jc w:val="center"/>
              <w:cnfStyle w:val="000000100000" w:firstRow="0" w:lastRow="0" w:firstColumn="0" w:lastColumn="0" w:oddVBand="0" w:evenVBand="0" w:oddHBand="1"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D</w:t>
            </w:r>
            <w:r w:rsidR="006A4623" w:rsidRPr="00BB231B">
              <w:rPr>
                <w:rStyle w:val="nfasissutil"/>
                <w:rFonts w:ascii="Times New Roman" w:hAnsi="Times New Roman" w:cs="Times New Roman"/>
                <w:b/>
                <w:color w:val="000000" w:themeColor="text1"/>
                <w:sz w:val="22"/>
                <w:szCs w:val="18"/>
                <w:lang w:val="es-DO"/>
              </w:rPr>
              <w:t>irectora de Revisión y Control de Calidad</w:t>
            </w:r>
          </w:p>
        </w:tc>
      </w:tr>
      <w:tr w:rsidR="001C5AE7" w:rsidRPr="00BB231B" w:rsidTr="000A29F1">
        <w:trPr>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top w:val="single" w:sz="8" w:space="0" w:color="73B763" w:themeColor="accent3"/>
              <w:bottom w:val="single" w:sz="8" w:space="0" w:color="73B763" w:themeColor="accent3"/>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 xml:space="preserve">Lic. </w:t>
            </w:r>
            <w:proofErr w:type="spellStart"/>
            <w:r w:rsidRPr="00BB231B">
              <w:rPr>
                <w:rStyle w:val="nfasissutil"/>
                <w:rFonts w:ascii="Times New Roman" w:hAnsi="Times New Roman" w:cs="Times New Roman"/>
                <w:b w:val="0"/>
                <w:color w:val="000000" w:themeColor="text1"/>
                <w:sz w:val="22"/>
                <w:szCs w:val="18"/>
                <w:lang w:val="es-DO"/>
              </w:rPr>
              <w:t>Gefferson</w:t>
            </w:r>
            <w:proofErr w:type="spellEnd"/>
            <w:r w:rsidRPr="00BB231B">
              <w:rPr>
                <w:rStyle w:val="nfasissutil"/>
                <w:rFonts w:ascii="Times New Roman" w:hAnsi="Times New Roman" w:cs="Times New Roman"/>
                <w:b w:val="0"/>
                <w:color w:val="000000" w:themeColor="text1"/>
                <w:sz w:val="22"/>
                <w:szCs w:val="18"/>
                <w:lang w:val="es-DO"/>
              </w:rPr>
              <w:t xml:space="preserve"> Báez </w:t>
            </w:r>
          </w:p>
        </w:tc>
        <w:tc>
          <w:tcPr>
            <w:tcW w:w="4817" w:type="dxa"/>
            <w:tcBorders>
              <w:top w:val="single" w:sz="8" w:space="0" w:color="73B763" w:themeColor="accent3"/>
              <w:left w:val="single" w:sz="8" w:space="0" w:color="73B763" w:themeColor="accent3"/>
              <w:bottom w:val="single" w:sz="8" w:space="0" w:color="73B763" w:themeColor="accent3"/>
            </w:tcBorders>
            <w:vAlign w:val="center"/>
          </w:tcPr>
          <w:p w:rsidR="001C5AE7" w:rsidRPr="00BB231B" w:rsidRDefault="001C5AE7" w:rsidP="001D0B6E">
            <w:pPr>
              <w:spacing w:before="0"/>
              <w:jc w:val="center"/>
              <w:cnfStyle w:val="000000000000" w:firstRow="0" w:lastRow="0" w:firstColumn="0" w:lastColumn="0" w:oddVBand="0" w:evenVBand="0" w:oddHBand="0"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 xml:space="preserve">Director de </w:t>
            </w:r>
            <w:r w:rsidR="008A1D90" w:rsidRPr="00BB231B">
              <w:rPr>
                <w:rStyle w:val="nfasissutil"/>
                <w:rFonts w:ascii="Times New Roman" w:hAnsi="Times New Roman" w:cs="Times New Roman"/>
                <w:b/>
                <w:color w:val="000000" w:themeColor="text1"/>
                <w:sz w:val="22"/>
                <w:szCs w:val="18"/>
                <w:lang w:val="es-DO"/>
              </w:rPr>
              <w:t xml:space="preserve">Desarrollo </w:t>
            </w:r>
            <w:r w:rsidRPr="00BB231B">
              <w:rPr>
                <w:rStyle w:val="nfasissutil"/>
                <w:rFonts w:ascii="Times New Roman" w:hAnsi="Times New Roman" w:cs="Times New Roman"/>
                <w:b/>
                <w:color w:val="000000" w:themeColor="text1"/>
                <w:sz w:val="22"/>
                <w:szCs w:val="18"/>
                <w:lang w:val="es-DO"/>
              </w:rPr>
              <w:t>Normativo</w:t>
            </w:r>
          </w:p>
        </w:tc>
      </w:tr>
      <w:tr w:rsidR="001C5AE7" w:rsidRPr="00BB231B" w:rsidTr="000A29F1">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 xml:space="preserve">Licda. </w:t>
            </w:r>
            <w:proofErr w:type="spellStart"/>
            <w:r w:rsidRPr="00BB231B">
              <w:rPr>
                <w:rStyle w:val="nfasissutil"/>
                <w:rFonts w:ascii="Times New Roman" w:hAnsi="Times New Roman" w:cs="Times New Roman"/>
                <w:b w:val="0"/>
                <w:color w:val="000000" w:themeColor="text1"/>
                <w:sz w:val="22"/>
                <w:szCs w:val="18"/>
                <w:lang w:val="es-DO"/>
              </w:rPr>
              <w:t>Rosanna</w:t>
            </w:r>
            <w:proofErr w:type="spellEnd"/>
            <w:r w:rsidRPr="00BB231B">
              <w:rPr>
                <w:rStyle w:val="nfasissutil"/>
                <w:rFonts w:ascii="Times New Roman" w:hAnsi="Times New Roman" w:cs="Times New Roman"/>
                <w:b w:val="0"/>
                <w:color w:val="000000" w:themeColor="text1"/>
                <w:sz w:val="22"/>
                <w:szCs w:val="18"/>
                <w:lang w:val="es-DO"/>
              </w:rPr>
              <w:t xml:space="preserve"> </w:t>
            </w:r>
            <w:proofErr w:type="spellStart"/>
            <w:r w:rsidRPr="00BB231B">
              <w:rPr>
                <w:rStyle w:val="nfasissutil"/>
                <w:rFonts w:ascii="Times New Roman" w:hAnsi="Times New Roman" w:cs="Times New Roman"/>
                <w:b w:val="0"/>
                <w:color w:val="000000" w:themeColor="text1"/>
                <w:sz w:val="22"/>
                <w:szCs w:val="18"/>
                <w:lang w:val="es-DO"/>
              </w:rPr>
              <w:t>Sanchez</w:t>
            </w:r>
            <w:proofErr w:type="spellEnd"/>
          </w:p>
        </w:tc>
        <w:tc>
          <w:tcPr>
            <w:tcW w:w="4817" w:type="dxa"/>
            <w:tcBorders>
              <w:left w:val="single" w:sz="8" w:space="0" w:color="73B763" w:themeColor="accent3"/>
            </w:tcBorders>
            <w:vAlign w:val="center"/>
          </w:tcPr>
          <w:p w:rsidR="001C5AE7" w:rsidRPr="00BB231B" w:rsidRDefault="001C5AE7" w:rsidP="001D0B6E">
            <w:pPr>
              <w:spacing w:before="0"/>
              <w:jc w:val="center"/>
              <w:cnfStyle w:val="000000100000" w:firstRow="0" w:lastRow="0" w:firstColumn="0" w:lastColumn="0" w:oddVBand="0" w:evenVBand="0" w:oddHBand="1"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Directora Administrativa y Financiera</w:t>
            </w:r>
          </w:p>
        </w:tc>
      </w:tr>
      <w:tr w:rsidR="001C5AE7" w:rsidRPr="00BB231B" w:rsidTr="000A29F1">
        <w:trPr>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top w:val="single" w:sz="8" w:space="0" w:color="73B763" w:themeColor="accent3"/>
              <w:bottom w:val="single" w:sz="8" w:space="0" w:color="73B763" w:themeColor="accent3"/>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Licda. Hilda  Hernández</w:t>
            </w:r>
          </w:p>
        </w:tc>
        <w:tc>
          <w:tcPr>
            <w:tcW w:w="4817" w:type="dxa"/>
            <w:tcBorders>
              <w:top w:val="single" w:sz="8" w:space="0" w:color="73B763" w:themeColor="accent3"/>
              <w:left w:val="single" w:sz="8" w:space="0" w:color="73B763" w:themeColor="accent3"/>
              <w:bottom w:val="single" w:sz="8" w:space="0" w:color="73B763" w:themeColor="accent3"/>
            </w:tcBorders>
            <w:vAlign w:val="center"/>
          </w:tcPr>
          <w:p w:rsidR="001C5AE7" w:rsidRPr="00BB231B" w:rsidRDefault="001C5AE7" w:rsidP="001D0B6E">
            <w:pPr>
              <w:spacing w:before="0"/>
              <w:jc w:val="center"/>
              <w:cnfStyle w:val="000000000000" w:firstRow="0" w:lastRow="0" w:firstColumn="0" w:lastColumn="0" w:oddVBand="0" w:evenVBand="0" w:oddHBand="0"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Directora de Recursos Humanos</w:t>
            </w:r>
          </w:p>
        </w:tc>
      </w:tr>
      <w:tr w:rsidR="001C5AE7" w:rsidRPr="00BB231B" w:rsidTr="000A29F1">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Licda. Juana Vélez</w:t>
            </w:r>
          </w:p>
        </w:tc>
        <w:tc>
          <w:tcPr>
            <w:tcW w:w="4817" w:type="dxa"/>
            <w:tcBorders>
              <w:left w:val="single" w:sz="8" w:space="0" w:color="73B763" w:themeColor="accent3"/>
            </w:tcBorders>
            <w:vAlign w:val="center"/>
          </w:tcPr>
          <w:p w:rsidR="001C5AE7" w:rsidRPr="00BB231B" w:rsidRDefault="001C5AE7" w:rsidP="001D0B6E">
            <w:pPr>
              <w:spacing w:before="0"/>
              <w:jc w:val="center"/>
              <w:cnfStyle w:val="000000100000" w:firstRow="0" w:lastRow="0" w:firstColumn="0" w:lastColumn="0" w:oddVBand="0" w:evenVBand="0" w:oddHBand="1"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Consultora Jurídica</w:t>
            </w:r>
          </w:p>
        </w:tc>
      </w:tr>
      <w:tr w:rsidR="001C5AE7" w:rsidRPr="00BB231B" w:rsidTr="000A29F1">
        <w:trPr>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Licda. Carmen Matilde Mejía</w:t>
            </w:r>
          </w:p>
        </w:tc>
        <w:tc>
          <w:tcPr>
            <w:tcW w:w="4817" w:type="dxa"/>
            <w:tcBorders>
              <w:left w:val="single" w:sz="8" w:space="0" w:color="73B763" w:themeColor="accent3"/>
            </w:tcBorders>
            <w:vAlign w:val="center"/>
          </w:tcPr>
          <w:p w:rsidR="001C5AE7" w:rsidRPr="00BB231B" w:rsidRDefault="001C5AE7" w:rsidP="001D0B6E">
            <w:pPr>
              <w:spacing w:before="0"/>
              <w:jc w:val="center"/>
              <w:cnfStyle w:val="000000000000" w:firstRow="0" w:lastRow="0" w:firstColumn="0" w:lastColumn="0" w:oddVBand="0" w:evenVBand="0" w:oddHBand="0"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Directora de Tecnología  de la Información</w:t>
            </w:r>
          </w:p>
        </w:tc>
      </w:tr>
      <w:tr w:rsidR="006A4623" w:rsidRPr="00BB231B" w:rsidTr="000A29F1">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6A4623" w:rsidRPr="00BB231B" w:rsidRDefault="006A4623"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lastRenderedPageBreak/>
              <w:t>Lic. Carlos Tomás Del Pozo</w:t>
            </w:r>
          </w:p>
        </w:tc>
        <w:tc>
          <w:tcPr>
            <w:tcW w:w="4817" w:type="dxa"/>
            <w:tcBorders>
              <w:left w:val="single" w:sz="8" w:space="0" w:color="73B763" w:themeColor="accent3"/>
            </w:tcBorders>
            <w:vAlign w:val="center"/>
          </w:tcPr>
          <w:p w:rsidR="006A4623" w:rsidRPr="00BB231B" w:rsidRDefault="006A4623" w:rsidP="001D0B6E">
            <w:pPr>
              <w:spacing w:before="0"/>
              <w:jc w:val="center"/>
              <w:cnfStyle w:val="000000100000" w:firstRow="0" w:lastRow="0" w:firstColumn="0" w:lastColumn="0" w:oddVBand="0" w:evenVBand="0" w:oddHBand="1"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Encargado de Comunicaciones</w:t>
            </w:r>
          </w:p>
        </w:tc>
      </w:tr>
      <w:tr w:rsidR="001C5AE7" w:rsidRPr="00BB231B" w:rsidTr="000A29F1">
        <w:trPr>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Licda. Edita Holguin</w:t>
            </w:r>
            <w:r w:rsidR="00F94885">
              <w:rPr>
                <w:rStyle w:val="nfasissutil"/>
                <w:rFonts w:ascii="Times New Roman" w:hAnsi="Times New Roman" w:cs="Times New Roman"/>
                <w:b w:val="0"/>
                <w:color w:val="000000" w:themeColor="text1"/>
                <w:sz w:val="22"/>
                <w:szCs w:val="18"/>
                <w:lang w:val="es-DO"/>
              </w:rPr>
              <w:t xml:space="preserve"> Vásquez</w:t>
            </w:r>
          </w:p>
        </w:tc>
        <w:tc>
          <w:tcPr>
            <w:tcW w:w="4817" w:type="dxa"/>
            <w:tcBorders>
              <w:left w:val="single" w:sz="8" w:space="0" w:color="73B763" w:themeColor="accent3"/>
            </w:tcBorders>
            <w:vAlign w:val="center"/>
          </w:tcPr>
          <w:p w:rsidR="001C5AE7" w:rsidRPr="00BB231B" w:rsidRDefault="001C5AE7" w:rsidP="001D0B6E">
            <w:pPr>
              <w:spacing w:before="0"/>
              <w:jc w:val="center"/>
              <w:cnfStyle w:val="000000000000" w:firstRow="0" w:lastRow="0" w:firstColumn="0" w:lastColumn="0" w:oddVBand="0" w:evenVBand="0" w:oddHBand="0"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Encargada de  Planificación y Desarrollo</w:t>
            </w:r>
          </w:p>
        </w:tc>
      </w:tr>
      <w:tr w:rsidR="001C5AE7" w:rsidRPr="00BB231B" w:rsidTr="000A29F1">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 Ramón Rosado</w:t>
            </w:r>
          </w:p>
        </w:tc>
        <w:tc>
          <w:tcPr>
            <w:tcW w:w="4817" w:type="dxa"/>
            <w:tcBorders>
              <w:left w:val="single" w:sz="8" w:space="0" w:color="73B763" w:themeColor="accent3"/>
            </w:tcBorders>
            <w:vAlign w:val="center"/>
          </w:tcPr>
          <w:p w:rsidR="001C5AE7" w:rsidRPr="00BB231B" w:rsidRDefault="001C5AE7" w:rsidP="001D0B6E">
            <w:pPr>
              <w:spacing w:before="0"/>
              <w:jc w:val="center"/>
              <w:cnfStyle w:val="000000100000" w:firstRow="0" w:lastRow="0" w:firstColumn="0" w:lastColumn="0" w:oddVBand="0" w:evenVBand="0" w:oddHBand="1"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Director Centro de Capacitación</w:t>
            </w:r>
          </w:p>
        </w:tc>
      </w:tr>
      <w:tr w:rsidR="001C5AE7" w:rsidRPr="00BB231B" w:rsidTr="000A29F1">
        <w:trPr>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1C5AE7"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 xml:space="preserve">Licda. </w:t>
            </w:r>
            <w:proofErr w:type="spellStart"/>
            <w:r w:rsidRPr="00BB231B">
              <w:rPr>
                <w:rStyle w:val="nfasissutil"/>
                <w:rFonts w:ascii="Times New Roman" w:hAnsi="Times New Roman" w:cs="Times New Roman"/>
                <w:b w:val="0"/>
                <w:color w:val="000000" w:themeColor="text1"/>
                <w:sz w:val="22"/>
                <w:szCs w:val="18"/>
                <w:lang w:val="es-DO"/>
              </w:rPr>
              <w:t>Arianna</w:t>
            </w:r>
            <w:proofErr w:type="spellEnd"/>
            <w:r w:rsidRPr="00BB231B">
              <w:rPr>
                <w:rStyle w:val="nfasissutil"/>
                <w:rFonts w:ascii="Times New Roman" w:hAnsi="Times New Roman" w:cs="Times New Roman"/>
                <w:b w:val="0"/>
                <w:color w:val="000000" w:themeColor="text1"/>
                <w:sz w:val="22"/>
                <w:szCs w:val="18"/>
                <w:lang w:val="es-DO"/>
              </w:rPr>
              <w:t xml:space="preserve"> Labrada</w:t>
            </w:r>
          </w:p>
        </w:tc>
        <w:tc>
          <w:tcPr>
            <w:tcW w:w="4817" w:type="dxa"/>
            <w:tcBorders>
              <w:left w:val="single" w:sz="8" w:space="0" w:color="73B763" w:themeColor="accent3"/>
            </w:tcBorders>
            <w:vAlign w:val="center"/>
          </w:tcPr>
          <w:p w:rsidR="001C5AE7" w:rsidRPr="00BB231B" w:rsidRDefault="001C5AE7" w:rsidP="001D0B6E">
            <w:pPr>
              <w:spacing w:before="0"/>
              <w:jc w:val="center"/>
              <w:cnfStyle w:val="000000000000" w:firstRow="0" w:lastRow="0" w:firstColumn="0" w:lastColumn="0" w:oddVBand="0" w:evenVBand="0" w:oddHBand="0"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Encargada de Oficina  Libre  Acceso a la Información</w:t>
            </w:r>
          </w:p>
        </w:tc>
      </w:tr>
      <w:tr w:rsidR="001C5AE7" w:rsidRPr="00BB231B" w:rsidTr="000A29F1">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3083" w:type="dxa"/>
            <w:tcBorders>
              <w:right w:val="single" w:sz="8" w:space="0" w:color="73B763" w:themeColor="accent3"/>
            </w:tcBorders>
            <w:vAlign w:val="center"/>
          </w:tcPr>
          <w:p w:rsidR="001C5AE7" w:rsidRPr="00BB231B" w:rsidRDefault="00515C03" w:rsidP="001D0B6E">
            <w:pPr>
              <w:spacing w:before="0"/>
              <w:jc w:val="center"/>
              <w:rPr>
                <w:rStyle w:val="nfasissutil"/>
                <w:rFonts w:ascii="Times New Roman" w:hAnsi="Times New Roman" w:cs="Times New Roman"/>
                <w:b w:val="0"/>
                <w:color w:val="000000" w:themeColor="text1"/>
                <w:sz w:val="22"/>
                <w:szCs w:val="18"/>
                <w:lang w:val="es-DO"/>
              </w:rPr>
            </w:pPr>
            <w:r w:rsidRPr="00BB231B">
              <w:rPr>
                <w:rStyle w:val="nfasissutil"/>
                <w:rFonts w:ascii="Times New Roman" w:hAnsi="Times New Roman" w:cs="Times New Roman"/>
                <w:b w:val="0"/>
                <w:color w:val="000000" w:themeColor="text1"/>
                <w:sz w:val="22"/>
                <w:szCs w:val="18"/>
                <w:lang w:val="es-DO"/>
              </w:rPr>
              <w:t>Lic</w:t>
            </w:r>
            <w:r w:rsidR="001C5AE7" w:rsidRPr="00BB231B">
              <w:rPr>
                <w:rStyle w:val="nfasissutil"/>
                <w:rFonts w:ascii="Times New Roman" w:hAnsi="Times New Roman" w:cs="Times New Roman"/>
                <w:b w:val="0"/>
                <w:color w:val="000000" w:themeColor="text1"/>
                <w:sz w:val="22"/>
                <w:szCs w:val="18"/>
                <w:lang w:val="es-DO"/>
              </w:rPr>
              <w:t xml:space="preserve">. </w:t>
            </w:r>
            <w:proofErr w:type="spellStart"/>
            <w:r w:rsidR="001C5AE7" w:rsidRPr="00BB231B">
              <w:rPr>
                <w:rStyle w:val="nfasissutil"/>
                <w:rFonts w:ascii="Times New Roman" w:hAnsi="Times New Roman" w:cs="Times New Roman"/>
                <w:b w:val="0"/>
                <w:color w:val="000000" w:themeColor="text1"/>
                <w:sz w:val="22"/>
                <w:szCs w:val="18"/>
                <w:lang w:val="es-DO"/>
              </w:rPr>
              <w:t>Amviorix</w:t>
            </w:r>
            <w:proofErr w:type="spellEnd"/>
            <w:r w:rsidR="001C5AE7" w:rsidRPr="00BB231B">
              <w:rPr>
                <w:rStyle w:val="nfasissutil"/>
                <w:rFonts w:ascii="Times New Roman" w:hAnsi="Times New Roman" w:cs="Times New Roman"/>
                <w:b w:val="0"/>
                <w:color w:val="000000" w:themeColor="text1"/>
                <w:sz w:val="22"/>
                <w:szCs w:val="18"/>
                <w:lang w:val="es-DO"/>
              </w:rPr>
              <w:t xml:space="preserve"> Feliz de los Santos</w:t>
            </w:r>
          </w:p>
        </w:tc>
        <w:tc>
          <w:tcPr>
            <w:tcW w:w="4817" w:type="dxa"/>
            <w:tcBorders>
              <w:left w:val="single" w:sz="8" w:space="0" w:color="73B763" w:themeColor="accent3"/>
            </w:tcBorders>
            <w:vAlign w:val="center"/>
          </w:tcPr>
          <w:p w:rsidR="001C5AE7" w:rsidRPr="00BB231B" w:rsidRDefault="001C5AE7" w:rsidP="008A1D90">
            <w:pPr>
              <w:spacing w:before="0"/>
              <w:jc w:val="center"/>
              <w:cnfStyle w:val="000000100000" w:firstRow="0" w:lastRow="0" w:firstColumn="0" w:lastColumn="0" w:oddVBand="0" w:evenVBand="0" w:oddHBand="1" w:evenHBand="0" w:firstRowFirstColumn="0" w:firstRowLastColumn="0" w:lastRowFirstColumn="0" w:lastRowLastColumn="0"/>
              <w:rPr>
                <w:rStyle w:val="nfasissutil"/>
                <w:rFonts w:ascii="Times New Roman" w:hAnsi="Times New Roman" w:cs="Times New Roman"/>
                <w:b/>
                <w:color w:val="000000" w:themeColor="text1"/>
                <w:sz w:val="22"/>
                <w:szCs w:val="18"/>
                <w:lang w:val="es-DO"/>
              </w:rPr>
            </w:pPr>
            <w:r w:rsidRPr="00BB231B">
              <w:rPr>
                <w:rStyle w:val="nfasissutil"/>
                <w:rFonts w:ascii="Times New Roman" w:hAnsi="Times New Roman" w:cs="Times New Roman"/>
                <w:b/>
                <w:color w:val="000000" w:themeColor="text1"/>
                <w:sz w:val="22"/>
                <w:szCs w:val="18"/>
                <w:lang w:val="es-DO"/>
              </w:rPr>
              <w:t xml:space="preserve">Encargado de </w:t>
            </w:r>
            <w:r w:rsidR="008A1D90" w:rsidRPr="00BB231B">
              <w:rPr>
                <w:rStyle w:val="nfasissutil"/>
                <w:rFonts w:ascii="Times New Roman" w:hAnsi="Times New Roman" w:cs="Times New Roman"/>
                <w:b/>
                <w:color w:val="000000" w:themeColor="text1"/>
                <w:sz w:val="22"/>
                <w:szCs w:val="18"/>
                <w:lang w:val="es-DO"/>
              </w:rPr>
              <w:t>Registro</w:t>
            </w:r>
            <w:r w:rsidRPr="00BB231B">
              <w:rPr>
                <w:rStyle w:val="nfasissutil"/>
                <w:rFonts w:ascii="Times New Roman" w:hAnsi="Times New Roman" w:cs="Times New Roman"/>
                <w:b/>
                <w:color w:val="000000" w:themeColor="text1"/>
                <w:sz w:val="22"/>
                <w:szCs w:val="18"/>
                <w:lang w:val="es-DO"/>
              </w:rPr>
              <w:t xml:space="preserve"> de Contratos</w:t>
            </w:r>
          </w:p>
        </w:tc>
      </w:tr>
    </w:tbl>
    <w:p w:rsidR="001D2A5A" w:rsidRPr="00BB231B" w:rsidRDefault="001D2A5A" w:rsidP="001D2A5A">
      <w:pPr>
        <w:pStyle w:val="Normal-blanco"/>
        <w:spacing w:before="0" w:after="0"/>
        <w:ind w:right="199"/>
        <w:outlineLvl w:val="1"/>
        <w:rPr>
          <w:rStyle w:val="nfasissutil"/>
          <w:rFonts w:ascii="Times New Roman" w:hAnsi="Times New Roman" w:cs="Times New Roman"/>
          <w:b/>
          <w:color w:val="000000" w:themeColor="text1"/>
          <w:sz w:val="22"/>
          <w:u w:val="single"/>
          <w:lang w:val="es-DO"/>
        </w:rPr>
      </w:pPr>
    </w:p>
    <w:p w:rsidR="004D6986" w:rsidRPr="00BB231B" w:rsidRDefault="004D6986" w:rsidP="001D2A5A">
      <w:pPr>
        <w:pStyle w:val="Normal-blanco"/>
        <w:spacing w:before="0" w:after="0"/>
        <w:ind w:right="199"/>
        <w:outlineLvl w:val="1"/>
        <w:rPr>
          <w:rStyle w:val="nfasissutil"/>
          <w:rFonts w:ascii="Times New Roman" w:hAnsi="Times New Roman" w:cs="Times New Roman"/>
          <w:b/>
          <w:color w:val="000000" w:themeColor="text1"/>
          <w:sz w:val="22"/>
          <w:u w:val="single"/>
          <w:lang w:val="es-DO"/>
        </w:rPr>
      </w:pPr>
    </w:p>
    <w:p w:rsidR="00D6364E" w:rsidRPr="00BB231B" w:rsidRDefault="00D6364E" w:rsidP="00801A0C">
      <w:pPr>
        <w:pStyle w:val="Normal-blanco"/>
        <w:spacing w:before="0" w:after="0" w:line="480" w:lineRule="auto"/>
        <w:ind w:right="199"/>
        <w:rPr>
          <w:rStyle w:val="nfasissutil"/>
          <w:rFonts w:ascii="Times New Roman" w:hAnsi="Times New Roman" w:cs="Times New Roman"/>
          <w:color w:val="000000" w:themeColor="text1"/>
          <w:sz w:val="24"/>
          <w:lang w:val="es-DO"/>
        </w:rPr>
      </w:pPr>
    </w:p>
    <w:p w:rsidR="00D6364E" w:rsidRPr="00BB231B" w:rsidRDefault="00D6364E" w:rsidP="00801A0C">
      <w:pPr>
        <w:pStyle w:val="Normal-blanco"/>
        <w:spacing w:before="0" w:after="0" w:line="480" w:lineRule="auto"/>
        <w:ind w:right="199"/>
        <w:rPr>
          <w:rStyle w:val="nfasissutil"/>
          <w:rFonts w:ascii="Times New Roman" w:hAnsi="Times New Roman" w:cs="Times New Roman"/>
          <w:color w:val="000000" w:themeColor="text1"/>
          <w:sz w:val="24"/>
          <w:lang w:val="es-DO"/>
        </w:rPr>
      </w:pPr>
    </w:p>
    <w:p w:rsidR="00801A0C" w:rsidRPr="00BB231B" w:rsidRDefault="00801A0C" w:rsidP="00256145">
      <w:pPr>
        <w:pStyle w:val="Normal-blanco"/>
        <w:spacing w:before="0" w:after="0" w:line="480" w:lineRule="auto"/>
        <w:ind w:right="199" w:firstLine="567"/>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 xml:space="preserve">La Contraloría cuenta en la actualidad con una planta de personal integrada por 1.419 funcionarios. La mayoría tiene formación profesional en Contaduría, Auditoría, Derecho, Administración de Empresas y ciencias afines.  </w:t>
      </w:r>
    </w:p>
    <w:p w:rsidR="00801A0C" w:rsidRPr="00BB231B" w:rsidRDefault="00801A0C" w:rsidP="00801A0C">
      <w:pPr>
        <w:pStyle w:val="Normal-blanco"/>
        <w:spacing w:before="0" w:after="0" w:line="480" w:lineRule="auto"/>
        <w:ind w:right="199"/>
        <w:rPr>
          <w:rStyle w:val="nfasissutil"/>
          <w:rFonts w:ascii="Times New Roman" w:hAnsi="Times New Roman" w:cs="Times New Roman"/>
          <w:color w:val="000000" w:themeColor="text1"/>
          <w:sz w:val="24"/>
          <w:lang w:val="es-DO"/>
        </w:rPr>
      </w:pPr>
    </w:p>
    <w:p w:rsidR="00801A0C" w:rsidRPr="00BB231B" w:rsidRDefault="00801A0C" w:rsidP="00801A0C">
      <w:pPr>
        <w:spacing w:before="0" w:after="0"/>
        <w:ind w:left="567"/>
        <w:jc w:val="center"/>
        <w:rPr>
          <w:rStyle w:val="nfasissutil"/>
          <w:rFonts w:ascii="Times New Roman" w:hAnsi="Times New Roman" w:cs="Times New Roman"/>
          <w:b/>
          <w:color w:val="000000" w:themeColor="text1"/>
          <w:sz w:val="18"/>
          <w:szCs w:val="18"/>
          <w:lang w:val="es-DO"/>
        </w:rPr>
      </w:pPr>
      <w:r w:rsidRPr="00BB231B">
        <w:rPr>
          <w:rStyle w:val="nfasissutil"/>
          <w:rFonts w:ascii="Times New Roman" w:hAnsi="Times New Roman" w:cs="Times New Roman"/>
          <w:b/>
          <w:color w:val="000000" w:themeColor="text1"/>
          <w:sz w:val="18"/>
          <w:szCs w:val="18"/>
          <w:lang w:val="es-DO"/>
        </w:rPr>
        <w:t>Gráfico 1</w:t>
      </w:r>
    </w:p>
    <w:p w:rsidR="00801A0C" w:rsidRPr="00BB231B" w:rsidRDefault="00801A0C" w:rsidP="00801A0C">
      <w:pPr>
        <w:spacing w:before="0" w:after="0"/>
        <w:ind w:left="567"/>
        <w:jc w:val="center"/>
        <w:rPr>
          <w:rStyle w:val="nfasissutil"/>
          <w:rFonts w:ascii="Times New Roman" w:hAnsi="Times New Roman" w:cs="Times New Roman"/>
          <w:color w:val="000000" w:themeColor="text1"/>
          <w:sz w:val="20"/>
          <w:szCs w:val="20"/>
          <w:lang w:val="es-DO"/>
        </w:rPr>
      </w:pPr>
      <w:r w:rsidRPr="00BB231B">
        <w:rPr>
          <w:rStyle w:val="nfasissutil"/>
          <w:rFonts w:ascii="Times New Roman" w:hAnsi="Times New Roman" w:cs="Times New Roman"/>
          <w:color w:val="000000" w:themeColor="text1"/>
          <w:sz w:val="20"/>
          <w:szCs w:val="20"/>
          <w:lang w:val="es-DO"/>
        </w:rPr>
        <w:t>CONTRALORÍA GENERAL DE LA REPÚBLICA: Cantidad de colaboradores según grupo   ocupacional</w:t>
      </w:r>
    </w:p>
    <w:p w:rsidR="00801A0C" w:rsidRPr="00BB231B" w:rsidRDefault="00801A0C" w:rsidP="00801A0C">
      <w:pPr>
        <w:pStyle w:val="Normal-blanco"/>
        <w:spacing w:before="0" w:after="0"/>
        <w:ind w:right="199"/>
        <w:rPr>
          <w:rStyle w:val="nfasissutil"/>
          <w:rFonts w:ascii="Times New Roman" w:hAnsi="Times New Roman" w:cs="Times New Roman"/>
          <w:color w:val="000000" w:themeColor="text1"/>
          <w:sz w:val="22"/>
          <w:lang w:val="es-DO"/>
        </w:rPr>
      </w:pPr>
      <w:r w:rsidRPr="00BB231B">
        <w:rPr>
          <w:rFonts w:ascii="Times New Roman" w:hAnsi="Times New Roman" w:cs="Times New Roman"/>
          <w:noProof/>
          <w:lang w:val="es-US" w:eastAsia="es-US"/>
        </w:rPr>
        <w:drawing>
          <wp:anchor distT="0" distB="0" distL="114300" distR="114300" simplePos="0" relativeHeight="251777024" behindDoc="0" locked="0" layoutInCell="1" allowOverlap="1" wp14:anchorId="2952D043" wp14:editId="690C633E">
            <wp:simplePos x="0" y="0"/>
            <wp:positionH relativeFrom="column">
              <wp:posOffset>401320</wp:posOffset>
            </wp:positionH>
            <wp:positionV relativeFrom="paragraph">
              <wp:posOffset>62865</wp:posOffset>
            </wp:positionV>
            <wp:extent cx="4860290" cy="2879725"/>
            <wp:effectExtent l="0" t="0" r="0" b="0"/>
            <wp:wrapSquare wrapText="bothSides"/>
            <wp:docPr id="12" name="Imagen 12" descr="cid:image001.png@01D300A6.200A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1.png@01D300A6.200A186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86029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1A0C" w:rsidRPr="00BB231B" w:rsidRDefault="00801A0C" w:rsidP="00801A0C">
      <w:pPr>
        <w:pStyle w:val="Normal-blanco"/>
        <w:spacing w:before="0" w:after="0"/>
        <w:ind w:right="199"/>
        <w:rPr>
          <w:rStyle w:val="nfasissutil"/>
          <w:rFonts w:ascii="Times New Roman" w:hAnsi="Times New Roman" w:cs="Times New Roman"/>
          <w:color w:val="000000" w:themeColor="text1"/>
          <w:sz w:val="22"/>
          <w:lang w:val="es-DO"/>
        </w:rPr>
      </w:pPr>
    </w:p>
    <w:p w:rsidR="00801A0C" w:rsidRPr="00BB231B" w:rsidRDefault="00801A0C" w:rsidP="00801A0C">
      <w:pPr>
        <w:pStyle w:val="Normal-blanco"/>
        <w:spacing w:before="0" w:after="0"/>
        <w:ind w:left="1429" w:right="199"/>
        <w:rPr>
          <w:rStyle w:val="nfasissutil"/>
          <w:rFonts w:ascii="Times New Roman" w:hAnsi="Times New Roman" w:cs="Times New Roman"/>
          <w:i/>
          <w:color w:val="000000" w:themeColor="text1"/>
          <w:sz w:val="22"/>
          <w:lang w:val="es-DO"/>
        </w:rPr>
      </w:pPr>
    </w:p>
    <w:p w:rsidR="00515C03" w:rsidRPr="00BB231B" w:rsidRDefault="00515C03" w:rsidP="00801A0C">
      <w:pPr>
        <w:pStyle w:val="Normal-blanco"/>
        <w:tabs>
          <w:tab w:val="left" w:pos="4275"/>
        </w:tabs>
        <w:spacing w:before="0" w:after="0"/>
        <w:ind w:left="1429" w:right="199"/>
        <w:jc w:val="center"/>
        <w:rPr>
          <w:rStyle w:val="nfasissutil"/>
          <w:rFonts w:ascii="Times New Roman" w:hAnsi="Times New Roman" w:cs="Times New Roman"/>
          <w:b/>
          <w:color w:val="000000" w:themeColor="text1"/>
          <w:sz w:val="18"/>
          <w:szCs w:val="18"/>
        </w:rPr>
      </w:pPr>
    </w:p>
    <w:p w:rsidR="00801A0C" w:rsidRPr="00BB231B" w:rsidRDefault="00801A0C" w:rsidP="00801A0C">
      <w:pPr>
        <w:pStyle w:val="Normal-blanco"/>
        <w:tabs>
          <w:tab w:val="left" w:pos="4275"/>
        </w:tabs>
        <w:spacing w:before="0" w:after="0"/>
        <w:ind w:left="1429" w:right="199"/>
        <w:jc w:val="center"/>
        <w:rPr>
          <w:rStyle w:val="nfasissutil"/>
          <w:rFonts w:ascii="Times New Roman" w:hAnsi="Times New Roman" w:cs="Times New Roman"/>
          <w:i/>
          <w:color w:val="000000" w:themeColor="text1"/>
          <w:sz w:val="22"/>
          <w:lang w:val="es-DO"/>
        </w:rPr>
      </w:pPr>
      <w:r w:rsidRPr="00BB231B">
        <w:rPr>
          <w:rStyle w:val="nfasissutil"/>
          <w:rFonts w:ascii="Times New Roman" w:hAnsi="Times New Roman" w:cs="Times New Roman"/>
          <w:b/>
          <w:color w:val="000000" w:themeColor="text1"/>
          <w:sz w:val="18"/>
          <w:szCs w:val="18"/>
        </w:rPr>
        <w:t>Fuente:</w:t>
      </w:r>
      <w:r w:rsidRPr="00BB231B">
        <w:rPr>
          <w:rStyle w:val="nfasissutil"/>
          <w:rFonts w:ascii="Times New Roman" w:hAnsi="Times New Roman" w:cs="Times New Roman"/>
          <w:color w:val="000000" w:themeColor="text1"/>
          <w:sz w:val="18"/>
          <w:szCs w:val="18"/>
        </w:rPr>
        <w:t xml:space="preserve"> </w:t>
      </w:r>
      <w:r w:rsidRPr="00BB231B">
        <w:rPr>
          <w:rStyle w:val="nfasissutil"/>
          <w:rFonts w:ascii="Times New Roman" w:hAnsi="Times New Roman" w:cs="Times New Roman"/>
          <w:i/>
          <w:color w:val="000000" w:themeColor="text1"/>
          <w:sz w:val="18"/>
          <w:szCs w:val="18"/>
        </w:rPr>
        <w:t>Contraloría General de la República</w:t>
      </w:r>
    </w:p>
    <w:p w:rsidR="00801A0C" w:rsidRPr="00BB231B" w:rsidRDefault="00801A0C" w:rsidP="00801A0C">
      <w:pPr>
        <w:spacing w:before="0" w:after="0"/>
        <w:ind w:left="567"/>
        <w:jc w:val="center"/>
        <w:rPr>
          <w:rStyle w:val="nfasissutil"/>
          <w:rFonts w:ascii="Times New Roman" w:hAnsi="Times New Roman" w:cs="Times New Roman"/>
          <w:b/>
          <w:color w:val="000000" w:themeColor="text1"/>
          <w:sz w:val="18"/>
          <w:szCs w:val="18"/>
          <w:lang w:val="es-DO"/>
        </w:rPr>
      </w:pPr>
    </w:p>
    <w:p w:rsidR="00801A0C" w:rsidRPr="00BB231B" w:rsidRDefault="00801A0C"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0F3B5E" w:rsidRPr="00BB231B" w:rsidRDefault="000F3B5E" w:rsidP="00801A0C">
      <w:pPr>
        <w:pStyle w:val="Normal-blanco"/>
        <w:spacing w:before="0" w:after="0"/>
        <w:ind w:right="199"/>
        <w:rPr>
          <w:rStyle w:val="nfasissutil"/>
          <w:rFonts w:ascii="Times New Roman" w:hAnsi="Times New Roman" w:cs="Times New Roman"/>
          <w:b/>
          <w:color w:val="000000" w:themeColor="text1"/>
          <w:sz w:val="22"/>
          <w:lang w:val="es-DO"/>
        </w:rPr>
      </w:pPr>
    </w:p>
    <w:p w:rsidR="00C83B76" w:rsidRPr="00BB231B" w:rsidRDefault="00C83B76" w:rsidP="001D2A5A">
      <w:pPr>
        <w:pStyle w:val="Normal-blanco"/>
        <w:spacing w:before="0" w:after="0"/>
        <w:ind w:right="199"/>
        <w:outlineLvl w:val="1"/>
        <w:rPr>
          <w:rStyle w:val="nfasissutil"/>
          <w:rFonts w:ascii="Times New Roman" w:hAnsi="Times New Roman" w:cs="Times New Roman"/>
          <w:color w:val="000000" w:themeColor="text1"/>
          <w:sz w:val="28"/>
          <w:u w:val="single"/>
          <w:lang w:val="es-DO"/>
        </w:rPr>
      </w:pPr>
      <w:bookmarkStart w:id="19" w:name="_Toc500858012"/>
      <w:bookmarkStart w:id="20" w:name="_Toc500858162"/>
      <w:bookmarkStart w:id="21" w:name="_Toc500858676"/>
      <w:bookmarkStart w:id="22" w:name="_Toc500918588"/>
      <w:r w:rsidRPr="00BB231B">
        <w:rPr>
          <w:rStyle w:val="nfasissutil"/>
          <w:rFonts w:ascii="Times New Roman" w:hAnsi="Times New Roman" w:cs="Times New Roman"/>
          <w:b/>
          <w:color w:val="000000" w:themeColor="text1"/>
          <w:sz w:val="28"/>
          <w:u w:val="single"/>
          <w:lang w:val="es-DO"/>
        </w:rPr>
        <w:t>Catálogo de servicios</w:t>
      </w:r>
      <w:bookmarkEnd w:id="18"/>
      <w:bookmarkEnd w:id="19"/>
      <w:bookmarkEnd w:id="20"/>
      <w:bookmarkEnd w:id="21"/>
      <w:bookmarkEnd w:id="22"/>
    </w:p>
    <w:tbl>
      <w:tblPr>
        <w:tblStyle w:val="Tablaconcuadrcula"/>
        <w:tblpPr w:leftFromText="141" w:rightFromText="141" w:vertAnchor="text" w:horzAnchor="margin" w:tblpXSpec="center" w:tblpY="198"/>
        <w:tblW w:w="9067" w:type="dxa"/>
        <w:tblLook w:val="04A0" w:firstRow="1" w:lastRow="0" w:firstColumn="1" w:lastColumn="0" w:noHBand="0" w:noVBand="1"/>
      </w:tblPr>
      <w:tblGrid>
        <w:gridCol w:w="1587"/>
        <w:gridCol w:w="2887"/>
        <w:gridCol w:w="4593"/>
      </w:tblGrid>
      <w:tr w:rsidR="00F25372" w:rsidRPr="00BB231B" w:rsidTr="000F3B5E">
        <w:trPr>
          <w:trHeight w:val="276"/>
        </w:trPr>
        <w:tc>
          <w:tcPr>
            <w:tcW w:w="1587" w:type="dxa"/>
            <w:tcBorders>
              <w:bottom w:val="single" w:sz="4" w:space="0" w:color="auto"/>
            </w:tcBorders>
            <w:shd w:val="clear" w:color="auto" w:fill="599D49"/>
            <w:vAlign w:val="center"/>
          </w:tcPr>
          <w:p w:rsidR="00C83B76" w:rsidRPr="00BB231B" w:rsidRDefault="00C83B76" w:rsidP="007440BA">
            <w:pPr>
              <w:spacing w:before="0"/>
              <w:jc w:val="center"/>
              <w:rPr>
                <w:rFonts w:ascii="Times New Roman" w:hAnsi="Times New Roman" w:cs="Times New Roman"/>
                <w:b/>
                <w:color w:val="FFFFFF" w:themeColor="background1"/>
                <w:sz w:val="20"/>
                <w:szCs w:val="16"/>
                <w:lang w:val="es-DO"/>
              </w:rPr>
            </w:pPr>
            <w:r w:rsidRPr="00BB231B">
              <w:rPr>
                <w:rFonts w:ascii="Times New Roman" w:hAnsi="Times New Roman" w:cs="Times New Roman"/>
                <w:b/>
                <w:color w:val="FFFFFF" w:themeColor="background1"/>
                <w:sz w:val="20"/>
                <w:szCs w:val="16"/>
                <w:lang w:val="es-DO"/>
              </w:rPr>
              <w:t>SERVICIOS</w:t>
            </w:r>
          </w:p>
        </w:tc>
        <w:tc>
          <w:tcPr>
            <w:tcW w:w="2887" w:type="dxa"/>
            <w:tcBorders>
              <w:bottom w:val="single" w:sz="4" w:space="0" w:color="auto"/>
            </w:tcBorders>
            <w:shd w:val="clear" w:color="auto" w:fill="599D49"/>
            <w:vAlign w:val="center"/>
          </w:tcPr>
          <w:p w:rsidR="00C83B76" w:rsidRPr="00BB231B" w:rsidRDefault="00C83B76" w:rsidP="007440BA">
            <w:pPr>
              <w:spacing w:before="0"/>
              <w:jc w:val="center"/>
              <w:rPr>
                <w:rFonts w:ascii="Times New Roman" w:hAnsi="Times New Roman" w:cs="Times New Roman"/>
                <w:b/>
                <w:color w:val="FFFFFF" w:themeColor="background1"/>
                <w:sz w:val="20"/>
                <w:szCs w:val="16"/>
                <w:lang w:val="es-DO"/>
              </w:rPr>
            </w:pPr>
            <w:r w:rsidRPr="00BB231B">
              <w:rPr>
                <w:rFonts w:ascii="Times New Roman" w:hAnsi="Times New Roman" w:cs="Times New Roman"/>
                <w:b/>
                <w:color w:val="FFFFFF" w:themeColor="background1"/>
                <w:sz w:val="20"/>
                <w:szCs w:val="16"/>
                <w:lang w:val="es-DO"/>
              </w:rPr>
              <w:t>UNIDADES INVOLUCRADAS</w:t>
            </w:r>
          </w:p>
        </w:tc>
        <w:tc>
          <w:tcPr>
            <w:tcW w:w="4593" w:type="dxa"/>
            <w:tcBorders>
              <w:bottom w:val="single" w:sz="4" w:space="0" w:color="auto"/>
            </w:tcBorders>
            <w:shd w:val="clear" w:color="auto" w:fill="599D49"/>
            <w:vAlign w:val="center"/>
          </w:tcPr>
          <w:p w:rsidR="00C83B76" w:rsidRPr="00BB231B" w:rsidRDefault="00C83B76" w:rsidP="007440BA">
            <w:pPr>
              <w:spacing w:before="0"/>
              <w:jc w:val="center"/>
              <w:rPr>
                <w:rFonts w:ascii="Times New Roman" w:hAnsi="Times New Roman" w:cs="Times New Roman"/>
                <w:b/>
                <w:color w:val="FFFFFF" w:themeColor="background1"/>
                <w:sz w:val="20"/>
                <w:szCs w:val="16"/>
                <w:lang w:val="es-DO"/>
              </w:rPr>
            </w:pPr>
            <w:r w:rsidRPr="00BB231B">
              <w:rPr>
                <w:rFonts w:ascii="Times New Roman" w:hAnsi="Times New Roman" w:cs="Times New Roman"/>
                <w:b/>
                <w:color w:val="FFFFFF" w:themeColor="background1"/>
                <w:sz w:val="20"/>
                <w:szCs w:val="16"/>
                <w:lang w:val="es-DO"/>
              </w:rPr>
              <w:t>DESCRIPCIÓN</w:t>
            </w:r>
          </w:p>
        </w:tc>
      </w:tr>
      <w:tr w:rsidR="00C83B76" w:rsidRPr="00BB231B" w:rsidTr="000F3B5E">
        <w:tc>
          <w:tcPr>
            <w:tcW w:w="1587" w:type="dxa"/>
            <w:tcBorders>
              <w:top w:val="single" w:sz="4" w:space="0" w:color="auto"/>
              <w:bottom w:val="single" w:sz="4" w:space="0" w:color="auto"/>
            </w:tcBorders>
            <w:shd w:val="clear" w:color="auto" w:fill="AAD4A0"/>
            <w:vAlign w:val="center"/>
          </w:tcPr>
          <w:p w:rsidR="00C83B76" w:rsidRPr="00BB231B" w:rsidRDefault="007440BA" w:rsidP="009A56D5">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Auditoría de Control Interno y Asesorías de NOBACI</w:t>
            </w:r>
          </w:p>
        </w:tc>
        <w:tc>
          <w:tcPr>
            <w:tcW w:w="2887" w:type="dxa"/>
            <w:tcBorders>
              <w:top w:val="single" w:sz="4" w:space="0" w:color="auto"/>
              <w:bottom w:val="single" w:sz="4" w:space="0" w:color="auto"/>
            </w:tcBorders>
            <w:shd w:val="clear" w:color="auto" w:fill="E2F0DF" w:themeFill="accent3" w:themeFillTint="33"/>
            <w:vAlign w:val="center"/>
          </w:tcPr>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Dirección de Auditoría Gubernamental.</w:t>
            </w:r>
          </w:p>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Dirección de Auditorías Especiales:</w:t>
            </w:r>
          </w:p>
          <w:p w:rsidR="00C83B76" w:rsidRPr="00BB231B" w:rsidRDefault="00455939" w:rsidP="0013776D">
            <w:pPr>
              <w:pStyle w:val="Listadoespecial-Tabla"/>
              <w:numPr>
                <w:ilvl w:val="0"/>
                <w:numId w:val="29"/>
              </w:numPr>
              <w:spacing w:after="0"/>
              <w:ind w:left="459"/>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Auditorí</w:t>
            </w:r>
            <w:r w:rsidR="00C83B76" w:rsidRPr="00BB231B">
              <w:rPr>
                <w:rFonts w:ascii="Times New Roman" w:hAnsi="Times New Roman" w:cs="Times New Roman"/>
                <w:b/>
                <w:color w:val="000000" w:themeColor="text1"/>
                <w:szCs w:val="16"/>
                <w:lang w:val="es-DO"/>
              </w:rPr>
              <w:t>a de Medio Ambiente.</w:t>
            </w:r>
          </w:p>
          <w:p w:rsidR="00C83B76" w:rsidRPr="00BB231B" w:rsidRDefault="00455939" w:rsidP="0013776D">
            <w:pPr>
              <w:pStyle w:val="Listadoespecial-Tabla"/>
              <w:numPr>
                <w:ilvl w:val="0"/>
                <w:numId w:val="29"/>
              </w:numPr>
              <w:spacing w:after="0"/>
              <w:ind w:left="459"/>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Dirección Auditorí</w:t>
            </w:r>
            <w:r w:rsidR="00C83B76" w:rsidRPr="00BB231B">
              <w:rPr>
                <w:rFonts w:ascii="Times New Roman" w:hAnsi="Times New Roman" w:cs="Times New Roman"/>
                <w:b/>
                <w:color w:val="000000" w:themeColor="text1"/>
                <w:szCs w:val="16"/>
                <w:lang w:val="es-DO"/>
              </w:rPr>
              <w:t>a Técnica.</w:t>
            </w:r>
          </w:p>
          <w:p w:rsidR="00C83B76" w:rsidRPr="00BB231B" w:rsidRDefault="00C83B76" w:rsidP="0013776D">
            <w:pPr>
              <w:pStyle w:val="Listadoespecial-Tabla"/>
              <w:numPr>
                <w:ilvl w:val="0"/>
                <w:numId w:val="29"/>
              </w:numPr>
              <w:spacing w:after="0"/>
              <w:ind w:left="459"/>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Ayuntamientos.</w:t>
            </w:r>
          </w:p>
          <w:p w:rsidR="00C83B76" w:rsidRPr="00BB231B" w:rsidRDefault="00C83B76" w:rsidP="007E00DB">
            <w:pPr>
              <w:pStyle w:val="Listadoespecial-Tabla"/>
              <w:numPr>
                <w:ilvl w:val="0"/>
                <w:numId w:val="0"/>
              </w:numPr>
              <w:spacing w:after="0"/>
              <w:ind w:left="284" w:hanging="284"/>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Dirección de Desarrollo</w:t>
            </w:r>
            <w:r w:rsidR="007E00DB" w:rsidRPr="00BB231B">
              <w:rPr>
                <w:rFonts w:ascii="Times New Roman" w:hAnsi="Times New Roman" w:cs="Times New Roman"/>
                <w:b/>
                <w:color w:val="000000" w:themeColor="text1"/>
                <w:szCs w:val="16"/>
                <w:lang w:val="es-DO"/>
              </w:rPr>
              <w:t xml:space="preserve"> </w:t>
            </w:r>
            <w:r w:rsidRPr="00BB231B">
              <w:rPr>
                <w:rFonts w:ascii="Times New Roman" w:hAnsi="Times New Roman" w:cs="Times New Roman"/>
                <w:b/>
                <w:color w:val="000000" w:themeColor="text1"/>
                <w:szCs w:val="16"/>
                <w:lang w:val="es-DO"/>
              </w:rPr>
              <w:t>Normativo.</w:t>
            </w:r>
          </w:p>
        </w:tc>
        <w:tc>
          <w:tcPr>
            <w:tcW w:w="4593" w:type="dxa"/>
            <w:tcBorders>
              <w:top w:val="single" w:sz="4" w:space="0" w:color="auto"/>
              <w:bottom w:val="single" w:sz="4" w:space="0" w:color="auto"/>
            </w:tcBorders>
            <w:shd w:val="clear" w:color="auto" w:fill="F2F2F2" w:themeFill="background1" w:themeFillShade="F2"/>
            <w:vAlign w:val="center"/>
          </w:tcPr>
          <w:p w:rsidR="00C83B76" w:rsidRPr="00BB231B" w:rsidRDefault="00C83B76" w:rsidP="009A56D5">
            <w:pPr>
              <w:pStyle w:val="Tabla-normalblanco"/>
              <w:rPr>
                <w:rFonts w:ascii="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Inspeccionar y evaluar de acuerdo a las normas de auditoría interna gubernamental y estándares internacionales aplicables al sector público, tomando en cuenta los programas, objetivos, metas y resultados previstos en el presupuesto.</w:t>
            </w:r>
          </w:p>
        </w:tc>
      </w:tr>
      <w:tr w:rsidR="00C83B76" w:rsidRPr="00BB231B" w:rsidTr="000F3B5E">
        <w:tc>
          <w:tcPr>
            <w:tcW w:w="1587" w:type="dxa"/>
            <w:tcBorders>
              <w:top w:val="single" w:sz="4" w:space="0" w:color="auto"/>
              <w:left w:val="single" w:sz="4" w:space="0" w:color="auto"/>
              <w:bottom w:val="single" w:sz="4" w:space="0" w:color="auto"/>
              <w:right w:val="single" w:sz="4" w:space="0" w:color="auto"/>
            </w:tcBorders>
            <w:shd w:val="clear" w:color="auto" w:fill="AAD4A0"/>
            <w:vAlign w:val="center"/>
          </w:tcPr>
          <w:p w:rsidR="00C83B76" w:rsidRPr="00BB231B" w:rsidRDefault="00C83B76" w:rsidP="009A56D5">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Certificación de No Objeción.</w:t>
            </w:r>
          </w:p>
        </w:tc>
        <w:tc>
          <w:tcPr>
            <w:tcW w:w="2887" w:type="dxa"/>
            <w:tcBorders>
              <w:top w:val="single" w:sz="4" w:space="0" w:color="auto"/>
              <w:left w:val="single" w:sz="4" w:space="0" w:color="auto"/>
              <w:bottom w:val="single" w:sz="4" w:space="0" w:color="auto"/>
              <w:right w:val="single" w:sz="4" w:space="0" w:color="auto"/>
            </w:tcBorders>
            <w:shd w:val="clear" w:color="auto" w:fill="E2F0DF" w:themeFill="accent3" w:themeFillTint="33"/>
            <w:vAlign w:val="center"/>
          </w:tcPr>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Dirección de Auditorías Especiales.</w:t>
            </w:r>
          </w:p>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Departamento Jurídico.</w:t>
            </w:r>
          </w:p>
        </w:tc>
        <w:tc>
          <w:tcPr>
            <w:tcW w:w="4593" w:type="dxa"/>
            <w:tcBorders>
              <w:top w:val="single" w:sz="4" w:space="0" w:color="auto"/>
              <w:left w:val="single" w:sz="4" w:space="0" w:color="auto"/>
            </w:tcBorders>
            <w:shd w:val="clear" w:color="auto" w:fill="F2F2F2" w:themeFill="background1" w:themeFillShade="F2"/>
            <w:vAlign w:val="center"/>
          </w:tcPr>
          <w:p w:rsidR="00C83B76" w:rsidRPr="00BB231B" w:rsidRDefault="00C83B76" w:rsidP="009A56D5">
            <w:pPr>
              <w:pStyle w:val="Tabla-normalblanco"/>
              <w:rPr>
                <w:rFonts w:ascii="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Consiste en un servicio dirigido a funcionarios y empleados que manejan fondos públicos a través del cual se les otorga una certificación que los autoriza a viajar al exterior.</w:t>
            </w:r>
          </w:p>
        </w:tc>
      </w:tr>
      <w:tr w:rsidR="00C83B76" w:rsidRPr="00BB231B" w:rsidTr="000F3B5E">
        <w:trPr>
          <w:trHeight w:val="513"/>
        </w:trPr>
        <w:tc>
          <w:tcPr>
            <w:tcW w:w="1587" w:type="dxa"/>
            <w:tcBorders>
              <w:top w:val="single" w:sz="4" w:space="0" w:color="auto"/>
            </w:tcBorders>
            <w:shd w:val="clear" w:color="auto" w:fill="AAD4A0"/>
            <w:vAlign w:val="center"/>
          </w:tcPr>
          <w:p w:rsidR="00C83B76" w:rsidRPr="00BB231B" w:rsidRDefault="00C83B76" w:rsidP="009A56D5">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Revisión de la Ejecuciones Presupuestaria de los Ayuntamiento.</w:t>
            </w:r>
          </w:p>
        </w:tc>
        <w:tc>
          <w:tcPr>
            <w:tcW w:w="2887" w:type="dxa"/>
            <w:tcBorders>
              <w:top w:val="single" w:sz="4" w:space="0" w:color="auto"/>
            </w:tcBorders>
            <w:shd w:val="clear" w:color="auto" w:fill="E2F0DF" w:themeFill="accent3" w:themeFillTint="33"/>
            <w:vAlign w:val="center"/>
          </w:tcPr>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Ayuntamientos.</w:t>
            </w:r>
          </w:p>
        </w:tc>
        <w:tc>
          <w:tcPr>
            <w:tcW w:w="4593" w:type="dxa"/>
            <w:shd w:val="clear" w:color="auto" w:fill="F2F2F2" w:themeFill="background1" w:themeFillShade="F2"/>
            <w:vAlign w:val="center"/>
          </w:tcPr>
          <w:p w:rsidR="00C83B76" w:rsidRPr="00BB231B" w:rsidRDefault="00C83B76" w:rsidP="007440BA">
            <w:pPr>
              <w:pStyle w:val="Tabla-normalblanco"/>
              <w:rPr>
                <w:rFonts w:ascii="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Consiste en fiscalizar, evaluar y controlar las ejecutorias de los Ayuntamientos del Dist</w:t>
            </w:r>
            <w:r w:rsidR="007440BA" w:rsidRPr="00BB231B">
              <w:rPr>
                <w:rFonts w:ascii="Times New Roman" w:hAnsi="Times New Roman" w:cs="Times New Roman"/>
                <w:color w:val="000000" w:themeColor="text1"/>
                <w:sz w:val="20"/>
                <w:szCs w:val="16"/>
                <w:lang w:val="es-DO"/>
              </w:rPr>
              <w:t>rito Nacional y los Municipios</w:t>
            </w:r>
            <w:r w:rsidR="008D7E44" w:rsidRPr="00BB231B">
              <w:rPr>
                <w:rFonts w:ascii="Times New Roman" w:hAnsi="Times New Roman" w:cs="Times New Roman"/>
                <w:color w:val="000000" w:themeColor="text1"/>
                <w:sz w:val="20"/>
                <w:szCs w:val="16"/>
                <w:lang w:val="es-DO"/>
              </w:rPr>
              <w:t>,</w:t>
            </w:r>
          </w:p>
        </w:tc>
      </w:tr>
      <w:tr w:rsidR="00C83B76" w:rsidRPr="00BB231B" w:rsidTr="000F3B5E">
        <w:tc>
          <w:tcPr>
            <w:tcW w:w="1587" w:type="dxa"/>
            <w:shd w:val="clear" w:color="auto" w:fill="AAD4A0"/>
            <w:vAlign w:val="center"/>
          </w:tcPr>
          <w:p w:rsidR="00C83B76" w:rsidRPr="00BB231B" w:rsidRDefault="007E00DB" w:rsidP="00A84649">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Autorización de órdenes de pagos (Libramientos, cheques y transferencias bancarias</w:t>
            </w:r>
            <w:r w:rsidR="007440BA" w:rsidRPr="00BB231B">
              <w:rPr>
                <w:rFonts w:ascii="Times New Roman" w:hAnsi="Times New Roman" w:cs="Times New Roman"/>
                <w:b/>
                <w:color w:val="000000" w:themeColor="text1"/>
                <w:szCs w:val="16"/>
                <w:lang w:val="es-DO"/>
              </w:rPr>
              <w:t>, nómina</w:t>
            </w:r>
            <w:r w:rsidRPr="00BB231B">
              <w:rPr>
                <w:rFonts w:ascii="Times New Roman" w:hAnsi="Times New Roman" w:cs="Times New Roman"/>
                <w:b/>
                <w:color w:val="000000" w:themeColor="text1"/>
                <w:szCs w:val="16"/>
                <w:lang w:val="es-DO"/>
              </w:rPr>
              <w:t>)</w:t>
            </w:r>
            <w:r w:rsidR="007440BA" w:rsidRPr="00BB231B">
              <w:rPr>
                <w:rFonts w:ascii="Times New Roman" w:hAnsi="Times New Roman" w:cs="Times New Roman"/>
                <w:b/>
                <w:color w:val="000000" w:themeColor="text1"/>
                <w:szCs w:val="16"/>
                <w:lang w:val="es-DO"/>
              </w:rPr>
              <w:t xml:space="preserve"> y Registro de Contratos</w:t>
            </w:r>
          </w:p>
        </w:tc>
        <w:tc>
          <w:tcPr>
            <w:tcW w:w="2887" w:type="dxa"/>
            <w:shd w:val="clear" w:color="auto" w:fill="E2F0DF" w:themeFill="accent3" w:themeFillTint="33"/>
            <w:vAlign w:val="center"/>
          </w:tcPr>
          <w:p w:rsidR="007440BA"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Dirección de Revisión y Análisis.</w:t>
            </w:r>
            <w:r w:rsidR="007440BA" w:rsidRPr="00BB231B">
              <w:rPr>
                <w:rFonts w:ascii="Times New Roman" w:hAnsi="Times New Roman" w:cs="Times New Roman"/>
                <w:b/>
                <w:color w:val="000000" w:themeColor="text1"/>
                <w:szCs w:val="16"/>
                <w:lang w:val="es-DO"/>
              </w:rPr>
              <w:t xml:space="preserve"> </w:t>
            </w:r>
          </w:p>
          <w:p w:rsidR="00C83B76" w:rsidRPr="00BB231B" w:rsidRDefault="007440BA"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Departamento de Certificación de Contratos.</w:t>
            </w:r>
          </w:p>
        </w:tc>
        <w:tc>
          <w:tcPr>
            <w:tcW w:w="4593" w:type="dxa"/>
            <w:shd w:val="clear" w:color="auto" w:fill="F2F2F2" w:themeFill="background1" w:themeFillShade="F2"/>
            <w:vAlign w:val="center"/>
          </w:tcPr>
          <w:p w:rsidR="00C83B76" w:rsidRPr="00BB231B" w:rsidRDefault="00C83B76" w:rsidP="009A56D5">
            <w:pPr>
              <w:pStyle w:val="Tabla-normalblanco"/>
              <w:rPr>
                <w:rFonts w:ascii="Times New Roman" w:eastAsia="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Es un servicio creado con el propósito de revisar el 100% de las órdenes de pago</w:t>
            </w:r>
            <w:r w:rsidR="007440BA" w:rsidRPr="00BB231B">
              <w:rPr>
                <w:rFonts w:ascii="Times New Roman" w:hAnsi="Times New Roman" w:cs="Times New Roman"/>
                <w:color w:val="000000" w:themeColor="text1"/>
                <w:sz w:val="20"/>
                <w:szCs w:val="16"/>
                <w:lang w:val="es-DO"/>
              </w:rPr>
              <w:t xml:space="preserve"> y nóminas</w:t>
            </w:r>
            <w:r w:rsidRPr="00BB231B">
              <w:rPr>
                <w:rFonts w:ascii="Times New Roman" w:hAnsi="Times New Roman" w:cs="Times New Roman"/>
                <w:color w:val="000000" w:themeColor="text1"/>
                <w:sz w:val="20"/>
                <w:szCs w:val="16"/>
                <w:lang w:val="es-DO"/>
              </w:rPr>
              <w:t xml:space="preserve"> de las instituciones bajo el ámbito de la Ley 10-07 que instituye el Sistema Nacional del Control Interno (SINACI).</w:t>
            </w:r>
          </w:p>
        </w:tc>
      </w:tr>
      <w:tr w:rsidR="00C83B76" w:rsidRPr="00BB231B" w:rsidTr="000F3B5E">
        <w:trPr>
          <w:trHeight w:val="418"/>
        </w:trPr>
        <w:tc>
          <w:tcPr>
            <w:tcW w:w="1587" w:type="dxa"/>
            <w:shd w:val="clear" w:color="auto" w:fill="AAD4A0"/>
            <w:vAlign w:val="center"/>
          </w:tcPr>
          <w:p w:rsidR="00C83B76" w:rsidRPr="00BB231B" w:rsidRDefault="007440BA" w:rsidP="00B5255A">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Certificación de Cargos</w:t>
            </w:r>
          </w:p>
        </w:tc>
        <w:tc>
          <w:tcPr>
            <w:tcW w:w="2887" w:type="dxa"/>
            <w:shd w:val="clear" w:color="auto" w:fill="E2F0DF" w:themeFill="accent3" w:themeFillTint="33"/>
            <w:vAlign w:val="center"/>
          </w:tcPr>
          <w:p w:rsidR="00C83B76" w:rsidRPr="00BB231B" w:rsidRDefault="00C175F9"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Departamento de Certificaciones de Cargos.</w:t>
            </w:r>
          </w:p>
        </w:tc>
        <w:tc>
          <w:tcPr>
            <w:tcW w:w="4593" w:type="dxa"/>
            <w:shd w:val="clear" w:color="auto" w:fill="F2F2F2" w:themeFill="background1" w:themeFillShade="F2"/>
            <w:vAlign w:val="center"/>
          </w:tcPr>
          <w:p w:rsidR="00B5255A" w:rsidRPr="00BB231B" w:rsidRDefault="00C83B76" w:rsidP="00C175F9">
            <w:pPr>
              <w:pStyle w:val="Tabla-normalblanco"/>
              <w:rPr>
                <w:rFonts w:ascii="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Consiste en un document</w:t>
            </w:r>
            <w:r w:rsidR="007440BA" w:rsidRPr="00BB231B">
              <w:rPr>
                <w:rFonts w:ascii="Times New Roman" w:hAnsi="Times New Roman" w:cs="Times New Roman"/>
                <w:color w:val="000000" w:themeColor="text1"/>
                <w:sz w:val="20"/>
                <w:szCs w:val="16"/>
                <w:lang w:val="es-DO"/>
              </w:rPr>
              <w:t>o el cual certifica el tiempo de</w:t>
            </w:r>
            <w:r w:rsidRPr="00BB231B">
              <w:rPr>
                <w:rFonts w:ascii="Times New Roman" w:hAnsi="Times New Roman" w:cs="Times New Roman"/>
                <w:color w:val="000000" w:themeColor="text1"/>
                <w:sz w:val="20"/>
                <w:szCs w:val="16"/>
                <w:lang w:val="es-DO"/>
              </w:rPr>
              <w:t xml:space="preserve"> un contrato contraído entre el Estado</w:t>
            </w:r>
            <w:r w:rsidR="007440BA" w:rsidRPr="00BB231B">
              <w:rPr>
                <w:rFonts w:ascii="Times New Roman" w:hAnsi="Times New Roman" w:cs="Times New Roman"/>
                <w:color w:val="000000" w:themeColor="text1"/>
                <w:sz w:val="20"/>
                <w:szCs w:val="16"/>
                <w:lang w:val="es-DO"/>
              </w:rPr>
              <w:t xml:space="preserve"> y un servidor público.</w:t>
            </w:r>
          </w:p>
        </w:tc>
      </w:tr>
      <w:tr w:rsidR="00C83B76" w:rsidRPr="00BB231B" w:rsidTr="000F3B5E">
        <w:tc>
          <w:tcPr>
            <w:tcW w:w="1587" w:type="dxa"/>
            <w:shd w:val="clear" w:color="auto" w:fill="AAD4A0"/>
            <w:vAlign w:val="center"/>
          </w:tcPr>
          <w:p w:rsidR="00C83B76" w:rsidRPr="00BB231B" w:rsidRDefault="00C83B76" w:rsidP="009A56D5">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 xml:space="preserve">Registro de Actos de Alguacil y Cesión de </w:t>
            </w:r>
            <w:r w:rsidRPr="00BB231B">
              <w:rPr>
                <w:rFonts w:ascii="Times New Roman" w:hAnsi="Times New Roman" w:cs="Times New Roman"/>
                <w:b/>
                <w:color w:val="000000" w:themeColor="text1"/>
                <w:szCs w:val="16"/>
                <w:lang w:val="es-DO"/>
              </w:rPr>
              <w:lastRenderedPageBreak/>
              <w:t>Crédito.</w:t>
            </w:r>
          </w:p>
        </w:tc>
        <w:tc>
          <w:tcPr>
            <w:tcW w:w="2887" w:type="dxa"/>
            <w:shd w:val="clear" w:color="auto" w:fill="E2F0DF" w:themeFill="accent3" w:themeFillTint="33"/>
            <w:vAlign w:val="center"/>
          </w:tcPr>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lastRenderedPageBreak/>
              <w:t>Departamento de Jurídico.</w:t>
            </w:r>
          </w:p>
        </w:tc>
        <w:tc>
          <w:tcPr>
            <w:tcW w:w="4593" w:type="dxa"/>
            <w:shd w:val="clear" w:color="auto" w:fill="F2F2F2" w:themeFill="background1" w:themeFillShade="F2"/>
            <w:vAlign w:val="center"/>
          </w:tcPr>
          <w:p w:rsidR="00C83B76" w:rsidRPr="00BB231B" w:rsidRDefault="00C83B76" w:rsidP="009A56D5">
            <w:pPr>
              <w:pStyle w:val="Tabla-normalblanco"/>
              <w:rPr>
                <w:rFonts w:ascii="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Analizar y dar seguimiento a las notificaciones que por acto de alguacil sean recibidas por la institución.</w:t>
            </w:r>
          </w:p>
        </w:tc>
      </w:tr>
      <w:tr w:rsidR="00C83B76" w:rsidRPr="00BB231B" w:rsidTr="000F3B5E">
        <w:trPr>
          <w:trHeight w:val="991"/>
        </w:trPr>
        <w:tc>
          <w:tcPr>
            <w:tcW w:w="1587" w:type="dxa"/>
            <w:tcBorders>
              <w:bottom w:val="single" w:sz="4" w:space="0" w:color="auto"/>
            </w:tcBorders>
            <w:shd w:val="clear" w:color="auto" w:fill="AAD4A0"/>
            <w:vAlign w:val="center"/>
          </w:tcPr>
          <w:p w:rsidR="00C83B76" w:rsidRPr="00BB231B" w:rsidRDefault="00C83B76" w:rsidP="009A56D5">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lastRenderedPageBreak/>
              <w:t>Consulta vía web de las órdenes de pagos o libramientos y de las certificaciones de contratos.</w:t>
            </w:r>
          </w:p>
        </w:tc>
        <w:tc>
          <w:tcPr>
            <w:tcW w:w="2887" w:type="dxa"/>
            <w:tcBorders>
              <w:bottom w:val="single" w:sz="4" w:space="0" w:color="auto"/>
            </w:tcBorders>
            <w:shd w:val="clear" w:color="auto" w:fill="E2F0DF" w:themeFill="accent3" w:themeFillTint="33"/>
            <w:vAlign w:val="center"/>
          </w:tcPr>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Dirección de Tecnología de la Información.</w:t>
            </w:r>
          </w:p>
        </w:tc>
        <w:tc>
          <w:tcPr>
            <w:tcW w:w="4593" w:type="dxa"/>
            <w:shd w:val="clear" w:color="auto" w:fill="F2F2F2" w:themeFill="background1" w:themeFillShade="F2"/>
            <w:vAlign w:val="center"/>
          </w:tcPr>
          <w:p w:rsidR="00B5255A" w:rsidRPr="00BB231B" w:rsidRDefault="00B5255A" w:rsidP="009A56D5">
            <w:pPr>
              <w:pStyle w:val="Tabla-normalblanco"/>
              <w:rPr>
                <w:rFonts w:ascii="Times New Roman" w:hAnsi="Times New Roman" w:cs="Times New Roman"/>
                <w:color w:val="000000" w:themeColor="text1"/>
                <w:sz w:val="20"/>
                <w:szCs w:val="16"/>
                <w:lang w:val="es-DO"/>
              </w:rPr>
            </w:pPr>
          </w:p>
          <w:p w:rsidR="00B5255A" w:rsidRPr="00BB231B" w:rsidRDefault="00C83B76" w:rsidP="00C175F9">
            <w:pPr>
              <w:pStyle w:val="Tabla-normalblanco"/>
              <w:rPr>
                <w:rFonts w:ascii="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Dirigido a todos los proveedores del Estado que tengan relaciones comerciales con el gobierno, con el objetivo de proporcionarles información actualizada de manera ágil y oportuna con respecto al estatus de los libramientos y contratos registrados en la Contraloría General de la República.</w:t>
            </w:r>
          </w:p>
        </w:tc>
      </w:tr>
      <w:tr w:rsidR="00C83B76" w:rsidRPr="00BB231B" w:rsidTr="000F3B5E">
        <w:trPr>
          <w:trHeight w:val="579"/>
        </w:trPr>
        <w:tc>
          <w:tcPr>
            <w:tcW w:w="1587" w:type="dxa"/>
            <w:tcBorders>
              <w:right w:val="single" w:sz="4" w:space="0" w:color="auto"/>
            </w:tcBorders>
            <w:shd w:val="clear" w:color="auto" w:fill="AAD4A0"/>
            <w:vAlign w:val="center"/>
          </w:tcPr>
          <w:p w:rsidR="00C83B76" w:rsidRPr="00BB231B" w:rsidRDefault="00C83B76" w:rsidP="009A56D5">
            <w:pPr>
              <w:pStyle w:val="Tabla-normalblanco"/>
              <w:jc w:val="center"/>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Ofrecer a los ciudadanos las informaciones producidas por la Contraloría General de la República.</w:t>
            </w:r>
          </w:p>
        </w:tc>
        <w:tc>
          <w:tcPr>
            <w:tcW w:w="2887" w:type="dxa"/>
            <w:tcBorders>
              <w:left w:val="single" w:sz="4" w:space="0" w:color="auto"/>
            </w:tcBorders>
            <w:shd w:val="clear" w:color="auto" w:fill="E2F0DF" w:themeFill="accent3" w:themeFillTint="33"/>
            <w:vAlign w:val="center"/>
          </w:tcPr>
          <w:p w:rsidR="00C83B76" w:rsidRPr="00BB231B" w:rsidRDefault="00C83B76" w:rsidP="009A56D5">
            <w:pPr>
              <w:pStyle w:val="Tabla-normalblanco"/>
              <w:jc w:val="left"/>
              <w:rPr>
                <w:rFonts w:ascii="Times New Roman" w:hAnsi="Times New Roman" w:cs="Times New Roman"/>
                <w:b/>
                <w:color w:val="000000" w:themeColor="text1"/>
                <w:szCs w:val="16"/>
                <w:lang w:val="es-DO"/>
              </w:rPr>
            </w:pPr>
            <w:r w:rsidRPr="00BB231B">
              <w:rPr>
                <w:rFonts w:ascii="Times New Roman" w:hAnsi="Times New Roman" w:cs="Times New Roman"/>
                <w:b/>
                <w:color w:val="000000" w:themeColor="text1"/>
                <w:szCs w:val="16"/>
                <w:lang w:val="es-DO"/>
              </w:rPr>
              <w:t>Libre Acceso a la Información.</w:t>
            </w:r>
          </w:p>
        </w:tc>
        <w:tc>
          <w:tcPr>
            <w:tcW w:w="4593" w:type="dxa"/>
            <w:shd w:val="clear" w:color="auto" w:fill="F2F2F2" w:themeFill="background1" w:themeFillShade="F2"/>
            <w:vAlign w:val="center"/>
          </w:tcPr>
          <w:p w:rsidR="00B5255A" w:rsidRPr="00BB231B" w:rsidRDefault="00C83B76" w:rsidP="00C175F9">
            <w:pPr>
              <w:pStyle w:val="Tabla-normalblanco"/>
              <w:rPr>
                <w:rFonts w:ascii="Times New Roman" w:hAnsi="Times New Roman" w:cs="Times New Roman"/>
                <w:color w:val="000000" w:themeColor="text1"/>
                <w:sz w:val="20"/>
                <w:szCs w:val="16"/>
                <w:lang w:val="es-DO"/>
              </w:rPr>
            </w:pPr>
            <w:r w:rsidRPr="00BB231B">
              <w:rPr>
                <w:rFonts w:ascii="Times New Roman" w:hAnsi="Times New Roman" w:cs="Times New Roman"/>
                <w:color w:val="000000" w:themeColor="text1"/>
                <w:sz w:val="20"/>
                <w:szCs w:val="16"/>
                <w:lang w:val="es-DO"/>
              </w:rPr>
              <w:t>Garantizar al ciudadano y ciudadana el derecho de acceso a la información pública que contempla la Ley 200-04, en cuanto a recibir información completa, veraz y oportuna de los actos y actividades que competen a la Contraloría General de la Republica, salvo las restricciones contempladas en los Artículos 17 y 18 de la referida ley.</w:t>
            </w:r>
          </w:p>
        </w:tc>
      </w:tr>
    </w:tbl>
    <w:p w:rsidR="00BF2F31" w:rsidRPr="00BB231B" w:rsidRDefault="00BF2F31" w:rsidP="00BF2F31">
      <w:pPr>
        <w:pStyle w:val="Normal-blanco"/>
        <w:spacing w:before="0" w:after="0"/>
        <w:ind w:right="199"/>
        <w:outlineLvl w:val="0"/>
        <w:rPr>
          <w:rStyle w:val="nfasissutil"/>
          <w:rFonts w:ascii="Times New Roman" w:hAnsi="Times New Roman" w:cs="Times New Roman"/>
          <w:b/>
          <w:color w:val="000000" w:themeColor="text1"/>
          <w:sz w:val="28"/>
          <w:lang w:val="es-DO"/>
        </w:rPr>
      </w:pPr>
    </w:p>
    <w:p w:rsidR="00917B65" w:rsidRPr="00BB231B" w:rsidRDefault="00BF2F31" w:rsidP="00A9091C">
      <w:pPr>
        <w:pStyle w:val="Normal-blanco"/>
        <w:numPr>
          <w:ilvl w:val="0"/>
          <w:numId w:val="23"/>
        </w:numPr>
        <w:spacing w:before="0" w:after="0"/>
        <w:ind w:right="199"/>
        <w:outlineLvl w:val="0"/>
        <w:rPr>
          <w:rStyle w:val="nfasissutil"/>
          <w:rFonts w:ascii="Times New Roman" w:hAnsi="Times New Roman" w:cs="Times New Roman"/>
          <w:b/>
          <w:color w:val="000000" w:themeColor="text1"/>
          <w:sz w:val="32"/>
          <w:szCs w:val="32"/>
          <w:lang w:val="es-DO"/>
        </w:rPr>
      </w:pPr>
      <w:bookmarkStart w:id="23" w:name="_Toc500858013"/>
      <w:bookmarkStart w:id="24" w:name="_Toc500858163"/>
      <w:bookmarkStart w:id="25" w:name="_Toc500918589"/>
      <w:r w:rsidRPr="00BB231B">
        <w:rPr>
          <w:rStyle w:val="nfasissutil"/>
          <w:rFonts w:ascii="Times New Roman" w:hAnsi="Times New Roman" w:cs="Times New Roman"/>
          <w:b/>
          <w:color w:val="000000" w:themeColor="text1"/>
          <w:sz w:val="32"/>
          <w:szCs w:val="32"/>
          <w:lang w:val="es-DO"/>
        </w:rPr>
        <w:t>RESULTADOS DE LA GESTIÓN DEL AÑO</w:t>
      </w:r>
      <w:bookmarkEnd w:id="23"/>
      <w:bookmarkEnd w:id="24"/>
      <w:bookmarkEnd w:id="25"/>
    </w:p>
    <w:p w:rsidR="002548C7" w:rsidRPr="00BB231B" w:rsidRDefault="002548C7" w:rsidP="009A56D5">
      <w:pPr>
        <w:pStyle w:val="Normal-blanco"/>
        <w:spacing w:before="0" w:after="0"/>
        <w:ind w:right="199"/>
        <w:rPr>
          <w:rStyle w:val="nfasissutil"/>
          <w:rFonts w:ascii="Times New Roman" w:hAnsi="Times New Roman" w:cs="Times New Roman"/>
          <w:b/>
          <w:color w:val="000000" w:themeColor="text1"/>
          <w:sz w:val="22"/>
          <w:lang w:val="es-DO"/>
        </w:rPr>
      </w:pPr>
    </w:p>
    <w:p w:rsidR="00AE2C68" w:rsidRPr="00BB231B" w:rsidRDefault="00AE2C68" w:rsidP="009A56D5">
      <w:pPr>
        <w:pStyle w:val="Normal-blanco"/>
        <w:spacing w:before="0" w:after="0"/>
        <w:ind w:right="199"/>
        <w:rPr>
          <w:rStyle w:val="nfasissutil"/>
          <w:rFonts w:ascii="Times New Roman" w:hAnsi="Times New Roman" w:cs="Times New Roman"/>
          <w:b/>
          <w:color w:val="000000" w:themeColor="text1"/>
          <w:sz w:val="22"/>
          <w:lang w:val="es-DO"/>
        </w:rPr>
      </w:pPr>
    </w:p>
    <w:p w:rsidR="00BF2F31" w:rsidRPr="00BB231B" w:rsidRDefault="00BF2F31" w:rsidP="00A9091C">
      <w:pPr>
        <w:pStyle w:val="Normal-blanco"/>
        <w:numPr>
          <w:ilvl w:val="0"/>
          <w:numId w:val="51"/>
        </w:numPr>
        <w:spacing w:before="0" w:after="0"/>
        <w:ind w:right="199"/>
        <w:outlineLvl w:val="1"/>
        <w:rPr>
          <w:rStyle w:val="nfasissutil"/>
          <w:rFonts w:ascii="Times New Roman" w:hAnsi="Times New Roman" w:cs="Times New Roman"/>
          <w:b/>
          <w:color w:val="000000" w:themeColor="text1"/>
          <w:sz w:val="28"/>
          <w:lang w:val="es-DO"/>
        </w:rPr>
      </w:pPr>
      <w:bookmarkStart w:id="26" w:name="_Toc500858014"/>
      <w:bookmarkStart w:id="27" w:name="_Toc500858164"/>
      <w:bookmarkStart w:id="28" w:name="_Toc500918590"/>
      <w:bookmarkStart w:id="29" w:name="_Toc488412824"/>
      <w:r w:rsidRPr="00BB231B">
        <w:rPr>
          <w:rStyle w:val="nfasissutil"/>
          <w:rFonts w:ascii="Times New Roman" w:hAnsi="Times New Roman" w:cs="Times New Roman"/>
          <w:b/>
          <w:color w:val="000000" w:themeColor="text1"/>
          <w:sz w:val="28"/>
          <w:lang w:val="es-DO"/>
        </w:rPr>
        <w:t>Metas Presidenciales:</w:t>
      </w:r>
      <w:bookmarkEnd w:id="26"/>
      <w:bookmarkEnd w:id="27"/>
      <w:bookmarkEnd w:id="28"/>
    </w:p>
    <w:p w:rsidR="00AE2C68" w:rsidRPr="00BB231B" w:rsidRDefault="00AE2C68" w:rsidP="00AE2C68">
      <w:pPr>
        <w:pStyle w:val="Normal-blanco"/>
        <w:spacing w:before="0" w:after="0"/>
        <w:ind w:right="199"/>
        <w:outlineLvl w:val="1"/>
        <w:rPr>
          <w:rStyle w:val="nfasissutil"/>
          <w:rFonts w:ascii="Times New Roman" w:hAnsi="Times New Roman" w:cs="Times New Roman"/>
          <w:b/>
          <w:color w:val="000000" w:themeColor="text1"/>
          <w:sz w:val="28"/>
          <w:lang w:val="es-DO"/>
        </w:rPr>
      </w:pPr>
    </w:p>
    <w:p w:rsidR="00B31D66" w:rsidRPr="00BB231B" w:rsidRDefault="00B31D66" w:rsidP="00256145">
      <w:pPr>
        <w:spacing w:line="480" w:lineRule="auto"/>
        <w:ind w:firstLine="709"/>
        <w:rPr>
          <w:rFonts w:ascii="Times New Roman" w:hAnsi="Times New Roman" w:cs="Times New Roman"/>
          <w:b/>
          <w:i/>
          <w:color w:val="auto"/>
          <w:sz w:val="24"/>
        </w:rPr>
      </w:pPr>
      <w:r w:rsidRPr="00BB231B">
        <w:rPr>
          <w:rFonts w:ascii="Times New Roman" w:hAnsi="Times New Roman" w:cs="Times New Roman"/>
          <w:color w:val="auto"/>
          <w:sz w:val="24"/>
        </w:rPr>
        <w:t xml:space="preserve">La Contraloría General de la República apoya el cumplimiento del Mandato Presidencial, particularmente lo manifestado en </w:t>
      </w:r>
      <w:r w:rsidR="00D41EC2" w:rsidRPr="00BB231B">
        <w:rPr>
          <w:rFonts w:ascii="Times New Roman" w:hAnsi="Times New Roman" w:cs="Times New Roman"/>
          <w:color w:val="auto"/>
          <w:sz w:val="24"/>
        </w:rPr>
        <w:t>el</w:t>
      </w:r>
      <w:r w:rsidRPr="00BB231B">
        <w:rPr>
          <w:rFonts w:ascii="Times New Roman" w:hAnsi="Times New Roman" w:cs="Times New Roman"/>
          <w:color w:val="auto"/>
          <w:sz w:val="24"/>
        </w:rPr>
        <w:t xml:space="preserve"> discurso de rendición de cuentas y toma de posesión en agosto de 2016, en el cual </w:t>
      </w:r>
      <w:r w:rsidR="00307FED" w:rsidRPr="00BB231B">
        <w:rPr>
          <w:rFonts w:ascii="Times New Roman" w:hAnsi="Times New Roman" w:cs="Times New Roman"/>
          <w:color w:val="auto"/>
          <w:sz w:val="24"/>
        </w:rPr>
        <w:t>el presidente Danilo medina enfatizó</w:t>
      </w:r>
      <w:r w:rsidRPr="00BB231B">
        <w:rPr>
          <w:rFonts w:ascii="Times New Roman" w:hAnsi="Times New Roman" w:cs="Times New Roman"/>
          <w:color w:val="auto"/>
          <w:sz w:val="24"/>
        </w:rPr>
        <w:t xml:space="preserve">: </w:t>
      </w:r>
      <w:r w:rsidRPr="00BB231B">
        <w:rPr>
          <w:rFonts w:ascii="Times New Roman" w:hAnsi="Times New Roman" w:cs="Times New Roman"/>
          <w:b/>
          <w:i/>
          <w:color w:val="auto"/>
          <w:sz w:val="24"/>
        </w:rPr>
        <w:t>“… el gobierno llevará a cabo un vigoroso programa de fomento de la transparencia, la institucionalidad y la lucha contra la corrupción, que incluye: … Incrementar la capacidad operativa de la Contraloría General de la República, para que se asuma plenamente en todas las instituciones del Estado, incluyendo ayuntamientos.”</w:t>
      </w:r>
    </w:p>
    <w:p w:rsidR="00BF2F31" w:rsidRPr="00BB231B" w:rsidRDefault="00864E25" w:rsidP="00256145">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En</w:t>
      </w:r>
      <w:r w:rsidR="00B31D66" w:rsidRPr="00BB231B">
        <w:rPr>
          <w:rFonts w:ascii="Times New Roman" w:hAnsi="Times New Roman" w:cs="Times New Roman"/>
          <w:color w:val="auto"/>
          <w:sz w:val="24"/>
        </w:rPr>
        <w:t xml:space="preserve"> consistencia con este mandato, </w:t>
      </w:r>
      <w:r w:rsidRPr="00BB231B">
        <w:rPr>
          <w:rFonts w:ascii="Times New Roman" w:hAnsi="Times New Roman" w:cs="Times New Roman"/>
          <w:color w:val="auto"/>
          <w:sz w:val="24"/>
        </w:rPr>
        <w:t xml:space="preserve">la CGR </w:t>
      </w:r>
      <w:r w:rsidR="00353DB3" w:rsidRPr="00BB231B">
        <w:rPr>
          <w:rFonts w:ascii="Times New Roman" w:hAnsi="Times New Roman" w:cs="Times New Roman"/>
          <w:color w:val="auto"/>
          <w:sz w:val="24"/>
        </w:rPr>
        <w:t xml:space="preserve">ha desarrollado </w:t>
      </w:r>
      <w:r w:rsidR="00B31D66" w:rsidRPr="00BB231B">
        <w:rPr>
          <w:rFonts w:ascii="Times New Roman" w:hAnsi="Times New Roman" w:cs="Times New Roman"/>
          <w:color w:val="auto"/>
          <w:sz w:val="24"/>
        </w:rPr>
        <w:t>un proyecto que le permitirá de manera paulatina, ampliar su capacidad operativa en el ámbito de su competencia, mediante el ejercicio de su misión.</w:t>
      </w:r>
    </w:p>
    <w:p w:rsidR="00307FED" w:rsidRPr="00BB231B" w:rsidRDefault="00864E25" w:rsidP="00256145">
      <w:pPr>
        <w:spacing w:line="480" w:lineRule="auto"/>
        <w:ind w:firstLine="709"/>
        <w:rPr>
          <w:rFonts w:ascii="Times New Roman" w:hAnsi="Times New Roman" w:cs="Times New Roman"/>
          <w:b/>
          <w:color w:val="FF0000"/>
          <w:sz w:val="24"/>
          <w:szCs w:val="24"/>
        </w:rPr>
      </w:pPr>
      <w:r w:rsidRPr="00BB231B">
        <w:rPr>
          <w:rFonts w:ascii="Times New Roman" w:hAnsi="Times New Roman" w:cs="Times New Roman"/>
          <w:color w:val="auto"/>
          <w:sz w:val="24"/>
          <w:szCs w:val="24"/>
        </w:rPr>
        <w:lastRenderedPageBreak/>
        <w:t>La meta c</w:t>
      </w:r>
      <w:r w:rsidR="00307FED" w:rsidRPr="00BB231B">
        <w:rPr>
          <w:rFonts w:ascii="Times New Roman" w:hAnsi="Times New Roman" w:cs="Times New Roman"/>
          <w:color w:val="auto"/>
          <w:sz w:val="24"/>
          <w:szCs w:val="24"/>
        </w:rPr>
        <w:t>o</w:t>
      </w:r>
      <w:r w:rsidR="007117B0" w:rsidRPr="00BB231B">
        <w:rPr>
          <w:rFonts w:ascii="Times New Roman" w:hAnsi="Times New Roman" w:cs="Times New Roman"/>
          <w:color w:val="auto"/>
          <w:sz w:val="24"/>
          <w:szCs w:val="24"/>
        </w:rPr>
        <w:t>nsiste en ampliar la capacidad o</w:t>
      </w:r>
      <w:r w:rsidR="00307FED" w:rsidRPr="00BB231B">
        <w:rPr>
          <w:rFonts w:ascii="Times New Roman" w:hAnsi="Times New Roman" w:cs="Times New Roman"/>
          <w:color w:val="auto"/>
          <w:sz w:val="24"/>
          <w:szCs w:val="24"/>
        </w:rPr>
        <w:t>pe</w:t>
      </w:r>
      <w:r w:rsidR="007117B0" w:rsidRPr="00BB231B">
        <w:rPr>
          <w:rFonts w:ascii="Times New Roman" w:hAnsi="Times New Roman" w:cs="Times New Roman"/>
          <w:color w:val="auto"/>
          <w:sz w:val="24"/>
          <w:szCs w:val="24"/>
        </w:rPr>
        <w:t xml:space="preserve">rativa de la CGR </w:t>
      </w:r>
      <w:r w:rsidR="008A6703" w:rsidRPr="00BB231B">
        <w:rPr>
          <w:rFonts w:ascii="Times New Roman" w:hAnsi="Times New Roman" w:cs="Times New Roman"/>
          <w:color w:val="auto"/>
          <w:sz w:val="24"/>
          <w:szCs w:val="24"/>
        </w:rPr>
        <w:t xml:space="preserve">incrementando nuestra presencia </w:t>
      </w:r>
      <w:r w:rsidR="007117B0" w:rsidRPr="00BB231B">
        <w:rPr>
          <w:rFonts w:ascii="Times New Roman" w:hAnsi="Times New Roman" w:cs="Times New Roman"/>
          <w:color w:val="auto"/>
          <w:sz w:val="24"/>
          <w:szCs w:val="24"/>
        </w:rPr>
        <w:t>de 317  a 667 i</w:t>
      </w:r>
      <w:r w:rsidR="00307FED" w:rsidRPr="00BB231B">
        <w:rPr>
          <w:rFonts w:ascii="Times New Roman" w:hAnsi="Times New Roman" w:cs="Times New Roman"/>
          <w:color w:val="auto"/>
          <w:sz w:val="24"/>
          <w:szCs w:val="24"/>
        </w:rPr>
        <w:t>nstituciones</w:t>
      </w:r>
      <w:r w:rsidR="008A6703" w:rsidRPr="00BB231B">
        <w:rPr>
          <w:rFonts w:ascii="Times New Roman" w:hAnsi="Times New Roman" w:cs="Times New Roman"/>
          <w:color w:val="auto"/>
          <w:sz w:val="24"/>
          <w:szCs w:val="24"/>
        </w:rPr>
        <w:t xml:space="preserve"> hacia el año 2020, </w:t>
      </w:r>
      <w:r w:rsidR="007117B0" w:rsidRPr="00BB231B">
        <w:rPr>
          <w:rFonts w:ascii="Times New Roman" w:hAnsi="Times New Roman" w:cs="Times New Roman"/>
          <w:color w:val="auto"/>
          <w:sz w:val="24"/>
          <w:szCs w:val="24"/>
        </w:rPr>
        <w:t xml:space="preserve"> lo cual representa un incremento</w:t>
      </w:r>
      <w:r w:rsidR="008A6703" w:rsidRPr="00BB231B">
        <w:rPr>
          <w:rFonts w:ascii="Times New Roman" w:hAnsi="Times New Roman" w:cs="Times New Roman"/>
          <w:color w:val="auto"/>
          <w:sz w:val="24"/>
          <w:szCs w:val="24"/>
        </w:rPr>
        <w:t xml:space="preserve"> de nuestra cobertura  de un 47%, del 100% de las instituciones  que se encuentran bajo el ámbito de la ley 10-07 que tenemos previsto lograr</w:t>
      </w:r>
      <w:r w:rsidR="00307FED" w:rsidRPr="00BB231B">
        <w:rPr>
          <w:rFonts w:ascii="Times New Roman" w:hAnsi="Times New Roman" w:cs="Times New Roman"/>
          <w:color w:val="auto"/>
          <w:sz w:val="24"/>
          <w:szCs w:val="24"/>
        </w:rPr>
        <w:t>.</w:t>
      </w:r>
      <w:r w:rsidR="008A6703" w:rsidRPr="00BB231B">
        <w:rPr>
          <w:rFonts w:ascii="Times New Roman" w:hAnsi="Times New Roman" w:cs="Times New Roman"/>
          <w:color w:val="auto"/>
          <w:sz w:val="24"/>
          <w:szCs w:val="24"/>
        </w:rPr>
        <w:t xml:space="preserve"> </w:t>
      </w:r>
      <w:r w:rsidR="00307FED" w:rsidRPr="00BB231B">
        <w:rPr>
          <w:rFonts w:ascii="Times New Roman" w:hAnsi="Times New Roman" w:cs="Times New Roman"/>
          <w:color w:val="auto"/>
          <w:sz w:val="24"/>
          <w:szCs w:val="24"/>
        </w:rPr>
        <w:t xml:space="preserve"> Esto </w:t>
      </w:r>
      <w:r w:rsidR="00A05EAA" w:rsidRPr="00BB231B">
        <w:rPr>
          <w:rFonts w:ascii="Times New Roman" w:hAnsi="Times New Roman" w:cs="Times New Roman"/>
          <w:color w:val="auto"/>
          <w:sz w:val="24"/>
          <w:szCs w:val="24"/>
        </w:rPr>
        <w:t xml:space="preserve">significa </w:t>
      </w:r>
      <w:r w:rsidR="00307FED" w:rsidRPr="00BB231B">
        <w:rPr>
          <w:rFonts w:ascii="Times New Roman" w:hAnsi="Times New Roman" w:cs="Times New Roman"/>
          <w:color w:val="auto"/>
          <w:sz w:val="24"/>
          <w:szCs w:val="24"/>
        </w:rPr>
        <w:t xml:space="preserve"> incrementar </w:t>
      </w:r>
      <w:r w:rsidR="007117B0" w:rsidRPr="00BB231B">
        <w:rPr>
          <w:rFonts w:ascii="Times New Roman" w:hAnsi="Times New Roman" w:cs="Times New Roman"/>
          <w:color w:val="auto"/>
          <w:sz w:val="24"/>
          <w:szCs w:val="24"/>
        </w:rPr>
        <w:t xml:space="preserve"> nuestro</w:t>
      </w:r>
      <w:r w:rsidR="00A05EAA" w:rsidRPr="00BB231B">
        <w:rPr>
          <w:rFonts w:ascii="Times New Roman" w:hAnsi="Times New Roman" w:cs="Times New Roman"/>
          <w:color w:val="auto"/>
          <w:sz w:val="24"/>
          <w:szCs w:val="24"/>
        </w:rPr>
        <w:t xml:space="preserve"> </w:t>
      </w:r>
      <w:r w:rsidR="006F6645" w:rsidRPr="00BB231B">
        <w:rPr>
          <w:rFonts w:ascii="Times New Roman" w:hAnsi="Times New Roman" w:cs="Times New Roman"/>
          <w:color w:val="auto"/>
          <w:sz w:val="24"/>
          <w:szCs w:val="24"/>
        </w:rPr>
        <w:t xml:space="preserve">alcance  a </w:t>
      </w:r>
      <w:r w:rsidR="00FD62C5" w:rsidRPr="00BB231B">
        <w:rPr>
          <w:rFonts w:ascii="Times New Roman" w:hAnsi="Times New Roman" w:cs="Times New Roman"/>
          <w:color w:val="auto"/>
          <w:sz w:val="24"/>
          <w:szCs w:val="24"/>
        </w:rPr>
        <w:t xml:space="preserve"> 350 instituciones más</w:t>
      </w:r>
      <w:r w:rsidR="0045459D" w:rsidRPr="00BB231B">
        <w:rPr>
          <w:rFonts w:ascii="Times New Roman" w:hAnsi="Times New Roman" w:cs="Times New Roman"/>
          <w:color w:val="auto"/>
          <w:sz w:val="24"/>
          <w:szCs w:val="24"/>
        </w:rPr>
        <w:t xml:space="preserve">, conforme al </w:t>
      </w:r>
      <w:r w:rsidR="006F6645" w:rsidRPr="00BB231B">
        <w:rPr>
          <w:rFonts w:ascii="Times New Roman" w:hAnsi="Times New Roman" w:cs="Times New Roman"/>
          <w:color w:val="auto"/>
          <w:sz w:val="24"/>
          <w:szCs w:val="24"/>
        </w:rPr>
        <w:t xml:space="preserve"> manual clasificador presupuestario</w:t>
      </w:r>
      <w:r w:rsidR="0045459D" w:rsidRPr="00BB231B">
        <w:rPr>
          <w:rFonts w:ascii="Times New Roman" w:hAnsi="Times New Roman" w:cs="Times New Roman"/>
          <w:color w:val="auto"/>
          <w:sz w:val="24"/>
          <w:szCs w:val="24"/>
        </w:rPr>
        <w:t xml:space="preserve"> del año </w:t>
      </w:r>
      <w:r w:rsidR="006F6645" w:rsidRPr="00BB231B">
        <w:rPr>
          <w:rFonts w:ascii="Times New Roman" w:hAnsi="Times New Roman" w:cs="Times New Roman"/>
          <w:color w:val="auto"/>
          <w:sz w:val="24"/>
          <w:szCs w:val="24"/>
        </w:rPr>
        <w:t xml:space="preserve"> 2014</w:t>
      </w:r>
      <w:r w:rsidR="0045459D" w:rsidRPr="00BB231B">
        <w:rPr>
          <w:rFonts w:ascii="Times New Roman" w:hAnsi="Times New Roman" w:cs="Times New Roman"/>
          <w:color w:val="auto"/>
          <w:sz w:val="24"/>
          <w:szCs w:val="24"/>
        </w:rPr>
        <w:t xml:space="preserve">, </w:t>
      </w:r>
      <w:r w:rsidR="006F6645" w:rsidRPr="00BB231B">
        <w:rPr>
          <w:rFonts w:ascii="Times New Roman" w:hAnsi="Times New Roman" w:cs="Times New Roman"/>
          <w:color w:val="auto"/>
          <w:sz w:val="24"/>
          <w:szCs w:val="24"/>
        </w:rPr>
        <w:t xml:space="preserve"> para las instituciones</w:t>
      </w:r>
      <w:r w:rsidR="0045459D" w:rsidRPr="00BB231B">
        <w:rPr>
          <w:rFonts w:ascii="Times New Roman" w:hAnsi="Times New Roman" w:cs="Times New Roman"/>
          <w:color w:val="auto"/>
          <w:sz w:val="24"/>
          <w:szCs w:val="24"/>
        </w:rPr>
        <w:t xml:space="preserve"> más </w:t>
      </w:r>
      <w:r w:rsidR="006F6645" w:rsidRPr="00BB231B">
        <w:rPr>
          <w:rFonts w:ascii="Times New Roman" w:hAnsi="Times New Roman" w:cs="Times New Roman"/>
          <w:color w:val="auto"/>
          <w:sz w:val="24"/>
          <w:szCs w:val="24"/>
        </w:rPr>
        <w:t xml:space="preserve"> sus dependencias)</w:t>
      </w:r>
      <w:r w:rsidR="00F8707E" w:rsidRPr="00BB231B">
        <w:rPr>
          <w:rFonts w:ascii="Times New Roman" w:hAnsi="Times New Roman" w:cs="Times New Roman"/>
          <w:color w:val="auto"/>
          <w:sz w:val="24"/>
          <w:szCs w:val="24"/>
        </w:rPr>
        <w:t>,</w:t>
      </w:r>
      <w:r w:rsidR="006F6645" w:rsidRPr="00BB231B">
        <w:rPr>
          <w:rFonts w:ascii="Times New Roman" w:hAnsi="Times New Roman" w:cs="Times New Roman"/>
          <w:color w:val="auto"/>
          <w:sz w:val="24"/>
          <w:szCs w:val="24"/>
        </w:rPr>
        <w:t xml:space="preserve"> </w:t>
      </w:r>
      <w:r w:rsidR="007117B0" w:rsidRPr="00BB231B">
        <w:rPr>
          <w:rFonts w:ascii="Times New Roman" w:hAnsi="Times New Roman" w:cs="Times New Roman"/>
          <w:color w:val="auto"/>
          <w:sz w:val="24"/>
          <w:szCs w:val="24"/>
        </w:rPr>
        <w:t xml:space="preserve"> es decir; </w:t>
      </w:r>
      <w:r w:rsidR="0012540E" w:rsidRPr="00BB231B">
        <w:rPr>
          <w:rFonts w:ascii="Times New Roman" w:hAnsi="Times New Roman" w:cs="Times New Roman"/>
          <w:color w:val="auto"/>
          <w:sz w:val="24"/>
          <w:szCs w:val="24"/>
        </w:rPr>
        <w:t xml:space="preserve"> (140</w:t>
      </w:r>
      <w:r w:rsidR="00307FED" w:rsidRPr="00BB231B">
        <w:rPr>
          <w:rFonts w:ascii="Times New Roman" w:hAnsi="Times New Roman" w:cs="Times New Roman"/>
          <w:color w:val="auto"/>
          <w:sz w:val="24"/>
          <w:szCs w:val="24"/>
        </w:rPr>
        <w:t xml:space="preserve"> Hospitales, </w:t>
      </w:r>
      <w:r w:rsidR="00F8707E" w:rsidRPr="00BB231B">
        <w:rPr>
          <w:rFonts w:ascii="Times New Roman" w:hAnsi="Times New Roman" w:cs="Times New Roman"/>
          <w:color w:val="auto"/>
          <w:sz w:val="24"/>
          <w:szCs w:val="24"/>
        </w:rPr>
        <w:t>54</w:t>
      </w:r>
      <w:r w:rsidR="00307FED" w:rsidRPr="00BB231B">
        <w:rPr>
          <w:rFonts w:ascii="Times New Roman" w:hAnsi="Times New Roman" w:cs="Times New Roman"/>
          <w:color w:val="auto"/>
          <w:sz w:val="24"/>
          <w:szCs w:val="24"/>
        </w:rPr>
        <w:t xml:space="preserve"> instituciones descen</w:t>
      </w:r>
      <w:r w:rsidR="0045459D" w:rsidRPr="00BB231B">
        <w:rPr>
          <w:rFonts w:ascii="Times New Roman" w:hAnsi="Times New Roman" w:cs="Times New Roman"/>
          <w:color w:val="auto"/>
          <w:sz w:val="24"/>
          <w:szCs w:val="24"/>
        </w:rPr>
        <w:t xml:space="preserve">tralizadas, </w:t>
      </w:r>
      <w:r w:rsidR="008A6703" w:rsidRPr="00BB231B">
        <w:rPr>
          <w:rFonts w:ascii="Times New Roman" w:hAnsi="Times New Roman" w:cs="Times New Roman"/>
          <w:color w:val="auto"/>
          <w:sz w:val="24"/>
          <w:szCs w:val="24"/>
        </w:rPr>
        <w:t xml:space="preserve"> </w:t>
      </w:r>
      <w:r w:rsidR="006F6645" w:rsidRPr="00BB231B">
        <w:rPr>
          <w:rFonts w:ascii="Times New Roman" w:hAnsi="Times New Roman" w:cs="Times New Roman"/>
          <w:color w:val="auto"/>
          <w:sz w:val="24"/>
          <w:szCs w:val="24"/>
        </w:rPr>
        <w:t>10 centralizadas</w:t>
      </w:r>
      <w:r w:rsidR="0045459D" w:rsidRPr="00BB231B">
        <w:rPr>
          <w:rFonts w:ascii="Times New Roman" w:hAnsi="Times New Roman" w:cs="Times New Roman"/>
          <w:color w:val="auto"/>
          <w:sz w:val="24"/>
          <w:szCs w:val="24"/>
        </w:rPr>
        <w:t xml:space="preserve"> y 146 Ayuntamientos, estos últimos a través de la figura del Contralor  Municipal).</w:t>
      </w:r>
    </w:p>
    <w:p w:rsidR="00F12CDC" w:rsidRPr="00BB231B" w:rsidRDefault="00F12CDC" w:rsidP="00005BA4">
      <w:pPr>
        <w:spacing w:line="480" w:lineRule="auto"/>
        <w:rPr>
          <w:rFonts w:ascii="Times New Roman" w:hAnsi="Times New Roman" w:cs="Times New Roman"/>
          <w:color w:val="FF0000"/>
          <w:sz w:val="24"/>
          <w:szCs w:val="24"/>
        </w:rPr>
      </w:pPr>
    </w:p>
    <w:p w:rsidR="00864E25" w:rsidRPr="00BB231B" w:rsidRDefault="00A86F8B" w:rsidP="00F12CDC">
      <w:pPr>
        <w:rPr>
          <w:rFonts w:ascii="Times New Roman" w:hAnsi="Times New Roman" w:cs="Times New Roman"/>
          <w:b/>
          <w:color w:val="auto"/>
          <w:sz w:val="28"/>
          <w:szCs w:val="24"/>
        </w:rPr>
      </w:pPr>
      <w:r w:rsidRPr="00BB231B">
        <w:rPr>
          <w:rFonts w:ascii="Times New Roman" w:hAnsi="Times New Roman" w:cs="Times New Roman"/>
          <w:b/>
          <w:color w:val="auto"/>
          <w:sz w:val="28"/>
          <w:szCs w:val="24"/>
        </w:rPr>
        <w:t>Principales l</w:t>
      </w:r>
      <w:r w:rsidR="00864E25" w:rsidRPr="00BB231B">
        <w:rPr>
          <w:rFonts w:ascii="Times New Roman" w:hAnsi="Times New Roman" w:cs="Times New Roman"/>
          <w:b/>
          <w:color w:val="auto"/>
          <w:sz w:val="28"/>
          <w:szCs w:val="24"/>
        </w:rPr>
        <w:t xml:space="preserve">ogros </w:t>
      </w:r>
      <w:r w:rsidR="00935015" w:rsidRPr="00BB231B">
        <w:rPr>
          <w:rFonts w:ascii="Times New Roman" w:hAnsi="Times New Roman" w:cs="Times New Roman"/>
          <w:b/>
          <w:color w:val="auto"/>
          <w:sz w:val="28"/>
          <w:szCs w:val="24"/>
        </w:rPr>
        <w:t xml:space="preserve"> asociados a la meta</w:t>
      </w:r>
      <w:r w:rsidR="00935015" w:rsidRPr="00BB231B">
        <w:rPr>
          <w:rFonts w:ascii="Times New Roman" w:hAnsi="Times New Roman" w:cs="Times New Roman"/>
          <w:color w:val="auto"/>
          <w:sz w:val="28"/>
          <w:szCs w:val="24"/>
        </w:rPr>
        <w:t xml:space="preserve"> </w:t>
      </w:r>
      <w:r w:rsidR="00935015" w:rsidRPr="00BB231B">
        <w:rPr>
          <w:rFonts w:ascii="Times New Roman" w:hAnsi="Times New Roman" w:cs="Times New Roman"/>
          <w:b/>
          <w:color w:val="auto"/>
          <w:sz w:val="28"/>
          <w:szCs w:val="24"/>
        </w:rPr>
        <w:t>que han sido  a</w:t>
      </w:r>
      <w:r w:rsidR="00864E25" w:rsidRPr="00BB231B">
        <w:rPr>
          <w:rFonts w:ascii="Times New Roman" w:hAnsi="Times New Roman" w:cs="Times New Roman"/>
          <w:b/>
          <w:color w:val="auto"/>
          <w:sz w:val="28"/>
          <w:szCs w:val="24"/>
        </w:rPr>
        <w:t>lcanzados durante el 2017</w:t>
      </w:r>
      <w:r w:rsidR="00935015" w:rsidRPr="00BB231B">
        <w:rPr>
          <w:rFonts w:ascii="Times New Roman" w:hAnsi="Times New Roman" w:cs="Times New Roman"/>
          <w:b/>
          <w:color w:val="auto"/>
          <w:sz w:val="28"/>
          <w:szCs w:val="24"/>
        </w:rPr>
        <w:t>:</w:t>
      </w:r>
    </w:p>
    <w:p w:rsidR="003A7D9E" w:rsidRPr="00BB231B" w:rsidRDefault="003A7D9E" w:rsidP="00F12CDC">
      <w:pPr>
        <w:rPr>
          <w:rFonts w:ascii="Times New Roman" w:hAnsi="Times New Roman" w:cs="Times New Roman"/>
          <w:color w:val="auto"/>
          <w:sz w:val="28"/>
          <w:szCs w:val="24"/>
        </w:rPr>
      </w:pPr>
    </w:p>
    <w:p w:rsidR="003B26ED" w:rsidRPr="00BB231B" w:rsidRDefault="003A7D9E" w:rsidP="0013776D">
      <w:pPr>
        <w:pStyle w:val="Prrafodelista"/>
        <w:numPr>
          <w:ilvl w:val="0"/>
          <w:numId w:val="28"/>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Se han incorporado  </w:t>
      </w:r>
      <w:r w:rsidRPr="00BB231B">
        <w:rPr>
          <w:rFonts w:ascii="Times New Roman" w:hAnsi="Times New Roman" w:cs="Times New Roman"/>
          <w:b/>
          <w:color w:val="auto"/>
          <w:sz w:val="24"/>
          <w:szCs w:val="24"/>
        </w:rPr>
        <w:t xml:space="preserve">56 Hospitales </w:t>
      </w:r>
      <w:r w:rsidRPr="00BB231B">
        <w:rPr>
          <w:rFonts w:ascii="Times New Roman" w:hAnsi="Times New Roman" w:cs="Times New Roman"/>
          <w:color w:val="auto"/>
          <w:sz w:val="24"/>
          <w:szCs w:val="24"/>
        </w:rPr>
        <w:t xml:space="preserve">pertenecientes al Sistema Nacional de Salud, a los procesos y sistemas de Control Interno provistos por la </w:t>
      </w:r>
      <w:r w:rsidR="00BC2554" w:rsidRPr="00BB231B">
        <w:rPr>
          <w:rFonts w:ascii="Times New Roman" w:hAnsi="Times New Roman" w:cs="Times New Roman"/>
          <w:color w:val="auto"/>
          <w:sz w:val="24"/>
          <w:szCs w:val="24"/>
        </w:rPr>
        <w:t>Contraloría General de la República</w:t>
      </w:r>
      <w:r w:rsidR="00BF61B8" w:rsidRPr="00BB231B">
        <w:rPr>
          <w:rFonts w:ascii="Times New Roman" w:hAnsi="Times New Roman" w:cs="Times New Roman"/>
          <w:color w:val="auto"/>
          <w:sz w:val="24"/>
          <w:szCs w:val="24"/>
        </w:rPr>
        <w:t>.</w:t>
      </w:r>
      <w:r w:rsidR="003B26ED" w:rsidRPr="00BB231B">
        <w:rPr>
          <w:rFonts w:ascii="Times New Roman" w:hAnsi="Times New Roman" w:cs="Times New Roman"/>
          <w:color w:val="auto"/>
          <w:sz w:val="24"/>
          <w:szCs w:val="24"/>
        </w:rPr>
        <w:t xml:space="preserve"> Estas instituciones están tramitando las operaciones de Registro de Contratos para ser autorizadas por la Contraloría garantizando así  obtener  mayor transparencia y aseguramiento del  cumplimiento de las normativas de la ley 340-06 (Compras y Contrataciones) Ley 41-08  (Sobre Función Pública), Ley 10-07 (Sistema Nacional de Control Interno)</w:t>
      </w:r>
      <w:r w:rsidR="003B26ED" w:rsidRPr="00BB231B">
        <w:rPr>
          <w:rFonts w:ascii="Times New Roman" w:eastAsia="MS Mincho" w:hAnsi="Times New Roman" w:cs="Times New Roman"/>
          <w:color w:val="auto"/>
          <w:sz w:val="24"/>
          <w:szCs w:val="24"/>
        </w:rPr>
        <w:t xml:space="preserve"> y Reglamento No. 491-07</w:t>
      </w:r>
      <w:r w:rsidR="003B26ED" w:rsidRPr="00BB231B">
        <w:rPr>
          <w:rFonts w:ascii="Times New Roman" w:hAnsi="Times New Roman" w:cs="Times New Roman"/>
          <w:color w:val="auto"/>
          <w:sz w:val="24"/>
          <w:szCs w:val="24"/>
        </w:rPr>
        <w:t xml:space="preserve">, Ley </w:t>
      </w:r>
      <w:r w:rsidR="003B26ED" w:rsidRPr="00BB231B">
        <w:rPr>
          <w:rFonts w:ascii="Times New Roman" w:hAnsi="Times New Roman" w:cs="Times New Roman"/>
          <w:color w:val="auto"/>
          <w:sz w:val="24"/>
          <w:szCs w:val="24"/>
        </w:rPr>
        <w:lastRenderedPageBreak/>
        <w:t>423-06 (Sobre el presupuesto nacional) y su reglamento de aplicación 492-07</w:t>
      </w:r>
      <w:r w:rsidR="003B26ED" w:rsidRPr="00BB231B">
        <w:rPr>
          <w:rFonts w:ascii="Times New Roman" w:eastAsia="MS Mincho" w:hAnsi="Times New Roman" w:cs="Times New Roman"/>
          <w:color w:val="auto"/>
          <w:sz w:val="24"/>
          <w:szCs w:val="24"/>
        </w:rPr>
        <w:t>.</w:t>
      </w:r>
    </w:p>
    <w:p w:rsidR="00BF61B8" w:rsidRPr="00BB231B" w:rsidRDefault="00BF61B8" w:rsidP="003B26ED">
      <w:pPr>
        <w:pStyle w:val="Prrafodelista"/>
        <w:spacing w:line="480" w:lineRule="auto"/>
        <w:ind w:left="720" w:firstLine="0"/>
        <w:rPr>
          <w:rFonts w:ascii="Times New Roman" w:hAnsi="Times New Roman" w:cs="Times New Roman"/>
          <w:color w:val="auto"/>
          <w:sz w:val="24"/>
          <w:szCs w:val="24"/>
        </w:rPr>
      </w:pPr>
    </w:p>
    <w:p w:rsidR="003B26ED" w:rsidRPr="00BB231B" w:rsidRDefault="00BF61B8" w:rsidP="0013776D">
      <w:pPr>
        <w:pStyle w:val="Prrafodelista"/>
        <w:numPr>
          <w:ilvl w:val="0"/>
          <w:numId w:val="28"/>
        </w:numPr>
        <w:spacing w:line="480" w:lineRule="auto"/>
        <w:rPr>
          <w:rFonts w:ascii="Times New Roman" w:hAnsi="Times New Roman" w:cs="Times New Roman"/>
          <w:color w:val="auto"/>
          <w:sz w:val="24"/>
          <w:szCs w:val="24"/>
        </w:rPr>
      </w:pPr>
      <w:r w:rsidRPr="00BB231B">
        <w:rPr>
          <w:rFonts w:ascii="Times New Roman" w:hAnsi="Times New Roman" w:cs="Times New Roman"/>
          <w:b/>
          <w:color w:val="auto"/>
          <w:sz w:val="24"/>
          <w:szCs w:val="24"/>
        </w:rPr>
        <w:t>Se han capacitado un total de 347 colaboradores</w:t>
      </w:r>
      <w:r w:rsidR="00287273" w:rsidRPr="00BB231B">
        <w:rPr>
          <w:rFonts w:ascii="Times New Roman" w:hAnsi="Times New Roman" w:cs="Times New Roman"/>
          <w:b/>
          <w:color w:val="auto"/>
          <w:sz w:val="24"/>
          <w:szCs w:val="24"/>
        </w:rPr>
        <w:t xml:space="preserve"> públicos</w:t>
      </w:r>
      <w:r w:rsidR="00BB7851" w:rsidRPr="00BB231B">
        <w:rPr>
          <w:rFonts w:ascii="Times New Roman" w:hAnsi="Times New Roman" w:cs="Times New Roman"/>
          <w:color w:val="auto"/>
          <w:sz w:val="24"/>
          <w:szCs w:val="24"/>
        </w:rPr>
        <w:t xml:space="preserve"> e</w:t>
      </w:r>
      <w:r w:rsidRPr="00BB231B">
        <w:rPr>
          <w:rFonts w:ascii="Times New Roman" w:hAnsi="Times New Roman" w:cs="Times New Roman"/>
          <w:color w:val="auto"/>
          <w:sz w:val="24"/>
          <w:szCs w:val="24"/>
        </w:rPr>
        <w:t>n el nuevo proceso</w:t>
      </w:r>
      <w:r w:rsidR="00BB7851"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277 Originadores y Revisores</w:t>
      </w:r>
      <w:r w:rsidR="00287273" w:rsidRPr="00BB231B">
        <w:rPr>
          <w:rFonts w:ascii="Times New Roman" w:hAnsi="Times New Roman" w:cs="Times New Roman"/>
          <w:color w:val="auto"/>
          <w:sz w:val="24"/>
          <w:szCs w:val="24"/>
        </w:rPr>
        <w:t xml:space="preserve"> designados por el SNS</w:t>
      </w:r>
      <w:r w:rsidR="000B69C6" w:rsidRPr="00BB231B">
        <w:rPr>
          <w:rFonts w:ascii="Times New Roman" w:hAnsi="Times New Roman" w:cs="Times New Roman"/>
          <w:color w:val="auto"/>
          <w:sz w:val="24"/>
          <w:szCs w:val="24"/>
        </w:rPr>
        <w:t xml:space="preserve"> (personal que elabora o solicita los trámites para autorización a Contraloría, a través del sistema TRE)</w:t>
      </w:r>
      <w:r w:rsidR="00BB7851" w:rsidRPr="00BB231B">
        <w:rPr>
          <w:rFonts w:ascii="Times New Roman" w:hAnsi="Times New Roman" w:cs="Times New Roman"/>
          <w:color w:val="auto"/>
          <w:sz w:val="24"/>
          <w:szCs w:val="24"/>
        </w:rPr>
        <w:t xml:space="preserve">  y 70 Auditores Internos  y Encargados de la </w:t>
      </w:r>
      <w:r w:rsidR="006304DA" w:rsidRPr="00BB231B">
        <w:rPr>
          <w:rFonts w:ascii="Times New Roman" w:hAnsi="Times New Roman" w:cs="Times New Roman"/>
          <w:color w:val="auto"/>
          <w:sz w:val="24"/>
          <w:szCs w:val="24"/>
        </w:rPr>
        <w:t xml:space="preserve">CGR. </w:t>
      </w:r>
    </w:p>
    <w:p w:rsidR="00A30A16" w:rsidRPr="00BB231B" w:rsidRDefault="0051778E" w:rsidP="007E7B0B">
      <w:pPr>
        <w:spacing w:line="480" w:lineRule="auto"/>
        <w:rPr>
          <w:rFonts w:ascii="Times New Roman" w:eastAsia="Arial" w:hAnsi="Times New Roman" w:cs="Times New Roman"/>
          <w:color w:val="auto"/>
          <w:lang w:val="es-DO"/>
        </w:rPr>
      </w:pPr>
      <w:r w:rsidRPr="00BB231B">
        <w:rPr>
          <w:rFonts w:ascii="Times New Roman" w:hAnsi="Times New Roman" w:cs="Times New Roman"/>
          <w:color w:val="auto"/>
          <w:sz w:val="24"/>
          <w:szCs w:val="24"/>
        </w:rPr>
        <w:t>Los siguientes gráficos muestran los avances concernientes a la meta:</w:t>
      </w:r>
      <w:r w:rsidR="00A30A16" w:rsidRPr="00BB231B">
        <w:rPr>
          <w:rFonts w:ascii="Times New Roman" w:hAnsi="Times New Roman" w:cs="Times New Roman"/>
          <w:noProof/>
          <w:color w:val="auto"/>
          <w:lang w:val="es-US" w:eastAsia="es-US"/>
        </w:rPr>
        <w:drawing>
          <wp:inline distT="0" distB="0" distL="0" distR="0" wp14:anchorId="1B48379D" wp14:editId="3C8A3FB4">
            <wp:extent cx="4866198" cy="3490794"/>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01027" cy="3515778"/>
                    </a:xfrm>
                    <a:prstGeom prst="rect">
                      <a:avLst/>
                    </a:prstGeom>
                  </pic:spPr>
                </pic:pic>
              </a:graphicData>
            </a:graphic>
          </wp:inline>
        </w:drawing>
      </w:r>
    </w:p>
    <w:p w:rsidR="00A30A16" w:rsidRPr="00BB231B" w:rsidRDefault="00BC2554" w:rsidP="00BC2554">
      <w:pPr>
        <w:spacing w:line="480" w:lineRule="auto"/>
        <w:ind w:right="3986"/>
        <w:jc w:val="left"/>
        <w:rPr>
          <w:rFonts w:ascii="Times New Roman" w:eastAsia="Arial" w:hAnsi="Times New Roman" w:cs="Times New Roman"/>
          <w:i/>
          <w:position w:val="-1"/>
          <w:sz w:val="18"/>
          <w:szCs w:val="18"/>
          <w:lang w:val="es-DO"/>
        </w:rPr>
      </w:pPr>
      <w:r w:rsidRPr="00BB231B">
        <w:rPr>
          <w:rFonts w:ascii="Times New Roman" w:hAnsi="Times New Roman" w:cs="Times New Roman"/>
          <w:noProof/>
          <w:color w:val="auto"/>
          <w:lang w:val="es-US" w:eastAsia="es-US"/>
        </w:rPr>
        <w:lastRenderedPageBreak/>
        <w:drawing>
          <wp:anchor distT="0" distB="0" distL="114300" distR="114300" simplePos="0" relativeHeight="251774976" behindDoc="1" locked="0" layoutInCell="1" allowOverlap="1" wp14:anchorId="1EBAA2AD" wp14:editId="78FF88DB">
            <wp:simplePos x="0" y="0"/>
            <wp:positionH relativeFrom="margin">
              <wp:posOffset>-107950</wp:posOffset>
            </wp:positionH>
            <wp:positionV relativeFrom="paragraph">
              <wp:posOffset>306070</wp:posOffset>
            </wp:positionV>
            <wp:extent cx="5349875" cy="2202180"/>
            <wp:effectExtent l="0" t="0" r="3175" b="7620"/>
            <wp:wrapTight wrapText="bothSides">
              <wp:wrapPolygon edited="0">
                <wp:start x="0" y="0"/>
                <wp:lineTo x="0" y="21488"/>
                <wp:lineTo x="21536" y="21488"/>
                <wp:lineTo x="21536" y="0"/>
                <wp:lineTo x="0" y="0"/>
              </wp:wrapPolygon>
            </wp:wrapTight>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9875" cy="2202180"/>
                    </a:xfrm>
                    <a:prstGeom prst="rect">
                      <a:avLst/>
                    </a:prstGeom>
                  </pic:spPr>
                </pic:pic>
              </a:graphicData>
            </a:graphic>
            <wp14:sizeRelH relativeFrom="margin">
              <wp14:pctWidth>0</wp14:pctWidth>
            </wp14:sizeRelH>
            <wp14:sizeRelV relativeFrom="margin">
              <wp14:pctHeight>0</wp14:pctHeight>
            </wp14:sizeRelV>
          </wp:anchor>
        </w:drawing>
      </w:r>
      <w:r w:rsidR="00A30A16" w:rsidRPr="00BB231B">
        <w:rPr>
          <w:rFonts w:ascii="Times New Roman" w:eastAsia="Arial" w:hAnsi="Times New Roman" w:cs="Times New Roman"/>
          <w:b/>
          <w:position w:val="-1"/>
          <w:sz w:val="18"/>
          <w:szCs w:val="18"/>
          <w:lang w:val="es-DO"/>
        </w:rPr>
        <w:t>F</w:t>
      </w:r>
      <w:r w:rsidR="00A30A16" w:rsidRPr="00BB231B">
        <w:rPr>
          <w:rFonts w:ascii="Times New Roman" w:eastAsia="Arial" w:hAnsi="Times New Roman" w:cs="Times New Roman"/>
          <w:b/>
          <w:spacing w:val="1"/>
          <w:position w:val="-1"/>
          <w:sz w:val="18"/>
          <w:szCs w:val="18"/>
          <w:lang w:val="es-DO"/>
        </w:rPr>
        <w:t>ue</w:t>
      </w:r>
      <w:r w:rsidR="00A30A16" w:rsidRPr="00BB231B">
        <w:rPr>
          <w:rFonts w:ascii="Times New Roman" w:eastAsia="Arial" w:hAnsi="Times New Roman" w:cs="Times New Roman"/>
          <w:b/>
          <w:position w:val="-1"/>
          <w:sz w:val="18"/>
          <w:szCs w:val="18"/>
          <w:lang w:val="es-DO"/>
        </w:rPr>
        <w:t>nt</w:t>
      </w:r>
      <w:r w:rsidR="00A30A16" w:rsidRPr="00BB231B">
        <w:rPr>
          <w:rFonts w:ascii="Times New Roman" w:eastAsia="Arial" w:hAnsi="Times New Roman" w:cs="Times New Roman"/>
          <w:b/>
          <w:spacing w:val="1"/>
          <w:position w:val="-1"/>
          <w:sz w:val="18"/>
          <w:szCs w:val="18"/>
          <w:lang w:val="es-DO"/>
        </w:rPr>
        <w:t>e</w:t>
      </w:r>
      <w:r w:rsidR="00A30A16" w:rsidRPr="00BB231B">
        <w:rPr>
          <w:rFonts w:ascii="Times New Roman" w:eastAsia="Arial" w:hAnsi="Times New Roman" w:cs="Times New Roman"/>
          <w:b/>
          <w:position w:val="-1"/>
          <w:sz w:val="18"/>
          <w:szCs w:val="18"/>
          <w:lang w:val="es-DO"/>
        </w:rPr>
        <w:t>:</w:t>
      </w:r>
      <w:r w:rsidR="00A30A16" w:rsidRPr="00BB231B">
        <w:rPr>
          <w:rFonts w:ascii="Times New Roman" w:eastAsia="Arial" w:hAnsi="Times New Roman" w:cs="Times New Roman"/>
          <w:b/>
          <w:spacing w:val="-1"/>
          <w:position w:val="-1"/>
          <w:sz w:val="18"/>
          <w:szCs w:val="18"/>
          <w:lang w:val="es-DO"/>
        </w:rPr>
        <w:t xml:space="preserve"> </w:t>
      </w:r>
      <w:r w:rsidR="00A53AC4" w:rsidRPr="00BB231B">
        <w:rPr>
          <w:rFonts w:ascii="Times New Roman" w:eastAsia="Arial" w:hAnsi="Times New Roman" w:cs="Times New Roman"/>
          <w:i/>
          <w:position w:val="-1"/>
          <w:sz w:val="18"/>
          <w:szCs w:val="18"/>
          <w:lang w:val="es-DO"/>
        </w:rPr>
        <w:t>Sistema Metas. P</w:t>
      </w:r>
      <w:r w:rsidR="00A30A16" w:rsidRPr="00BB231B">
        <w:rPr>
          <w:rFonts w:ascii="Times New Roman" w:eastAsia="Arial" w:hAnsi="Times New Roman" w:cs="Times New Roman"/>
          <w:i/>
          <w:position w:val="-1"/>
          <w:sz w:val="18"/>
          <w:szCs w:val="18"/>
          <w:lang w:val="es-DO"/>
        </w:rPr>
        <w:t>r</w:t>
      </w:r>
      <w:r w:rsidR="00A30A16" w:rsidRPr="00BB231B">
        <w:rPr>
          <w:rFonts w:ascii="Times New Roman" w:eastAsia="Arial" w:hAnsi="Times New Roman" w:cs="Times New Roman"/>
          <w:i/>
          <w:spacing w:val="1"/>
          <w:position w:val="-1"/>
          <w:sz w:val="18"/>
          <w:szCs w:val="18"/>
          <w:lang w:val="es-DO"/>
        </w:rPr>
        <w:t>es</w:t>
      </w:r>
      <w:r w:rsidR="00A30A16" w:rsidRPr="00BB231B">
        <w:rPr>
          <w:rFonts w:ascii="Times New Roman" w:eastAsia="Arial" w:hAnsi="Times New Roman" w:cs="Times New Roman"/>
          <w:i/>
          <w:spacing w:val="-2"/>
          <w:position w:val="-1"/>
          <w:sz w:val="18"/>
          <w:szCs w:val="18"/>
          <w:lang w:val="es-DO"/>
        </w:rPr>
        <w:t>i</w:t>
      </w:r>
      <w:r w:rsidR="00A30A16" w:rsidRPr="00BB231B">
        <w:rPr>
          <w:rFonts w:ascii="Times New Roman" w:eastAsia="Arial" w:hAnsi="Times New Roman" w:cs="Times New Roman"/>
          <w:i/>
          <w:spacing w:val="1"/>
          <w:position w:val="-1"/>
          <w:sz w:val="18"/>
          <w:szCs w:val="18"/>
          <w:lang w:val="es-DO"/>
        </w:rPr>
        <w:t>de</w:t>
      </w:r>
      <w:r w:rsidR="00A30A16" w:rsidRPr="00BB231B">
        <w:rPr>
          <w:rFonts w:ascii="Times New Roman" w:eastAsia="Arial" w:hAnsi="Times New Roman" w:cs="Times New Roman"/>
          <w:i/>
          <w:spacing w:val="-2"/>
          <w:position w:val="-1"/>
          <w:sz w:val="18"/>
          <w:szCs w:val="18"/>
          <w:lang w:val="es-DO"/>
        </w:rPr>
        <w:t>n</w:t>
      </w:r>
      <w:r w:rsidR="00A30A16" w:rsidRPr="00BB231B">
        <w:rPr>
          <w:rFonts w:ascii="Times New Roman" w:eastAsia="Arial" w:hAnsi="Times New Roman" w:cs="Times New Roman"/>
          <w:i/>
          <w:spacing w:val="1"/>
          <w:position w:val="-1"/>
          <w:sz w:val="18"/>
          <w:szCs w:val="18"/>
          <w:lang w:val="es-DO"/>
        </w:rPr>
        <w:t>ci</w:t>
      </w:r>
      <w:r w:rsidR="00A30A16" w:rsidRPr="00BB231B">
        <w:rPr>
          <w:rFonts w:ascii="Times New Roman" w:eastAsia="Arial" w:hAnsi="Times New Roman" w:cs="Times New Roman"/>
          <w:i/>
          <w:position w:val="-1"/>
          <w:sz w:val="18"/>
          <w:szCs w:val="18"/>
          <w:lang w:val="es-DO"/>
        </w:rPr>
        <w:t>a</w:t>
      </w:r>
      <w:r w:rsidR="00A30A16" w:rsidRPr="00BB231B">
        <w:rPr>
          <w:rFonts w:ascii="Times New Roman" w:eastAsia="Arial" w:hAnsi="Times New Roman" w:cs="Times New Roman"/>
          <w:i/>
          <w:spacing w:val="-1"/>
          <w:position w:val="-1"/>
          <w:sz w:val="18"/>
          <w:szCs w:val="18"/>
          <w:lang w:val="es-DO"/>
        </w:rPr>
        <w:t xml:space="preserve"> </w:t>
      </w:r>
      <w:r w:rsidR="00A30A16" w:rsidRPr="00BB231B">
        <w:rPr>
          <w:rFonts w:ascii="Times New Roman" w:eastAsia="Arial" w:hAnsi="Times New Roman" w:cs="Times New Roman"/>
          <w:i/>
          <w:spacing w:val="1"/>
          <w:position w:val="-1"/>
          <w:sz w:val="18"/>
          <w:szCs w:val="18"/>
          <w:lang w:val="es-DO"/>
        </w:rPr>
        <w:t>d</w:t>
      </w:r>
      <w:r w:rsidR="00A30A16" w:rsidRPr="00BB231B">
        <w:rPr>
          <w:rFonts w:ascii="Times New Roman" w:eastAsia="Arial" w:hAnsi="Times New Roman" w:cs="Times New Roman"/>
          <w:i/>
          <w:position w:val="-1"/>
          <w:sz w:val="18"/>
          <w:szCs w:val="18"/>
          <w:lang w:val="es-DO"/>
        </w:rPr>
        <w:t>e</w:t>
      </w:r>
      <w:r w:rsidR="00A30A16" w:rsidRPr="00BB231B">
        <w:rPr>
          <w:rFonts w:ascii="Times New Roman" w:eastAsia="Arial" w:hAnsi="Times New Roman" w:cs="Times New Roman"/>
          <w:i/>
          <w:spacing w:val="-1"/>
          <w:position w:val="-1"/>
          <w:sz w:val="18"/>
          <w:szCs w:val="18"/>
          <w:lang w:val="es-DO"/>
        </w:rPr>
        <w:t xml:space="preserve"> </w:t>
      </w:r>
      <w:r w:rsidR="00A30A16" w:rsidRPr="00BB231B">
        <w:rPr>
          <w:rFonts w:ascii="Times New Roman" w:eastAsia="Arial" w:hAnsi="Times New Roman" w:cs="Times New Roman"/>
          <w:i/>
          <w:spacing w:val="1"/>
          <w:position w:val="-1"/>
          <w:sz w:val="18"/>
          <w:szCs w:val="18"/>
          <w:lang w:val="es-DO"/>
        </w:rPr>
        <w:t>l</w:t>
      </w:r>
      <w:r w:rsidR="00A30A16" w:rsidRPr="00BB231B">
        <w:rPr>
          <w:rFonts w:ascii="Times New Roman" w:eastAsia="Arial" w:hAnsi="Times New Roman" w:cs="Times New Roman"/>
          <w:i/>
          <w:position w:val="-1"/>
          <w:sz w:val="18"/>
          <w:szCs w:val="18"/>
          <w:lang w:val="es-DO"/>
        </w:rPr>
        <w:t>a</w:t>
      </w:r>
      <w:r w:rsidR="00A30A16" w:rsidRPr="00BB231B">
        <w:rPr>
          <w:rFonts w:ascii="Times New Roman" w:eastAsia="Arial" w:hAnsi="Times New Roman" w:cs="Times New Roman"/>
          <w:i/>
          <w:spacing w:val="1"/>
          <w:position w:val="-1"/>
          <w:sz w:val="18"/>
          <w:szCs w:val="18"/>
          <w:lang w:val="es-DO"/>
        </w:rPr>
        <w:t xml:space="preserve"> </w:t>
      </w:r>
      <w:r w:rsidR="00A30A16" w:rsidRPr="00BB231B">
        <w:rPr>
          <w:rFonts w:ascii="Times New Roman" w:eastAsia="Arial" w:hAnsi="Times New Roman" w:cs="Times New Roman"/>
          <w:i/>
          <w:position w:val="-1"/>
          <w:sz w:val="18"/>
          <w:szCs w:val="18"/>
          <w:lang w:val="es-DO"/>
        </w:rPr>
        <w:t>R</w:t>
      </w:r>
      <w:r w:rsidR="00A30A16" w:rsidRPr="00BB231B">
        <w:rPr>
          <w:rFonts w:ascii="Times New Roman" w:eastAsia="Arial" w:hAnsi="Times New Roman" w:cs="Times New Roman"/>
          <w:i/>
          <w:spacing w:val="-2"/>
          <w:position w:val="-1"/>
          <w:sz w:val="18"/>
          <w:szCs w:val="18"/>
          <w:lang w:val="es-DO"/>
        </w:rPr>
        <w:t>e</w:t>
      </w:r>
      <w:r w:rsidR="00A30A16" w:rsidRPr="00BB231B">
        <w:rPr>
          <w:rFonts w:ascii="Times New Roman" w:eastAsia="Arial" w:hAnsi="Times New Roman" w:cs="Times New Roman"/>
          <w:i/>
          <w:spacing w:val="1"/>
          <w:position w:val="-1"/>
          <w:sz w:val="18"/>
          <w:szCs w:val="18"/>
          <w:lang w:val="es-DO"/>
        </w:rPr>
        <w:t>púb</w:t>
      </w:r>
      <w:r w:rsidR="00A30A16" w:rsidRPr="00BB231B">
        <w:rPr>
          <w:rFonts w:ascii="Times New Roman" w:eastAsia="Arial" w:hAnsi="Times New Roman" w:cs="Times New Roman"/>
          <w:i/>
          <w:spacing w:val="-2"/>
          <w:position w:val="-1"/>
          <w:sz w:val="18"/>
          <w:szCs w:val="18"/>
          <w:lang w:val="es-DO"/>
        </w:rPr>
        <w:t>l</w:t>
      </w:r>
      <w:r w:rsidR="00A30A16" w:rsidRPr="00BB231B">
        <w:rPr>
          <w:rFonts w:ascii="Times New Roman" w:eastAsia="Arial" w:hAnsi="Times New Roman" w:cs="Times New Roman"/>
          <w:i/>
          <w:spacing w:val="1"/>
          <w:position w:val="-1"/>
          <w:sz w:val="18"/>
          <w:szCs w:val="18"/>
          <w:lang w:val="es-DO"/>
        </w:rPr>
        <w:t>ica</w:t>
      </w:r>
      <w:r w:rsidR="00A30A16" w:rsidRPr="00BB231B">
        <w:rPr>
          <w:rFonts w:ascii="Times New Roman" w:eastAsia="Arial" w:hAnsi="Times New Roman" w:cs="Times New Roman"/>
          <w:i/>
          <w:position w:val="-1"/>
          <w:sz w:val="18"/>
          <w:szCs w:val="18"/>
          <w:lang w:val="es-DO"/>
        </w:rPr>
        <w:t>.</w:t>
      </w:r>
    </w:p>
    <w:p w:rsidR="00515C03" w:rsidRPr="00BB231B" w:rsidRDefault="00515C03" w:rsidP="00515C03">
      <w:pPr>
        <w:spacing w:line="480" w:lineRule="auto"/>
        <w:ind w:right="3986"/>
        <w:jc w:val="left"/>
        <w:rPr>
          <w:rFonts w:ascii="Times New Roman" w:eastAsia="Arial" w:hAnsi="Times New Roman" w:cs="Times New Roman"/>
          <w:i/>
          <w:position w:val="-1"/>
          <w:sz w:val="18"/>
          <w:szCs w:val="18"/>
          <w:lang w:val="es-DO"/>
        </w:rPr>
      </w:pPr>
      <w:r w:rsidRPr="00BB231B">
        <w:rPr>
          <w:rFonts w:ascii="Times New Roman" w:hAnsi="Times New Roman" w:cs="Times New Roman"/>
          <w:noProof/>
          <w:color w:val="auto"/>
          <w:lang w:val="es-US" w:eastAsia="es-US"/>
        </w:rPr>
        <w:drawing>
          <wp:anchor distT="0" distB="0" distL="114300" distR="114300" simplePos="0" relativeHeight="251780096" behindDoc="1" locked="0" layoutInCell="1" allowOverlap="1" wp14:anchorId="7E323ABB" wp14:editId="68041DD4">
            <wp:simplePos x="0" y="0"/>
            <wp:positionH relativeFrom="margin">
              <wp:posOffset>-107950</wp:posOffset>
            </wp:positionH>
            <wp:positionV relativeFrom="paragraph">
              <wp:posOffset>306070</wp:posOffset>
            </wp:positionV>
            <wp:extent cx="5349875" cy="2202180"/>
            <wp:effectExtent l="0" t="0" r="3175" b="7620"/>
            <wp:wrapTight wrapText="bothSides">
              <wp:wrapPolygon edited="0">
                <wp:start x="0" y="0"/>
                <wp:lineTo x="0" y="21488"/>
                <wp:lineTo x="21536" y="21488"/>
                <wp:lineTo x="2153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349875" cy="2202180"/>
                    </a:xfrm>
                    <a:prstGeom prst="rect">
                      <a:avLst/>
                    </a:prstGeom>
                  </pic:spPr>
                </pic:pic>
              </a:graphicData>
            </a:graphic>
            <wp14:sizeRelH relativeFrom="margin">
              <wp14:pctWidth>0</wp14:pctWidth>
            </wp14:sizeRelH>
            <wp14:sizeRelV relativeFrom="margin">
              <wp14:pctHeight>0</wp14:pctHeight>
            </wp14:sizeRelV>
          </wp:anchor>
        </w:drawing>
      </w:r>
      <w:r w:rsidRPr="00BB231B">
        <w:rPr>
          <w:rFonts w:ascii="Times New Roman" w:eastAsia="Arial" w:hAnsi="Times New Roman" w:cs="Times New Roman"/>
          <w:b/>
          <w:position w:val="-1"/>
          <w:sz w:val="18"/>
          <w:szCs w:val="18"/>
          <w:lang w:val="es-DO"/>
        </w:rPr>
        <w:t>F</w:t>
      </w:r>
      <w:r w:rsidRPr="00BB231B">
        <w:rPr>
          <w:rFonts w:ascii="Times New Roman" w:eastAsia="Arial" w:hAnsi="Times New Roman" w:cs="Times New Roman"/>
          <w:b/>
          <w:spacing w:val="1"/>
          <w:position w:val="-1"/>
          <w:sz w:val="18"/>
          <w:szCs w:val="18"/>
          <w:lang w:val="es-DO"/>
        </w:rPr>
        <w:t>ue</w:t>
      </w:r>
      <w:r w:rsidRPr="00BB231B">
        <w:rPr>
          <w:rFonts w:ascii="Times New Roman" w:eastAsia="Arial" w:hAnsi="Times New Roman" w:cs="Times New Roman"/>
          <w:b/>
          <w:position w:val="-1"/>
          <w:sz w:val="18"/>
          <w:szCs w:val="18"/>
          <w:lang w:val="es-DO"/>
        </w:rPr>
        <w:t>nt</w:t>
      </w:r>
      <w:r w:rsidRPr="00BB231B">
        <w:rPr>
          <w:rFonts w:ascii="Times New Roman" w:eastAsia="Arial" w:hAnsi="Times New Roman" w:cs="Times New Roman"/>
          <w:b/>
          <w:spacing w:val="1"/>
          <w:position w:val="-1"/>
          <w:sz w:val="18"/>
          <w:szCs w:val="18"/>
          <w:lang w:val="es-DO"/>
        </w:rPr>
        <w:t>e</w:t>
      </w:r>
      <w:r w:rsidRPr="00BB231B">
        <w:rPr>
          <w:rFonts w:ascii="Times New Roman" w:eastAsia="Arial" w:hAnsi="Times New Roman" w:cs="Times New Roman"/>
          <w:b/>
          <w:position w:val="-1"/>
          <w:sz w:val="18"/>
          <w:szCs w:val="18"/>
          <w:lang w:val="es-DO"/>
        </w:rPr>
        <w:t>:</w:t>
      </w:r>
      <w:r w:rsidRPr="00BB231B">
        <w:rPr>
          <w:rFonts w:ascii="Times New Roman" w:eastAsia="Arial" w:hAnsi="Times New Roman" w:cs="Times New Roman"/>
          <w:b/>
          <w:spacing w:val="-1"/>
          <w:position w:val="-1"/>
          <w:sz w:val="18"/>
          <w:szCs w:val="18"/>
          <w:lang w:val="es-DO"/>
        </w:rPr>
        <w:t xml:space="preserve"> </w:t>
      </w:r>
      <w:r w:rsidRPr="00BB231B">
        <w:rPr>
          <w:rFonts w:ascii="Times New Roman" w:eastAsia="Arial" w:hAnsi="Times New Roman" w:cs="Times New Roman"/>
          <w:i/>
          <w:position w:val="-1"/>
          <w:sz w:val="18"/>
          <w:szCs w:val="18"/>
          <w:lang w:val="es-DO"/>
        </w:rPr>
        <w:t>Sistema Metas. Pr</w:t>
      </w:r>
      <w:r w:rsidRPr="00BB231B">
        <w:rPr>
          <w:rFonts w:ascii="Times New Roman" w:eastAsia="Arial" w:hAnsi="Times New Roman" w:cs="Times New Roman"/>
          <w:i/>
          <w:spacing w:val="1"/>
          <w:position w:val="-1"/>
          <w:sz w:val="18"/>
          <w:szCs w:val="18"/>
          <w:lang w:val="es-DO"/>
        </w:rPr>
        <w:t>es</w:t>
      </w:r>
      <w:r w:rsidRPr="00BB231B">
        <w:rPr>
          <w:rFonts w:ascii="Times New Roman" w:eastAsia="Arial" w:hAnsi="Times New Roman" w:cs="Times New Roman"/>
          <w:i/>
          <w:spacing w:val="-2"/>
          <w:position w:val="-1"/>
          <w:sz w:val="18"/>
          <w:szCs w:val="18"/>
          <w:lang w:val="es-DO"/>
        </w:rPr>
        <w:t>i</w:t>
      </w:r>
      <w:r w:rsidRPr="00BB231B">
        <w:rPr>
          <w:rFonts w:ascii="Times New Roman" w:eastAsia="Arial" w:hAnsi="Times New Roman" w:cs="Times New Roman"/>
          <w:i/>
          <w:spacing w:val="1"/>
          <w:position w:val="-1"/>
          <w:sz w:val="18"/>
          <w:szCs w:val="18"/>
          <w:lang w:val="es-DO"/>
        </w:rPr>
        <w:t>de</w:t>
      </w:r>
      <w:r w:rsidRPr="00BB231B">
        <w:rPr>
          <w:rFonts w:ascii="Times New Roman" w:eastAsia="Arial" w:hAnsi="Times New Roman" w:cs="Times New Roman"/>
          <w:i/>
          <w:spacing w:val="-2"/>
          <w:position w:val="-1"/>
          <w:sz w:val="18"/>
          <w:szCs w:val="18"/>
          <w:lang w:val="es-DO"/>
        </w:rPr>
        <w:t>n</w:t>
      </w:r>
      <w:r w:rsidRPr="00BB231B">
        <w:rPr>
          <w:rFonts w:ascii="Times New Roman" w:eastAsia="Arial" w:hAnsi="Times New Roman" w:cs="Times New Roman"/>
          <w:i/>
          <w:spacing w:val="1"/>
          <w:position w:val="-1"/>
          <w:sz w:val="18"/>
          <w:szCs w:val="18"/>
          <w:lang w:val="es-DO"/>
        </w:rPr>
        <w:t>ci</w:t>
      </w:r>
      <w:r w:rsidRPr="00BB231B">
        <w:rPr>
          <w:rFonts w:ascii="Times New Roman" w:eastAsia="Arial" w:hAnsi="Times New Roman" w:cs="Times New Roman"/>
          <w:i/>
          <w:position w:val="-1"/>
          <w:sz w:val="18"/>
          <w:szCs w:val="18"/>
          <w:lang w:val="es-DO"/>
        </w:rPr>
        <w:t>a</w:t>
      </w:r>
      <w:r w:rsidRPr="00BB231B">
        <w:rPr>
          <w:rFonts w:ascii="Times New Roman" w:eastAsia="Arial" w:hAnsi="Times New Roman" w:cs="Times New Roman"/>
          <w:i/>
          <w:spacing w:val="-1"/>
          <w:position w:val="-1"/>
          <w:sz w:val="18"/>
          <w:szCs w:val="18"/>
          <w:lang w:val="es-DO"/>
        </w:rPr>
        <w:t xml:space="preserve"> </w:t>
      </w:r>
      <w:r w:rsidRPr="00BB231B">
        <w:rPr>
          <w:rFonts w:ascii="Times New Roman" w:eastAsia="Arial" w:hAnsi="Times New Roman" w:cs="Times New Roman"/>
          <w:i/>
          <w:spacing w:val="1"/>
          <w:position w:val="-1"/>
          <w:sz w:val="18"/>
          <w:szCs w:val="18"/>
          <w:lang w:val="es-DO"/>
        </w:rPr>
        <w:t>d</w:t>
      </w:r>
      <w:r w:rsidRPr="00BB231B">
        <w:rPr>
          <w:rFonts w:ascii="Times New Roman" w:eastAsia="Arial" w:hAnsi="Times New Roman" w:cs="Times New Roman"/>
          <w:i/>
          <w:position w:val="-1"/>
          <w:sz w:val="18"/>
          <w:szCs w:val="18"/>
          <w:lang w:val="es-DO"/>
        </w:rPr>
        <w:t>e</w:t>
      </w:r>
      <w:r w:rsidRPr="00BB231B">
        <w:rPr>
          <w:rFonts w:ascii="Times New Roman" w:eastAsia="Arial" w:hAnsi="Times New Roman" w:cs="Times New Roman"/>
          <w:i/>
          <w:spacing w:val="-1"/>
          <w:position w:val="-1"/>
          <w:sz w:val="18"/>
          <w:szCs w:val="18"/>
          <w:lang w:val="es-DO"/>
        </w:rPr>
        <w:t xml:space="preserve"> </w:t>
      </w:r>
      <w:r w:rsidRPr="00BB231B">
        <w:rPr>
          <w:rFonts w:ascii="Times New Roman" w:eastAsia="Arial" w:hAnsi="Times New Roman" w:cs="Times New Roman"/>
          <w:i/>
          <w:spacing w:val="1"/>
          <w:position w:val="-1"/>
          <w:sz w:val="18"/>
          <w:szCs w:val="18"/>
          <w:lang w:val="es-DO"/>
        </w:rPr>
        <w:t>l</w:t>
      </w:r>
      <w:r w:rsidRPr="00BB231B">
        <w:rPr>
          <w:rFonts w:ascii="Times New Roman" w:eastAsia="Arial" w:hAnsi="Times New Roman" w:cs="Times New Roman"/>
          <w:i/>
          <w:position w:val="-1"/>
          <w:sz w:val="18"/>
          <w:szCs w:val="18"/>
          <w:lang w:val="es-DO"/>
        </w:rPr>
        <w:t>a</w:t>
      </w:r>
      <w:r w:rsidRPr="00BB231B">
        <w:rPr>
          <w:rFonts w:ascii="Times New Roman" w:eastAsia="Arial" w:hAnsi="Times New Roman" w:cs="Times New Roman"/>
          <w:i/>
          <w:spacing w:val="1"/>
          <w:position w:val="-1"/>
          <w:sz w:val="18"/>
          <w:szCs w:val="18"/>
          <w:lang w:val="es-DO"/>
        </w:rPr>
        <w:t xml:space="preserve"> </w:t>
      </w:r>
      <w:r w:rsidRPr="00BB231B">
        <w:rPr>
          <w:rFonts w:ascii="Times New Roman" w:eastAsia="Arial" w:hAnsi="Times New Roman" w:cs="Times New Roman"/>
          <w:i/>
          <w:position w:val="-1"/>
          <w:sz w:val="18"/>
          <w:szCs w:val="18"/>
          <w:lang w:val="es-DO"/>
        </w:rPr>
        <w:t>R</w:t>
      </w:r>
      <w:r w:rsidRPr="00BB231B">
        <w:rPr>
          <w:rFonts w:ascii="Times New Roman" w:eastAsia="Arial" w:hAnsi="Times New Roman" w:cs="Times New Roman"/>
          <w:i/>
          <w:spacing w:val="-2"/>
          <w:position w:val="-1"/>
          <w:sz w:val="18"/>
          <w:szCs w:val="18"/>
          <w:lang w:val="es-DO"/>
        </w:rPr>
        <w:t>e</w:t>
      </w:r>
      <w:r w:rsidRPr="00BB231B">
        <w:rPr>
          <w:rFonts w:ascii="Times New Roman" w:eastAsia="Arial" w:hAnsi="Times New Roman" w:cs="Times New Roman"/>
          <w:i/>
          <w:spacing w:val="1"/>
          <w:position w:val="-1"/>
          <w:sz w:val="18"/>
          <w:szCs w:val="18"/>
          <w:lang w:val="es-DO"/>
        </w:rPr>
        <w:t>púb</w:t>
      </w:r>
      <w:r w:rsidRPr="00BB231B">
        <w:rPr>
          <w:rFonts w:ascii="Times New Roman" w:eastAsia="Arial" w:hAnsi="Times New Roman" w:cs="Times New Roman"/>
          <w:i/>
          <w:spacing w:val="-2"/>
          <w:position w:val="-1"/>
          <w:sz w:val="18"/>
          <w:szCs w:val="18"/>
          <w:lang w:val="es-DO"/>
        </w:rPr>
        <w:t>l</w:t>
      </w:r>
      <w:r w:rsidRPr="00BB231B">
        <w:rPr>
          <w:rFonts w:ascii="Times New Roman" w:eastAsia="Arial" w:hAnsi="Times New Roman" w:cs="Times New Roman"/>
          <w:i/>
          <w:spacing w:val="1"/>
          <w:position w:val="-1"/>
          <w:sz w:val="18"/>
          <w:szCs w:val="18"/>
          <w:lang w:val="es-DO"/>
        </w:rPr>
        <w:t>ica</w:t>
      </w:r>
      <w:r w:rsidRPr="00BB231B">
        <w:rPr>
          <w:rFonts w:ascii="Times New Roman" w:eastAsia="Arial" w:hAnsi="Times New Roman" w:cs="Times New Roman"/>
          <w:i/>
          <w:position w:val="-1"/>
          <w:sz w:val="18"/>
          <w:szCs w:val="18"/>
          <w:lang w:val="es-DO"/>
        </w:rPr>
        <w:t>.</w:t>
      </w:r>
    </w:p>
    <w:p w:rsidR="00BC2554" w:rsidRPr="00BB231B" w:rsidRDefault="00BC2554" w:rsidP="00BC2554">
      <w:pPr>
        <w:spacing w:line="480" w:lineRule="auto"/>
        <w:ind w:right="3986"/>
        <w:jc w:val="left"/>
        <w:rPr>
          <w:rFonts w:ascii="Times New Roman" w:eastAsia="Arial" w:hAnsi="Times New Roman" w:cs="Times New Roman"/>
          <w:sz w:val="18"/>
          <w:szCs w:val="18"/>
          <w:lang w:val="es-DO"/>
        </w:rPr>
      </w:pPr>
    </w:p>
    <w:p w:rsidR="00BC2554" w:rsidRPr="00BB231B" w:rsidRDefault="00BC2554" w:rsidP="00BC2554">
      <w:pPr>
        <w:spacing w:line="480" w:lineRule="auto"/>
        <w:ind w:right="3986"/>
        <w:jc w:val="left"/>
        <w:rPr>
          <w:rFonts w:ascii="Times New Roman" w:eastAsia="Arial" w:hAnsi="Times New Roman" w:cs="Times New Roman"/>
          <w:sz w:val="18"/>
          <w:szCs w:val="18"/>
          <w:lang w:val="es-DO"/>
        </w:rPr>
      </w:pPr>
    </w:p>
    <w:p w:rsidR="00BF61B8" w:rsidRPr="00BB231B" w:rsidRDefault="00EA641F" w:rsidP="00256145">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 xml:space="preserve">La </w:t>
      </w:r>
      <w:r w:rsidR="00BC2554" w:rsidRPr="00BB231B">
        <w:rPr>
          <w:rFonts w:ascii="Times New Roman" w:hAnsi="Times New Roman" w:cs="Times New Roman"/>
          <w:color w:val="auto"/>
          <w:sz w:val="24"/>
          <w:szCs w:val="24"/>
        </w:rPr>
        <w:t>Contraloría General de la República</w:t>
      </w:r>
      <w:r w:rsidR="00D43AE4" w:rsidRPr="00BB231B">
        <w:rPr>
          <w:rFonts w:ascii="Times New Roman" w:hAnsi="Times New Roman" w:cs="Times New Roman"/>
          <w:color w:val="auto"/>
          <w:sz w:val="24"/>
          <w:szCs w:val="24"/>
        </w:rPr>
        <w:t xml:space="preserve"> (CGR)</w:t>
      </w:r>
      <w:r w:rsidR="00BC2554" w:rsidRPr="00BB231B">
        <w:rPr>
          <w:rFonts w:ascii="Times New Roman" w:hAnsi="Times New Roman" w:cs="Times New Roman"/>
          <w:color w:val="auto"/>
          <w:sz w:val="24"/>
        </w:rPr>
        <w:t xml:space="preserve"> </w:t>
      </w:r>
      <w:r w:rsidR="00A57CA6" w:rsidRPr="00BB231B">
        <w:rPr>
          <w:rFonts w:ascii="Times New Roman" w:hAnsi="Times New Roman" w:cs="Times New Roman"/>
          <w:color w:val="auto"/>
          <w:sz w:val="24"/>
        </w:rPr>
        <w:t xml:space="preserve">pretende alcanzar a todos los Hospitales del </w:t>
      </w:r>
      <w:r w:rsidR="00D43AE4" w:rsidRPr="00BB231B">
        <w:rPr>
          <w:rFonts w:ascii="Times New Roman" w:hAnsi="Times New Roman" w:cs="Times New Roman"/>
          <w:color w:val="auto"/>
          <w:sz w:val="24"/>
        </w:rPr>
        <w:t>Servicio Nacional de Salud (SNS)</w:t>
      </w:r>
      <w:r w:rsidR="00A57CA6" w:rsidRPr="00BB231B">
        <w:rPr>
          <w:rFonts w:ascii="Times New Roman" w:hAnsi="Times New Roman" w:cs="Times New Roman"/>
          <w:color w:val="auto"/>
          <w:sz w:val="24"/>
        </w:rPr>
        <w:t>, para esto se ha propuesto  para el 2018</w:t>
      </w:r>
      <w:r w:rsidRPr="00BB231B">
        <w:rPr>
          <w:rFonts w:ascii="Times New Roman" w:hAnsi="Times New Roman" w:cs="Times New Roman"/>
          <w:color w:val="auto"/>
          <w:sz w:val="24"/>
        </w:rPr>
        <w:t xml:space="preserve"> c</w:t>
      </w:r>
      <w:r w:rsidR="00BF61B8" w:rsidRPr="00BB231B">
        <w:rPr>
          <w:rFonts w:ascii="Times New Roman" w:hAnsi="Times New Roman" w:cs="Times New Roman"/>
          <w:color w:val="auto"/>
          <w:sz w:val="24"/>
        </w:rPr>
        <w:t xml:space="preserve">rear una nueva UAI (Unidad de Auditoría Interna) </w:t>
      </w:r>
      <w:r w:rsidR="0081233A" w:rsidRPr="00BB231B">
        <w:rPr>
          <w:rFonts w:ascii="Times New Roman" w:hAnsi="Times New Roman" w:cs="Times New Roman"/>
          <w:color w:val="auto"/>
          <w:sz w:val="24"/>
        </w:rPr>
        <w:t xml:space="preserve">a fin de </w:t>
      </w:r>
      <w:r w:rsidR="00BF61B8" w:rsidRPr="00BB231B">
        <w:rPr>
          <w:rFonts w:ascii="Times New Roman" w:hAnsi="Times New Roman" w:cs="Times New Roman"/>
          <w:color w:val="auto"/>
          <w:sz w:val="24"/>
        </w:rPr>
        <w:t>cubrir la demanda de los 15 hospitales asoci</w:t>
      </w:r>
      <w:r w:rsidR="00F8707E" w:rsidRPr="00BB231B">
        <w:rPr>
          <w:rFonts w:ascii="Times New Roman" w:hAnsi="Times New Roman" w:cs="Times New Roman"/>
          <w:color w:val="auto"/>
          <w:sz w:val="24"/>
        </w:rPr>
        <w:t xml:space="preserve">ados a la Regional VII del SNS, </w:t>
      </w:r>
      <w:r w:rsidRPr="00BB231B">
        <w:rPr>
          <w:rFonts w:ascii="Times New Roman" w:hAnsi="Times New Roman" w:cs="Times New Roman"/>
          <w:color w:val="auto"/>
          <w:sz w:val="24"/>
        </w:rPr>
        <w:t xml:space="preserve"> </w:t>
      </w:r>
      <w:r w:rsidR="00A57CA6" w:rsidRPr="00BB231B">
        <w:rPr>
          <w:rFonts w:ascii="Times New Roman" w:hAnsi="Times New Roman" w:cs="Times New Roman"/>
          <w:color w:val="auto"/>
          <w:sz w:val="24"/>
        </w:rPr>
        <w:t xml:space="preserve"> en </w:t>
      </w:r>
      <w:r w:rsidRPr="00BB231B">
        <w:rPr>
          <w:rFonts w:ascii="Times New Roman" w:hAnsi="Times New Roman" w:cs="Times New Roman"/>
          <w:color w:val="auto"/>
          <w:sz w:val="24"/>
        </w:rPr>
        <w:t>coordinación con el Director del SNS</w:t>
      </w:r>
      <w:r w:rsidR="00A57CA6" w:rsidRPr="00BB231B">
        <w:rPr>
          <w:rFonts w:ascii="Times New Roman" w:hAnsi="Times New Roman" w:cs="Times New Roman"/>
          <w:color w:val="auto"/>
          <w:sz w:val="24"/>
        </w:rPr>
        <w:t xml:space="preserve">, la CGR completará la implementación del </w:t>
      </w:r>
      <w:r w:rsidR="00A57CA6" w:rsidRPr="00BB231B">
        <w:rPr>
          <w:rFonts w:ascii="Times New Roman" w:hAnsi="Times New Roman" w:cs="Times New Roman"/>
          <w:color w:val="auto"/>
          <w:sz w:val="24"/>
        </w:rPr>
        <w:lastRenderedPageBreak/>
        <w:t xml:space="preserve">proyecto, una vez </w:t>
      </w:r>
      <w:r w:rsidR="00F8707E" w:rsidRPr="00BB231B">
        <w:rPr>
          <w:rFonts w:ascii="Times New Roman" w:hAnsi="Times New Roman" w:cs="Times New Roman"/>
          <w:color w:val="auto"/>
          <w:sz w:val="24"/>
        </w:rPr>
        <w:t xml:space="preserve"> sean concluidas </w:t>
      </w:r>
      <w:r w:rsidR="00A57CA6" w:rsidRPr="00BB231B">
        <w:rPr>
          <w:rFonts w:ascii="Times New Roman" w:hAnsi="Times New Roman" w:cs="Times New Roman"/>
          <w:color w:val="auto"/>
          <w:sz w:val="24"/>
        </w:rPr>
        <w:t xml:space="preserve">  </w:t>
      </w:r>
      <w:r w:rsidR="00BF61B8" w:rsidRPr="00BB231B">
        <w:rPr>
          <w:rFonts w:ascii="Times New Roman" w:hAnsi="Times New Roman" w:cs="Times New Roman"/>
          <w:color w:val="auto"/>
          <w:sz w:val="24"/>
        </w:rPr>
        <w:t>la</w:t>
      </w:r>
      <w:r w:rsidR="00A57CA6" w:rsidRPr="00BB231B">
        <w:rPr>
          <w:rFonts w:ascii="Times New Roman" w:hAnsi="Times New Roman" w:cs="Times New Roman"/>
          <w:color w:val="auto"/>
          <w:sz w:val="24"/>
        </w:rPr>
        <w:t xml:space="preserve">s  adecuaciones </w:t>
      </w:r>
      <w:r w:rsidR="00BF61B8" w:rsidRPr="00BB231B">
        <w:rPr>
          <w:rFonts w:ascii="Times New Roman" w:hAnsi="Times New Roman" w:cs="Times New Roman"/>
          <w:color w:val="auto"/>
          <w:sz w:val="24"/>
        </w:rPr>
        <w:t xml:space="preserve"> de infraestructura</w:t>
      </w:r>
      <w:r w:rsidRPr="00BB231B">
        <w:rPr>
          <w:rFonts w:ascii="Times New Roman" w:hAnsi="Times New Roman" w:cs="Times New Roman"/>
          <w:color w:val="auto"/>
          <w:sz w:val="24"/>
        </w:rPr>
        <w:t xml:space="preserve"> tecnol</w:t>
      </w:r>
      <w:r w:rsidR="00A57CA6" w:rsidRPr="00BB231B">
        <w:rPr>
          <w:rFonts w:ascii="Times New Roman" w:hAnsi="Times New Roman" w:cs="Times New Roman"/>
          <w:color w:val="auto"/>
          <w:sz w:val="24"/>
        </w:rPr>
        <w:t>ógica</w:t>
      </w:r>
      <w:r w:rsidRPr="00BB231B">
        <w:rPr>
          <w:rFonts w:ascii="Times New Roman" w:hAnsi="Times New Roman" w:cs="Times New Roman"/>
          <w:color w:val="auto"/>
          <w:sz w:val="24"/>
        </w:rPr>
        <w:t xml:space="preserve"> </w:t>
      </w:r>
      <w:r w:rsidR="00A57CA6" w:rsidRPr="00BB231B">
        <w:rPr>
          <w:rFonts w:ascii="Times New Roman" w:hAnsi="Times New Roman" w:cs="Times New Roman"/>
          <w:color w:val="auto"/>
          <w:sz w:val="24"/>
        </w:rPr>
        <w:t xml:space="preserve"> que están en proceso para el resto de los hospitales.</w:t>
      </w:r>
    </w:p>
    <w:p w:rsidR="00EA7136" w:rsidRPr="00BB231B" w:rsidRDefault="00EA7136" w:rsidP="00005BA4">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En otro orden y c</w:t>
      </w:r>
      <w:r w:rsidR="00EA641F" w:rsidRPr="00BB231B">
        <w:rPr>
          <w:rFonts w:ascii="Times New Roman" w:hAnsi="Times New Roman" w:cs="Times New Roman"/>
          <w:color w:val="auto"/>
          <w:sz w:val="24"/>
        </w:rPr>
        <w:t xml:space="preserve">omo parte de las acciones tendentes al logro de la meta,  en el ejercicio de alcanzar los gobiernos locales, durante el 2018 </w:t>
      </w:r>
      <w:r w:rsidRPr="00BB231B">
        <w:rPr>
          <w:rFonts w:ascii="Times New Roman" w:hAnsi="Times New Roman" w:cs="Times New Roman"/>
          <w:color w:val="auto"/>
          <w:sz w:val="24"/>
        </w:rPr>
        <w:t xml:space="preserve">la CGR </w:t>
      </w:r>
      <w:r w:rsidR="00EA641F" w:rsidRPr="00BB231B">
        <w:rPr>
          <w:rFonts w:ascii="Times New Roman" w:hAnsi="Times New Roman" w:cs="Times New Roman"/>
          <w:color w:val="auto"/>
          <w:sz w:val="24"/>
        </w:rPr>
        <w:t xml:space="preserve"> implementará un Plan de Socialización y Sensibilización a los Ayuntamientos, asociaciones, fundaciones e instituciones interesadas</w:t>
      </w:r>
      <w:r w:rsidR="00A57CA6" w:rsidRPr="00BB231B">
        <w:rPr>
          <w:rFonts w:ascii="Times New Roman" w:hAnsi="Times New Roman" w:cs="Times New Roman"/>
          <w:color w:val="auto"/>
          <w:sz w:val="24"/>
        </w:rPr>
        <w:t xml:space="preserve">. </w:t>
      </w:r>
    </w:p>
    <w:p w:rsidR="00EA641F" w:rsidRPr="00BB231B" w:rsidRDefault="00A57CA6" w:rsidP="00005BA4">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Los gobiernos locales</w:t>
      </w:r>
      <w:r w:rsidR="00EA641F" w:rsidRPr="00BB231B">
        <w:rPr>
          <w:rFonts w:ascii="Times New Roman" w:hAnsi="Times New Roman" w:cs="Times New Roman"/>
          <w:color w:val="auto"/>
          <w:sz w:val="24"/>
        </w:rPr>
        <w:t xml:space="preserve"> se estarán </w:t>
      </w:r>
      <w:r w:rsidRPr="00BB231B">
        <w:rPr>
          <w:rFonts w:ascii="Times New Roman" w:hAnsi="Times New Roman" w:cs="Times New Roman"/>
          <w:color w:val="auto"/>
          <w:sz w:val="24"/>
        </w:rPr>
        <w:t xml:space="preserve">incorporando </w:t>
      </w:r>
      <w:r w:rsidR="00A53AC4" w:rsidRPr="00BB231B">
        <w:rPr>
          <w:rFonts w:ascii="Times New Roman" w:hAnsi="Times New Roman" w:cs="Times New Roman"/>
          <w:color w:val="auto"/>
          <w:sz w:val="24"/>
        </w:rPr>
        <w:t>al</w:t>
      </w:r>
      <w:r w:rsidRPr="00BB231B">
        <w:rPr>
          <w:rFonts w:ascii="Times New Roman" w:hAnsi="Times New Roman" w:cs="Times New Roman"/>
          <w:color w:val="auto"/>
          <w:sz w:val="24"/>
        </w:rPr>
        <w:t xml:space="preserve"> logro de la Meta presidencial a </w:t>
      </w:r>
      <w:r w:rsidR="00EA641F" w:rsidRPr="00BB231B">
        <w:rPr>
          <w:rFonts w:ascii="Times New Roman" w:hAnsi="Times New Roman" w:cs="Times New Roman"/>
          <w:color w:val="auto"/>
          <w:sz w:val="24"/>
        </w:rPr>
        <w:t xml:space="preserve">través de la figura del Contralor Municipal, tal como lo establece la ley de Ayuntamientos 176-07, art.154 sobre las funciones del </w:t>
      </w:r>
      <w:r w:rsidR="0051778E" w:rsidRPr="00BB231B">
        <w:rPr>
          <w:rFonts w:ascii="Times New Roman" w:hAnsi="Times New Roman" w:cs="Times New Roman"/>
          <w:color w:val="auto"/>
          <w:sz w:val="24"/>
        </w:rPr>
        <w:t xml:space="preserve">mismo establecidas </w:t>
      </w:r>
      <w:r w:rsidR="00EA641F" w:rsidRPr="00BB231B">
        <w:rPr>
          <w:rFonts w:ascii="Times New Roman" w:hAnsi="Times New Roman" w:cs="Times New Roman"/>
          <w:color w:val="auto"/>
          <w:sz w:val="24"/>
        </w:rPr>
        <w:t>en el inciso C) Implementar el sistema de Control Interno, sobre bases técnicas uniformes, por las diferentes unidades organizativas y programáticas del ayuntamiento, siguiendo las normativas de la Contraloría General de la República; y el inciso J) Garantizar el cumplimiento de la aplicación de los controles previos o autocontroles de las órdenes de pago y demás a que se refieren el Sistema Nacional de Control Interno.</w:t>
      </w:r>
    </w:p>
    <w:p w:rsidR="00BF61B8" w:rsidRPr="00BB231B" w:rsidRDefault="00BF61B8" w:rsidP="00005BA4">
      <w:pPr>
        <w:spacing w:line="480" w:lineRule="auto"/>
        <w:rPr>
          <w:rFonts w:ascii="Times New Roman" w:hAnsi="Times New Roman" w:cs="Times New Roman"/>
        </w:rPr>
      </w:pPr>
    </w:p>
    <w:p w:rsidR="00EA641F" w:rsidRPr="00BB231B" w:rsidRDefault="006E1143" w:rsidP="0028198B">
      <w:pPr>
        <w:rPr>
          <w:rFonts w:ascii="Times New Roman" w:hAnsi="Times New Roman" w:cs="Times New Roman"/>
          <w:color w:val="auto"/>
          <w:sz w:val="24"/>
        </w:rPr>
      </w:pPr>
      <w:r w:rsidRPr="00BB231B">
        <w:rPr>
          <w:rFonts w:ascii="Times New Roman" w:hAnsi="Times New Roman" w:cs="Times New Roman"/>
          <w:b/>
          <w:color w:val="auto"/>
          <w:sz w:val="26"/>
        </w:rPr>
        <w:t>La Segunda M</w:t>
      </w:r>
      <w:r w:rsidR="00EA641F" w:rsidRPr="00BB231B">
        <w:rPr>
          <w:rFonts w:ascii="Times New Roman" w:hAnsi="Times New Roman" w:cs="Times New Roman"/>
          <w:b/>
          <w:color w:val="auto"/>
          <w:sz w:val="26"/>
        </w:rPr>
        <w:t xml:space="preserve">eta Presidencial a cargo de la </w:t>
      </w:r>
      <w:r w:rsidR="00D43AE4" w:rsidRPr="00BB231B">
        <w:rPr>
          <w:rFonts w:ascii="Times New Roman" w:hAnsi="Times New Roman" w:cs="Times New Roman"/>
          <w:b/>
          <w:color w:val="auto"/>
          <w:sz w:val="26"/>
        </w:rPr>
        <w:t>Contraloría General de la República (</w:t>
      </w:r>
      <w:r w:rsidR="00EA641F" w:rsidRPr="00BB231B">
        <w:rPr>
          <w:rFonts w:ascii="Times New Roman" w:hAnsi="Times New Roman" w:cs="Times New Roman"/>
          <w:b/>
          <w:color w:val="auto"/>
          <w:sz w:val="26"/>
        </w:rPr>
        <w:t>CGR</w:t>
      </w:r>
      <w:r w:rsidR="00D43AE4" w:rsidRPr="00BB231B">
        <w:rPr>
          <w:rFonts w:ascii="Times New Roman" w:hAnsi="Times New Roman" w:cs="Times New Roman"/>
          <w:b/>
          <w:color w:val="auto"/>
          <w:sz w:val="26"/>
        </w:rPr>
        <w:t>)</w:t>
      </w:r>
      <w:r w:rsidR="00EA641F" w:rsidRPr="00BB231B">
        <w:rPr>
          <w:rFonts w:ascii="Times New Roman" w:hAnsi="Times New Roman" w:cs="Times New Roman"/>
          <w:b/>
          <w:color w:val="auto"/>
          <w:sz w:val="26"/>
        </w:rPr>
        <w:t xml:space="preserve"> y que complementa la </w:t>
      </w:r>
      <w:r w:rsidR="004C22F2" w:rsidRPr="00BB231B">
        <w:rPr>
          <w:rFonts w:ascii="Times New Roman" w:hAnsi="Times New Roman" w:cs="Times New Roman"/>
          <w:b/>
          <w:color w:val="auto"/>
          <w:sz w:val="26"/>
        </w:rPr>
        <w:t>primera</w:t>
      </w:r>
      <w:r w:rsidR="00EA641F" w:rsidRPr="00BB231B">
        <w:rPr>
          <w:rFonts w:ascii="Times New Roman" w:hAnsi="Times New Roman" w:cs="Times New Roman"/>
          <w:b/>
          <w:color w:val="auto"/>
          <w:sz w:val="26"/>
        </w:rPr>
        <w:t>,</w:t>
      </w:r>
      <w:r w:rsidR="0051778E" w:rsidRPr="00BB231B">
        <w:rPr>
          <w:rFonts w:ascii="Times New Roman" w:hAnsi="Times New Roman" w:cs="Times New Roman"/>
          <w:b/>
          <w:color w:val="auto"/>
          <w:sz w:val="26"/>
        </w:rPr>
        <w:t xml:space="preserve"> </w:t>
      </w:r>
      <w:r w:rsidR="00EA641F" w:rsidRPr="00BB231B">
        <w:rPr>
          <w:rFonts w:ascii="Times New Roman" w:hAnsi="Times New Roman" w:cs="Times New Roman"/>
          <w:b/>
          <w:color w:val="auto"/>
          <w:sz w:val="26"/>
        </w:rPr>
        <w:t xml:space="preserve"> es monitoreada a través del S</w:t>
      </w:r>
      <w:r w:rsidR="00EA7136" w:rsidRPr="00BB231B">
        <w:rPr>
          <w:rFonts w:ascii="Times New Roman" w:hAnsi="Times New Roman" w:cs="Times New Roman"/>
          <w:b/>
          <w:color w:val="auto"/>
          <w:sz w:val="26"/>
        </w:rPr>
        <w:t xml:space="preserve">istema </w:t>
      </w:r>
      <w:r w:rsidR="00EA641F" w:rsidRPr="00BB231B">
        <w:rPr>
          <w:rFonts w:ascii="Times New Roman" w:hAnsi="Times New Roman" w:cs="Times New Roman"/>
          <w:b/>
          <w:color w:val="auto"/>
          <w:sz w:val="26"/>
        </w:rPr>
        <w:t>N</w:t>
      </w:r>
      <w:r w:rsidR="00EA7136" w:rsidRPr="00BB231B">
        <w:rPr>
          <w:rFonts w:ascii="Times New Roman" w:hAnsi="Times New Roman" w:cs="Times New Roman"/>
          <w:b/>
          <w:color w:val="auto"/>
          <w:sz w:val="26"/>
        </w:rPr>
        <w:t xml:space="preserve">acional de </w:t>
      </w:r>
      <w:r w:rsidR="00EA641F" w:rsidRPr="00BB231B">
        <w:rPr>
          <w:rFonts w:ascii="Times New Roman" w:hAnsi="Times New Roman" w:cs="Times New Roman"/>
          <w:b/>
          <w:color w:val="auto"/>
          <w:sz w:val="26"/>
        </w:rPr>
        <w:t>M</w:t>
      </w:r>
      <w:r w:rsidR="00EA7136" w:rsidRPr="00BB231B">
        <w:rPr>
          <w:rFonts w:ascii="Times New Roman" w:hAnsi="Times New Roman" w:cs="Times New Roman"/>
          <w:b/>
          <w:color w:val="auto"/>
          <w:sz w:val="26"/>
        </w:rPr>
        <w:t xml:space="preserve">onitoreo de la </w:t>
      </w:r>
      <w:r w:rsidR="00EA641F" w:rsidRPr="00BB231B">
        <w:rPr>
          <w:rFonts w:ascii="Times New Roman" w:hAnsi="Times New Roman" w:cs="Times New Roman"/>
          <w:b/>
          <w:color w:val="auto"/>
          <w:sz w:val="26"/>
        </w:rPr>
        <w:t>G</w:t>
      </w:r>
      <w:r w:rsidR="00EA7136" w:rsidRPr="00BB231B">
        <w:rPr>
          <w:rFonts w:ascii="Times New Roman" w:hAnsi="Times New Roman" w:cs="Times New Roman"/>
          <w:b/>
          <w:color w:val="auto"/>
          <w:sz w:val="26"/>
        </w:rPr>
        <w:t xml:space="preserve">estión </w:t>
      </w:r>
      <w:r w:rsidR="00332E80" w:rsidRPr="00BB231B">
        <w:rPr>
          <w:rFonts w:ascii="Times New Roman" w:hAnsi="Times New Roman" w:cs="Times New Roman"/>
          <w:b/>
          <w:color w:val="auto"/>
          <w:sz w:val="26"/>
        </w:rPr>
        <w:t>Pública (SNMGP)</w:t>
      </w:r>
      <w:r w:rsidR="00525AB8" w:rsidRPr="00BB231B">
        <w:rPr>
          <w:rFonts w:ascii="Times New Roman" w:hAnsi="Times New Roman" w:cs="Times New Roman"/>
          <w:color w:val="auto"/>
          <w:sz w:val="24"/>
        </w:rPr>
        <w:t>:</w:t>
      </w:r>
    </w:p>
    <w:p w:rsidR="0028198B" w:rsidRPr="00BB231B" w:rsidRDefault="0028198B" w:rsidP="0028198B">
      <w:pPr>
        <w:rPr>
          <w:rFonts w:ascii="Times New Roman" w:hAnsi="Times New Roman" w:cs="Times New Roman"/>
          <w:color w:val="auto"/>
          <w:sz w:val="24"/>
        </w:rPr>
      </w:pPr>
    </w:p>
    <w:p w:rsidR="00A53AC4" w:rsidRPr="00BB231B" w:rsidRDefault="00A53AC4" w:rsidP="00005BA4">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 xml:space="preserve">La CGR como ente rector del control interno emite normas y guías y apoya al sector público en el proceso de implantación y sostenibilidad de las </w:t>
      </w:r>
      <w:r w:rsidRPr="00BB231B">
        <w:rPr>
          <w:rFonts w:ascii="Times New Roman" w:hAnsi="Times New Roman" w:cs="Times New Roman"/>
          <w:color w:val="auto"/>
          <w:sz w:val="24"/>
        </w:rPr>
        <w:lastRenderedPageBreak/>
        <w:t xml:space="preserve">mismas. Con tales facultades, la CGR es un gestor determinante porque contribuye a los primeros dos objetivos generales previstos para el primer eje estratégico de la </w:t>
      </w:r>
      <w:r w:rsidR="00D43AE4" w:rsidRPr="00BB231B">
        <w:rPr>
          <w:rFonts w:ascii="Times New Roman" w:hAnsi="Times New Roman" w:cs="Times New Roman"/>
          <w:color w:val="auto"/>
          <w:sz w:val="24"/>
        </w:rPr>
        <w:t>Estrategia Nacional de Desarrollo (</w:t>
      </w:r>
      <w:r w:rsidRPr="00BB231B">
        <w:rPr>
          <w:rFonts w:ascii="Times New Roman" w:hAnsi="Times New Roman" w:cs="Times New Roman"/>
          <w:color w:val="auto"/>
          <w:sz w:val="24"/>
        </w:rPr>
        <w:t>END</w:t>
      </w:r>
      <w:r w:rsidR="00D43AE4" w:rsidRPr="00BB231B">
        <w:rPr>
          <w:rFonts w:ascii="Times New Roman" w:hAnsi="Times New Roman" w:cs="Times New Roman"/>
          <w:color w:val="auto"/>
          <w:sz w:val="24"/>
        </w:rPr>
        <w:t>)</w:t>
      </w:r>
      <w:r w:rsidRPr="00BB231B">
        <w:rPr>
          <w:rFonts w:ascii="Times New Roman" w:hAnsi="Times New Roman" w:cs="Times New Roman"/>
          <w:color w:val="auto"/>
          <w:sz w:val="24"/>
        </w:rPr>
        <w:t>.  En esta dirección, la CGR  ha incluido en su Visión, que mediante su gestión contribuirá a una administración pública que gestiona con eficiencia los ingresos y el gasto público, en un contexto de resultados planificados acorde a lo establecido en las leyes y normativas vigentes.</w:t>
      </w:r>
    </w:p>
    <w:p w:rsidR="00A53AC4" w:rsidRPr="00BB231B" w:rsidRDefault="00A53AC4" w:rsidP="008214CE">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Las normas de control interno han sido construidas para contribuir a la eficiencia y eficacia en los recursos públicos, a la protección de los bienes de la nación, al cumplimiento de los marcos legales y a la rendición confiable de cuentas. Por otra parte, como Auditor Interno dependiente del Poder Ejecutivo, la CGR evalúa el debido recaudo, manejo, uso e inversión de los recursos públicos  y  emite  informes  con  opiniones,  observaciones  y  recomendaciones,  destinadas  a mejorar el desempeño eficiente, transparente y orientada a resultados, la cual sea fiel al marco legal que les corresponde.</w:t>
      </w:r>
    </w:p>
    <w:p w:rsidR="00525AB8" w:rsidRPr="00BB231B" w:rsidRDefault="00525AB8" w:rsidP="00005BA4">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El sistema de monitoreo y medición de la gestión pública (SNMGP), tiene como objetivo fundamental informar al Presidente de la República de manera periódica y oportuna sobre avances, alertas y restricciones de la gestión institucional, así como compromisos asumidos por el Gobierno, consolidando las informaciones generadas por las instituciones responsables. Dentro de este sistema, existe un indicador relativo al cumplimento de las</w:t>
      </w:r>
      <w:r w:rsidR="0051778E" w:rsidRPr="00BB231B">
        <w:rPr>
          <w:rFonts w:ascii="Times New Roman" w:hAnsi="Times New Roman" w:cs="Times New Roman"/>
          <w:color w:val="auto"/>
          <w:sz w:val="24"/>
        </w:rPr>
        <w:t xml:space="preserve"> Normas Básicas de Control Interno</w:t>
      </w:r>
      <w:r w:rsidRPr="00BB231B">
        <w:rPr>
          <w:rFonts w:ascii="Times New Roman" w:hAnsi="Times New Roman" w:cs="Times New Roman"/>
          <w:color w:val="auto"/>
          <w:sz w:val="24"/>
        </w:rPr>
        <w:t xml:space="preserve"> </w:t>
      </w:r>
      <w:r w:rsidR="0051778E" w:rsidRPr="00BB231B">
        <w:rPr>
          <w:rFonts w:ascii="Times New Roman" w:hAnsi="Times New Roman" w:cs="Times New Roman"/>
          <w:color w:val="auto"/>
          <w:sz w:val="24"/>
        </w:rPr>
        <w:t>(</w:t>
      </w:r>
      <w:r w:rsidRPr="00BB231B">
        <w:rPr>
          <w:rFonts w:ascii="Times New Roman" w:hAnsi="Times New Roman" w:cs="Times New Roman"/>
          <w:color w:val="auto"/>
          <w:sz w:val="24"/>
        </w:rPr>
        <w:t>NOBACI</w:t>
      </w:r>
      <w:r w:rsidR="0051778E" w:rsidRPr="00BB231B">
        <w:rPr>
          <w:rFonts w:ascii="Times New Roman" w:hAnsi="Times New Roman" w:cs="Times New Roman"/>
          <w:color w:val="auto"/>
          <w:sz w:val="24"/>
        </w:rPr>
        <w:t>)</w:t>
      </w:r>
      <w:r w:rsidRPr="00BB231B">
        <w:rPr>
          <w:rFonts w:ascii="Times New Roman" w:hAnsi="Times New Roman" w:cs="Times New Roman"/>
          <w:color w:val="auto"/>
          <w:sz w:val="24"/>
        </w:rPr>
        <w:t xml:space="preserve">, en el cual se refleja el grado de madurez de la </w:t>
      </w:r>
      <w:r w:rsidRPr="00BB231B">
        <w:rPr>
          <w:rFonts w:ascii="Times New Roman" w:hAnsi="Times New Roman" w:cs="Times New Roman"/>
          <w:color w:val="auto"/>
          <w:sz w:val="24"/>
        </w:rPr>
        <w:lastRenderedPageBreak/>
        <w:t>estructura del control interno</w:t>
      </w:r>
      <w:r w:rsidR="0051778E" w:rsidRPr="00BB231B">
        <w:rPr>
          <w:rFonts w:ascii="Times New Roman" w:hAnsi="Times New Roman" w:cs="Times New Roman"/>
          <w:color w:val="auto"/>
          <w:sz w:val="24"/>
        </w:rPr>
        <w:t>. E</w:t>
      </w:r>
      <w:r w:rsidRPr="00BB231B">
        <w:rPr>
          <w:rFonts w:ascii="Times New Roman" w:hAnsi="Times New Roman" w:cs="Times New Roman"/>
          <w:color w:val="auto"/>
          <w:sz w:val="24"/>
        </w:rPr>
        <w:t>ste indicador es actualizado mensualmente  por la CGR.</w:t>
      </w:r>
    </w:p>
    <w:p w:rsidR="00525AB8" w:rsidRPr="00BB231B" w:rsidRDefault="00525AB8" w:rsidP="00005BA4">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 xml:space="preserve">El SNMGP cuenta además  con indicadores relativos al cumplimiento de normativas establecidas por otros órganos rectores tales como el </w:t>
      </w:r>
      <w:r w:rsidR="004D6589" w:rsidRPr="00BB231B">
        <w:rPr>
          <w:rFonts w:ascii="Times New Roman" w:hAnsi="Times New Roman" w:cs="Times New Roman"/>
          <w:color w:val="auto"/>
          <w:sz w:val="24"/>
        </w:rPr>
        <w:t>Ministerio de Administración Pública (</w:t>
      </w:r>
      <w:r w:rsidRPr="00BB231B">
        <w:rPr>
          <w:rFonts w:ascii="Times New Roman" w:hAnsi="Times New Roman" w:cs="Times New Roman"/>
          <w:color w:val="auto"/>
          <w:sz w:val="24"/>
        </w:rPr>
        <w:t>MAP</w:t>
      </w:r>
      <w:r w:rsidR="004D6589" w:rsidRPr="00BB231B">
        <w:rPr>
          <w:rFonts w:ascii="Times New Roman" w:hAnsi="Times New Roman" w:cs="Times New Roman"/>
          <w:color w:val="auto"/>
          <w:sz w:val="24"/>
        </w:rPr>
        <w:t>)</w:t>
      </w:r>
      <w:r w:rsidRPr="00BB231B">
        <w:rPr>
          <w:rFonts w:ascii="Times New Roman" w:hAnsi="Times New Roman" w:cs="Times New Roman"/>
          <w:color w:val="auto"/>
          <w:sz w:val="24"/>
        </w:rPr>
        <w:t xml:space="preserve">, </w:t>
      </w:r>
      <w:r w:rsidR="004D6589" w:rsidRPr="00BB231B">
        <w:rPr>
          <w:rFonts w:ascii="Times New Roman" w:hAnsi="Times New Roman" w:cs="Times New Roman"/>
          <w:color w:val="auto"/>
          <w:sz w:val="24"/>
        </w:rPr>
        <w:t>Oficina Presidencial de Tecnologías de la Información y Comunicación (</w:t>
      </w:r>
      <w:r w:rsidRPr="00BB231B">
        <w:rPr>
          <w:rFonts w:ascii="Times New Roman" w:hAnsi="Times New Roman" w:cs="Times New Roman"/>
          <w:color w:val="auto"/>
          <w:sz w:val="24"/>
        </w:rPr>
        <w:t>OPTIC</w:t>
      </w:r>
      <w:r w:rsidR="004D6589" w:rsidRPr="00BB231B">
        <w:rPr>
          <w:rFonts w:ascii="Times New Roman" w:hAnsi="Times New Roman" w:cs="Times New Roman"/>
          <w:color w:val="auto"/>
          <w:sz w:val="24"/>
        </w:rPr>
        <w:t>)</w:t>
      </w:r>
      <w:r w:rsidRPr="00BB231B">
        <w:rPr>
          <w:rFonts w:ascii="Times New Roman" w:hAnsi="Times New Roman" w:cs="Times New Roman"/>
          <w:color w:val="auto"/>
          <w:sz w:val="24"/>
        </w:rPr>
        <w:t xml:space="preserve">, y </w:t>
      </w:r>
      <w:r w:rsidR="00D56374" w:rsidRPr="00BB231B">
        <w:rPr>
          <w:rFonts w:ascii="Times New Roman" w:hAnsi="Times New Roman" w:cs="Times New Roman"/>
          <w:color w:val="auto"/>
          <w:sz w:val="24"/>
        </w:rPr>
        <w:t xml:space="preserve">Dirección General de </w:t>
      </w:r>
      <w:r w:rsidR="00D125A1" w:rsidRPr="00BB231B">
        <w:rPr>
          <w:rFonts w:ascii="Times New Roman" w:hAnsi="Times New Roman" w:cs="Times New Roman"/>
          <w:color w:val="auto"/>
          <w:sz w:val="24"/>
        </w:rPr>
        <w:t>Ética</w:t>
      </w:r>
      <w:r w:rsidR="00D56374" w:rsidRPr="00BB231B">
        <w:rPr>
          <w:rFonts w:ascii="Times New Roman" w:hAnsi="Times New Roman" w:cs="Times New Roman"/>
          <w:color w:val="auto"/>
          <w:sz w:val="24"/>
        </w:rPr>
        <w:t xml:space="preserve"> e Integridad Gubernamental (</w:t>
      </w:r>
      <w:r w:rsidRPr="00BB231B">
        <w:rPr>
          <w:rFonts w:ascii="Times New Roman" w:hAnsi="Times New Roman" w:cs="Times New Roman"/>
          <w:color w:val="auto"/>
          <w:sz w:val="24"/>
        </w:rPr>
        <w:t>DIGEIG</w:t>
      </w:r>
      <w:r w:rsidR="00D56374" w:rsidRPr="00BB231B">
        <w:rPr>
          <w:rFonts w:ascii="Times New Roman" w:hAnsi="Times New Roman" w:cs="Times New Roman"/>
          <w:color w:val="auto"/>
          <w:sz w:val="24"/>
        </w:rPr>
        <w:t>)</w:t>
      </w:r>
      <w:r w:rsidRPr="00BB231B">
        <w:rPr>
          <w:rFonts w:ascii="Times New Roman" w:hAnsi="Times New Roman" w:cs="Times New Roman"/>
          <w:color w:val="auto"/>
          <w:sz w:val="24"/>
        </w:rPr>
        <w:t>. A continuación presentamos una gráfica que nos ilustra sobre el cuadro de mando integral del sistema:</w:t>
      </w:r>
    </w:p>
    <w:p w:rsidR="00A57CA6" w:rsidRPr="00BB231B" w:rsidRDefault="00525AB8" w:rsidP="00005BA4">
      <w:pPr>
        <w:spacing w:line="480" w:lineRule="auto"/>
        <w:rPr>
          <w:rFonts w:ascii="Times New Roman" w:hAnsi="Times New Roman" w:cs="Times New Roman"/>
        </w:rPr>
      </w:pPr>
      <w:r w:rsidRPr="00BB231B">
        <w:rPr>
          <w:rFonts w:ascii="Times New Roman" w:hAnsi="Times New Roman" w:cs="Times New Roman"/>
          <w:noProof/>
          <w:lang w:val="es-US" w:eastAsia="es-US"/>
        </w:rPr>
        <w:drawing>
          <wp:inline distT="0" distB="0" distL="0" distR="0" wp14:anchorId="00F93EA3" wp14:editId="74E4A6EA">
            <wp:extent cx="5791835" cy="3537050"/>
            <wp:effectExtent l="0" t="0" r="0"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835" cy="3537050"/>
                    </a:xfrm>
                    <a:prstGeom prst="rect">
                      <a:avLst/>
                    </a:prstGeom>
                    <a:noFill/>
                    <a:ln>
                      <a:noFill/>
                    </a:ln>
                  </pic:spPr>
                </pic:pic>
              </a:graphicData>
            </a:graphic>
          </wp:inline>
        </w:drawing>
      </w:r>
    </w:p>
    <w:p w:rsidR="0051778E" w:rsidRPr="00BB231B" w:rsidRDefault="0051778E" w:rsidP="00D125A1">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Con relación al indicador que concierne directamente a la </w:t>
      </w:r>
      <w:r w:rsidR="00D125A1" w:rsidRPr="00BB231B">
        <w:rPr>
          <w:rFonts w:ascii="Times New Roman" w:hAnsi="Times New Roman" w:cs="Times New Roman"/>
          <w:color w:val="auto"/>
          <w:sz w:val="24"/>
          <w:szCs w:val="24"/>
        </w:rPr>
        <w:t>Contraloría General de la República</w:t>
      </w:r>
      <w:r w:rsidRPr="00BB231B">
        <w:rPr>
          <w:rFonts w:ascii="Times New Roman" w:hAnsi="Times New Roman" w:cs="Times New Roman"/>
          <w:color w:val="auto"/>
          <w:sz w:val="24"/>
          <w:szCs w:val="24"/>
        </w:rPr>
        <w:t xml:space="preserve"> como órgano rector</w:t>
      </w:r>
      <w:r w:rsidR="00525AB8" w:rsidRPr="00BB231B">
        <w:rPr>
          <w:rFonts w:ascii="Times New Roman" w:hAnsi="Times New Roman" w:cs="Times New Roman"/>
          <w:color w:val="auto"/>
          <w:sz w:val="24"/>
          <w:szCs w:val="24"/>
        </w:rPr>
        <w:t xml:space="preserve"> y </w:t>
      </w:r>
      <w:r w:rsidRPr="00BB231B">
        <w:rPr>
          <w:rFonts w:ascii="Times New Roman" w:hAnsi="Times New Roman" w:cs="Times New Roman"/>
          <w:color w:val="auto"/>
          <w:sz w:val="24"/>
          <w:szCs w:val="24"/>
        </w:rPr>
        <w:t xml:space="preserve">los 5 </w:t>
      </w:r>
      <w:r w:rsidR="00525AB8" w:rsidRPr="00BB231B">
        <w:rPr>
          <w:rFonts w:ascii="Times New Roman" w:hAnsi="Times New Roman" w:cs="Times New Roman"/>
          <w:color w:val="auto"/>
          <w:sz w:val="24"/>
          <w:szCs w:val="24"/>
        </w:rPr>
        <w:t xml:space="preserve">sub indicadores </w:t>
      </w:r>
      <w:r w:rsidRPr="00BB231B">
        <w:rPr>
          <w:rFonts w:ascii="Times New Roman" w:hAnsi="Times New Roman" w:cs="Times New Roman"/>
          <w:color w:val="auto"/>
          <w:sz w:val="24"/>
          <w:szCs w:val="24"/>
        </w:rPr>
        <w:t>que lo componen, detallamos su descripción:</w:t>
      </w:r>
    </w:p>
    <w:p w:rsidR="00F62B46" w:rsidRPr="00BB231B" w:rsidRDefault="00F62B46" w:rsidP="00005BA4">
      <w:pPr>
        <w:spacing w:line="480" w:lineRule="auto"/>
        <w:rPr>
          <w:rFonts w:ascii="Times New Roman" w:hAnsi="Times New Roman" w:cs="Times New Roman"/>
          <w:b/>
          <w:color w:val="auto"/>
          <w:sz w:val="24"/>
          <w:szCs w:val="24"/>
        </w:rPr>
      </w:pPr>
      <w:r w:rsidRPr="00BB231B">
        <w:rPr>
          <w:rFonts w:ascii="Times New Roman" w:hAnsi="Times New Roman" w:cs="Times New Roman"/>
          <w:b/>
          <w:color w:val="auto"/>
          <w:sz w:val="24"/>
          <w:szCs w:val="24"/>
        </w:rPr>
        <w:lastRenderedPageBreak/>
        <w:t>Nombre del indicador: ¨Implementación de las Normas Básicas de Control Interno (NOBACI) ¨. Mide el grado de implementación de las Normas en sus 5 componentes (Sub indicadores):</w:t>
      </w:r>
    </w:p>
    <w:p w:rsidR="00525AB8" w:rsidRPr="00BB231B" w:rsidRDefault="00525AB8" w:rsidP="00D125A1">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b/>
          <w:color w:val="auto"/>
          <w:sz w:val="24"/>
          <w:szCs w:val="24"/>
        </w:rPr>
        <w:t>Componente 1, Ambiente de Control:</w:t>
      </w:r>
      <w:r w:rsidRPr="00BB231B">
        <w:rPr>
          <w:rFonts w:ascii="Times New Roman" w:hAnsi="Times New Roman" w:cs="Times New Roman"/>
          <w:color w:val="auto"/>
          <w:sz w:val="24"/>
          <w:szCs w:val="24"/>
        </w:rPr>
        <w:t xml:space="preserve"> El indicador mide como la entidad, a través del ejemplo y acciones   de la  Máxima Autoridad y sus Directores,  ha establecido y mantenido un ambiente adecuado para la sana administración, integrando elementos como los siguientes: éticos, compromiso, competencias técnicas, estructura organizacional, coordinación, asignación de responsabilidades, delegación de autoridad y elaboración y adhesión a políticas, normas y procedimientos.</w:t>
      </w:r>
    </w:p>
    <w:p w:rsidR="00525AB8" w:rsidRPr="00BB231B" w:rsidRDefault="00525AB8" w:rsidP="00D125A1">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b/>
          <w:color w:val="auto"/>
          <w:sz w:val="24"/>
          <w:szCs w:val="24"/>
        </w:rPr>
        <w:t>Componente 2, Valoración y Administración de Riesgo</w:t>
      </w:r>
      <w:r w:rsidRPr="00BB231B">
        <w:rPr>
          <w:rFonts w:ascii="Times New Roman" w:hAnsi="Times New Roman" w:cs="Times New Roman"/>
          <w:color w:val="auto"/>
          <w:sz w:val="24"/>
          <w:szCs w:val="24"/>
        </w:rPr>
        <w:t>: El indicador mide como la entidad,  ha establecido e implementado una metodología de identificación, valoración y administración de riesgos, para establecer controles de mitigación de los mismos, garantizando así el logro de los objetivos estratégicos y misionales.</w:t>
      </w:r>
    </w:p>
    <w:p w:rsidR="00525AB8" w:rsidRPr="00BB231B" w:rsidRDefault="00525AB8" w:rsidP="00D125A1">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b/>
          <w:color w:val="auto"/>
          <w:sz w:val="24"/>
          <w:szCs w:val="24"/>
        </w:rPr>
        <w:t xml:space="preserve">Componente 3, </w:t>
      </w:r>
      <w:r w:rsidR="005D0DD4" w:rsidRPr="00BB231B">
        <w:rPr>
          <w:rFonts w:ascii="Times New Roman" w:hAnsi="Times New Roman" w:cs="Times New Roman"/>
          <w:b/>
          <w:color w:val="auto"/>
          <w:sz w:val="24"/>
          <w:szCs w:val="24"/>
        </w:rPr>
        <w:t>Actividades de Control:</w:t>
      </w:r>
      <w:r w:rsidR="005D0DD4" w:rsidRPr="00BB231B">
        <w:rPr>
          <w:rFonts w:ascii="Times New Roman" w:hAnsi="Times New Roman" w:cs="Times New Roman"/>
          <w:color w:val="auto"/>
          <w:sz w:val="24"/>
          <w:szCs w:val="24"/>
        </w:rPr>
        <w:t xml:space="preserve"> El indicador mide como la entidad, a través del ejemplo y acciones   de la  Máxima Autoridad y sus Directores,  ha diseñado y establecido las actividades de control necesarias y apropiadas que deben estar inmersos en los procesos internos  para mitigar los riesgos existentes.</w:t>
      </w:r>
    </w:p>
    <w:p w:rsidR="005D0DD4" w:rsidRPr="00BB231B" w:rsidRDefault="005D0DD4" w:rsidP="00D125A1">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b/>
          <w:color w:val="auto"/>
          <w:sz w:val="24"/>
          <w:szCs w:val="24"/>
        </w:rPr>
        <w:lastRenderedPageBreak/>
        <w:t>Componente 4, Información y Comunicación:</w:t>
      </w:r>
      <w:r w:rsidRPr="00BB231B">
        <w:rPr>
          <w:rFonts w:ascii="Times New Roman" w:hAnsi="Times New Roman" w:cs="Times New Roman"/>
          <w:color w:val="auto"/>
          <w:sz w:val="24"/>
          <w:szCs w:val="24"/>
        </w:rPr>
        <w:t xml:space="preserve">  El indicador mide como la entidad, ha establecido e implementado mecanismos para diagnosticar, ajustar, actualizar y mantener los sistemas de información y comunicación de la entidad, para el desarrollo correcto de las operaciones, la toma de decisiones y la rendición de cuentas.</w:t>
      </w:r>
    </w:p>
    <w:p w:rsidR="005D0DD4" w:rsidRPr="00BB231B" w:rsidRDefault="005D0DD4" w:rsidP="00DD3367">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b/>
          <w:color w:val="auto"/>
          <w:sz w:val="24"/>
          <w:szCs w:val="24"/>
        </w:rPr>
        <w:t xml:space="preserve">Componente 5, </w:t>
      </w:r>
      <w:r w:rsidR="00F62B46" w:rsidRPr="00BB231B">
        <w:rPr>
          <w:rFonts w:ascii="Times New Roman" w:hAnsi="Times New Roman" w:cs="Times New Roman"/>
          <w:b/>
          <w:color w:val="auto"/>
          <w:sz w:val="24"/>
          <w:szCs w:val="24"/>
        </w:rPr>
        <w:t>Monitoreo y Evaluación:</w:t>
      </w:r>
      <w:r w:rsidR="00F62B46" w:rsidRPr="00BB231B">
        <w:rPr>
          <w:rFonts w:ascii="Times New Roman" w:hAnsi="Times New Roman" w:cs="Times New Roman"/>
          <w:color w:val="auto"/>
          <w:sz w:val="24"/>
          <w:szCs w:val="24"/>
        </w:rPr>
        <w:t xml:space="preserve"> El indicador mide como la entidad,  ha establecido e implementado mecanismos para diagnosticar, ajustar, actualizar y mantener la supervisión adecuada de la</w:t>
      </w:r>
      <w:r w:rsidR="00733190" w:rsidRPr="00BB231B">
        <w:rPr>
          <w:rFonts w:ascii="Times New Roman" w:hAnsi="Times New Roman" w:cs="Times New Roman"/>
          <w:color w:val="auto"/>
          <w:sz w:val="24"/>
          <w:szCs w:val="24"/>
        </w:rPr>
        <w:t>s</w:t>
      </w:r>
      <w:r w:rsidR="00F62B46" w:rsidRPr="00BB231B">
        <w:rPr>
          <w:rFonts w:ascii="Times New Roman" w:hAnsi="Times New Roman" w:cs="Times New Roman"/>
          <w:color w:val="auto"/>
          <w:sz w:val="24"/>
          <w:szCs w:val="24"/>
        </w:rPr>
        <w:t xml:space="preserve"> operaciones de la entidad, con la finalidad de asegurar que el sistema de control interno ope</w:t>
      </w:r>
      <w:r w:rsidR="005E4006" w:rsidRPr="00BB231B">
        <w:rPr>
          <w:rFonts w:ascii="Times New Roman" w:hAnsi="Times New Roman" w:cs="Times New Roman"/>
          <w:color w:val="auto"/>
          <w:sz w:val="24"/>
          <w:szCs w:val="24"/>
        </w:rPr>
        <w:t xml:space="preserve">re adecuadamente de manera </w:t>
      </w:r>
      <w:proofErr w:type="gramStart"/>
      <w:r w:rsidR="00176496" w:rsidRPr="00BB231B">
        <w:rPr>
          <w:rFonts w:ascii="Times New Roman" w:hAnsi="Times New Roman" w:cs="Times New Roman"/>
          <w:color w:val="auto"/>
          <w:sz w:val="24"/>
          <w:szCs w:val="24"/>
        </w:rPr>
        <w:t>continua</w:t>
      </w:r>
      <w:proofErr w:type="gramEnd"/>
      <w:r w:rsidR="00F62B46" w:rsidRPr="00BB231B">
        <w:rPr>
          <w:rFonts w:ascii="Times New Roman" w:hAnsi="Times New Roman" w:cs="Times New Roman"/>
          <w:color w:val="auto"/>
          <w:sz w:val="24"/>
          <w:szCs w:val="24"/>
        </w:rPr>
        <w:t>.</w:t>
      </w:r>
    </w:p>
    <w:p w:rsidR="00A57CA6" w:rsidRPr="00BB231B" w:rsidRDefault="00B84B5D" w:rsidP="00DD3367">
      <w:pPr>
        <w:spacing w:line="480" w:lineRule="auto"/>
        <w:ind w:firstLine="709"/>
        <w:rPr>
          <w:rFonts w:ascii="Times New Roman" w:hAnsi="Times New Roman" w:cs="Times New Roman"/>
          <w:b/>
          <w:color w:val="auto"/>
          <w:sz w:val="24"/>
        </w:rPr>
      </w:pPr>
      <w:r w:rsidRPr="00BB231B">
        <w:rPr>
          <w:rFonts w:ascii="Times New Roman" w:hAnsi="Times New Roman" w:cs="Times New Roman"/>
          <w:color w:val="auto"/>
          <w:sz w:val="24"/>
          <w:szCs w:val="24"/>
        </w:rPr>
        <w:t>En</w:t>
      </w:r>
      <w:r w:rsidR="00B35A3F" w:rsidRPr="00BB231B">
        <w:rPr>
          <w:rFonts w:ascii="Times New Roman" w:hAnsi="Times New Roman" w:cs="Times New Roman"/>
          <w:color w:val="auto"/>
          <w:sz w:val="24"/>
          <w:szCs w:val="24"/>
        </w:rPr>
        <w:t xml:space="preserve"> </w:t>
      </w:r>
      <w:r w:rsidR="007C2AB4" w:rsidRPr="00BB231B">
        <w:rPr>
          <w:rFonts w:ascii="Times New Roman" w:hAnsi="Times New Roman" w:cs="Times New Roman"/>
          <w:color w:val="auto"/>
          <w:sz w:val="24"/>
          <w:szCs w:val="24"/>
        </w:rPr>
        <w:t xml:space="preserve">respuesta a la Meta como órgano rector y como apoyo de manera puntual </w:t>
      </w:r>
      <w:r w:rsidR="007C2AB4" w:rsidRPr="00BB231B">
        <w:rPr>
          <w:rFonts w:ascii="Times New Roman" w:hAnsi="Times New Roman" w:cs="Times New Roman"/>
          <w:b/>
          <w:color w:val="auto"/>
          <w:sz w:val="24"/>
        </w:rPr>
        <w:t xml:space="preserve">al Primer Eje de la </w:t>
      </w:r>
      <w:r w:rsidR="00D56374" w:rsidRPr="00BB231B">
        <w:rPr>
          <w:rFonts w:ascii="Times New Roman" w:hAnsi="Times New Roman" w:cs="Times New Roman"/>
          <w:b/>
          <w:color w:val="auto"/>
          <w:sz w:val="24"/>
        </w:rPr>
        <w:t>Estrategia Nacional de Desarrollo (</w:t>
      </w:r>
      <w:r w:rsidR="007C2AB4" w:rsidRPr="00BB231B">
        <w:rPr>
          <w:rFonts w:ascii="Times New Roman" w:hAnsi="Times New Roman" w:cs="Times New Roman"/>
          <w:b/>
          <w:color w:val="auto"/>
          <w:sz w:val="24"/>
        </w:rPr>
        <w:t>END</w:t>
      </w:r>
      <w:r w:rsidR="00D56374" w:rsidRPr="00BB231B">
        <w:rPr>
          <w:rFonts w:ascii="Times New Roman" w:hAnsi="Times New Roman" w:cs="Times New Roman"/>
          <w:b/>
          <w:color w:val="auto"/>
          <w:sz w:val="24"/>
        </w:rPr>
        <w:t>)</w:t>
      </w:r>
      <w:r w:rsidR="007C2AB4" w:rsidRPr="00BB231B">
        <w:rPr>
          <w:rFonts w:ascii="Times New Roman" w:hAnsi="Times New Roman" w:cs="Times New Roman"/>
          <w:b/>
          <w:color w:val="auto"/>
          <w:sz w:val="24"/>
        </w:rPr>
        <w:t xml:space="preserve"> </w:t>
      </w:r>
      <w:r w:rsidR="00A57CA6" w:rsidRPr="00BB231B">
        <w:rPr>
          <w:rFonts w:ascii="Times New Roman" w:hAnsi="Times New Roman" w:cs="Times New Roman"/>
          <w:b/>
          <w:color w:val="auto"/>
          <w:sz w:val="24"/>
        </w:rPr>
        <w:t xml:space="preserve">, en el artículo 21 de la </w:t>
      </w:r>
      <w:r w:rsidR="00D56374" w:rsidRPr="00BB231B">
        <w:rPr>
          <w:rFonts w:ascii="Times New Roman" w:hAnsi="Times New Roman" w:cs="Times New Roman"/>
          <w:b/>
          <w:color w:val="auto"/>
          <w:sz w:val="24"/>
        </w:rPr>
        <w:t>Ley No.1-12</w:t>
      </w:r>
      <w:r w:rsidR="00A57CA6" w:rsidRPr="00BB231B">
        <w:rPr>
          <w:rFonts w:ascii="Times New Roman" w:hAnsi="Times New Roman" w:cs="Times New Roman"/>
          <w:color w:val="auto"/>
          <w:sz w:val="24"/>
        </w:rPr>
        <w:t xml:space="preserve">, </w:t>
      </w:r>
      <w:r w:rsidR="007C2AB4" w:rsidRPr="00BB231B">
        <w:rPr>
          <w:rFonts w:ascii="Times New Roman" w:hAnsi="Times New Roman" w:cs="Times New Roman"/>
          <w:color w:val="auto"/>
          <w:sz w:val="24"/>
        </w:rPr>
        <w:t xml:space="preserve"> la cual </w:t>
      </w:r>
      <w:r w:rsidR="00A57CA6" w:rsidRPr="00BB231B">
        <w:rPr>
          <w:rFonts w:ascii="Times New Roman" w:hAnsi="Times New Roman" w:cs="Times New Roman"/>
          <w:color w:val="auto"/>
          <w:sz w:val="24"/>
        </w:rPr>
        <w:t xml:space="preserve">incluye una línea de acción como parte del Objetivo General 1.1 </w:t>
      </w:r>
      <w:r w:rsidR="00A57CA6" w:rsidRPr="00BB231B">
        <w:rPr>
          <w:rFonts w:ascii="Times New Roman" w:hAnsi="Times New Roman" w:cs="Times New Roman"/>
          <w:b/>
          <w:color w:val="auto"/>
          <w:sz w:val="24"/>
        </w:rPr>
        <w:t>“Administración pública eficiente, transparente y orientada a resultados” que a su vez incluye el Objetivo Específico: “Estructurar una administración pública eficiente que actúe con honestidad, transparencia y rendición de cuentas y se oriente a la obtención de resultados en beneficio de la sociedad y del desarrollo nacional y local.”</w:t>
      </w:r>
    </w:p>
    <w:p w:rsidR="00A57CA6" w:rsidRPr="00BB231B" w:rsidRDefault="00A57CA6" w:rsidP="00DD3367">
      <w:pPr>
        <w:spacing w:line="480" w:lineRule="auto"/>
        <w:ind w:firstLine="709"/>
        <w:rPr>
          <w:rFonts w:ascii="Times New Roman" w:hAnsi="Times New Roman" w:cs="Times New Roman"/>
          <w:b/>
          <w:color w:val="auto"/>
          <w:sz w:val="24"/>
        </w:rPr>
      </w:pPr>
      <w:r w:rsidRPr="00BB231B">
        <w:rPr>
          <w:rFonts w:ascii="Times New Roman" w:hAnsi="Times New Roman" w:cs="Times New Roman"/>
          <w:color w:val="auto"/>
          <w:sz w:val="24"/>
        </w:rPr>
        <w:t xml:space="preserve">La línea de acción precisa: </w:t>
      </w:r>
      <w:r w:rsidRPr="00BB231B">
        <w:rPr>
          <w:rFonts w:ascii="Times New Roman" w:hAnsi="Times New Roman" w:cs="Times New Roman"/>
          <w:b/>
          <w:color w:val="auto"/>
          <w:sz w:val="24"/>
        </w:rPr>
        <w:t>“1.1.1.3 Fortalecer el sistema de control interno y externo y los mecanismos de acceso a la información de la administración pública, como medio de garantizar la transparencia, la rendición de cuentas y la calidad del gasto público.”</w:t>
      </w:r>
    </w:p>
    <w:p w:rsidR="00A57CA6" w:rsidRPr="00BB231B" w:rsidRDefault="00A53AC4" w:rsidP="00DD3367">
      <w:pPr>
        <w:spacing w:before="0" w:after="0"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 xml:space="preserve">La </w:t>
      </w:r>
      <w:r w:rsidR="00D125A1" w:rsidRPr="00BB231B">
        <w:rPr>
          <w:rFonts w:ascii="Times New Roman" w:hAnsi="Times New Roman" w:cs="Times New Roman"/>
          <w:color w:val="auto"/>
          <w:sz w:val="24"/>
          <w:szCs w:val="24"/>
        </w:rPr>
        <w:t>Contraloría General de la República</w:t>
      </w:r>
      <w:r w:rsidR="00A57CA6" w:rsidRPr="00BB231B">
        <w:rPr>
          <w:rFonts w:ascii="Times New Roman" w:hAnsi="Times New Roman" w:cs="Times New Roman"/>
          <w:color w:val="auto"/>
          <w:sz w:val="24"/>
          <w:szCs w:val="24"/>
        </w:rPr>
        <w:t xml:space="preserve">  </w:t>
      </w:r>
      <w:r w:rsidR="00A57CA6" w:rsidRPr="00BB231B">
        <w:rPr>
          <w:rFonts w:ascii="Times New Roman" w:hAnsi="Times New Roman" w:cs="Times New Roman"/>
          <w:b/>
          <w:color w:val="auto"/>
          <w:sz w:val="24"/>
          <w:szCs w:val="24"/>
        </w:rPr>
        <w:t xml:space="preserve">durante este año </w:t>
      </w:r>
      <w:r w:rsidR="00B84B5D" w:rsidRPr="00BB231B">
        <w:rPr>
          <w:rFonts w:ascii="Times New Roman" w:hAnsi="Times New Roman" w:cs="Times New Roman"/>
          <w:b/>
          <w:color w:val="auto"/>
          <w:sz w:val="24"/>
          <w:szCs w:val="24"/>
        </w:rPr>
        <w:t>2017 ha</w:t>
      </w:r>
      <w:r w:rsidR="00A57CA6" w:rsidRPr="00BB231B">
        <w:rPr>
          <w:rFonts w:ascii="Times New Roman" w:hAnsi="Times New Roman" w:cs="Times New Roman"/>
          <w:b/>
          <w:color w:val="auto"/>
          <w:sz w:val="24"/>
          <w:szCs w:val="24"/>
        </w:rPr>
        <w:t xml:space="preserve"> realizado las siguientes acciones</w:t>
      </w:r>
      <w:r w:rsidR="00B84B5D" w:rsidRPr="00BB231B">
        <w:rPr>
          <w:rFonts w:ascii="Times New Roman" w:hAnsi="Times New Roman" w:cs="Times New Roman"/>
          <w:b/>
          <w:color w:val="auto"/>
          <w:sz w:val="24"/>
          <w:szCs w:val="24"/>
        </w:rPr>
        <w:t xml:space="preserve"> </w:t>
      </w:r>
      <w:r w:rsidR="003E1E08" w:rsidRPr="00BB231B">
        <w:rPr>
          <w:rFonts w:ascii="Times New Roman" w:hAnsi="Times New Roman" w:cs="Times New Roman"/>
          <w:color w:val="auto"/>
          <w:sz w:val="24"/>
          <w:szCs w:val="24"/>
        </w:rPr>
        <w:t>para</w:t>
      </w:r>
      <w:r w:rsidR="003E1E08" w:rsidRPr="00BB231B">
        <w:rPr>
          <w:rFonts w:ascii="Times New Roman" w:hAnsi="Times New Roman" w:cs="Times New Roman"/>
          <w:b/>
          <w:color w:val="auto"/>
          <w:sz w:val="24"/>
          <w:szCs w:val="24"/>
        </w:rPr>
        <w:t xml:space="preserve"> </w:t>
      </w:r>
      <w:r w:rsidR="00B84B5D" w:rsidRPr="00BB231B">
        <w:rPr>
          <w:rFonts w:ascii="Times New Roman" w:hAnsi="Times New Roman" w:cs="Times New Roman"/>
          <w:color w:val="auto"/>
          <w:sz w:val="24"/>
          <w:szCs w:val="24"/>
        </w:rPr>
        <w:t>poner en práctica los mecanismos que están a su alcance asegurando que se fortalezcan estos sistemas</w:t>
      </w:r>
      <w:r w:rsidR="00A57CA6" w:rsidRPr="00BB231B">
        <w:rPr>
          <w:rFonts w:ascii="Times New Roman" w:hAnsi="Times New Roman" w:cs="Times New Roman"/>
          <w:color w:val="auto"/>
          <w:sz w:val="24"/>
          <w:szCs w:val="24"/>
        </w:rPr>
        <w:t>:</w:t>
      </w:r>
    </w:p>
    <w:p w:rsidR="00DD02DA" w:rsidRPr="00BB231B" w:rsidRDefault="00A57CA6" w:rsidP="0013776D">
      <w:pPr>
        <w:pStyle w:val="Prrafodelista"/>
        <w:numPr>
          <w:ilvl w:val="0"/>
          <w:numId w:val="34"/>
        </w:numPr>
        <w:spacing w:line="480" w:lineRule="auto"/>
        <w:rPr>
          <w:rFonts w:ascii="Times New Roman" w:hAnsi="Times New Roman" w:cs="Times New Roman"/>
          <w:color w:val="auto"/>
          <w:sz w:val="24"/>
        </w:rPr>
      </w:pPr>
      <w:r w:rsidRPr="00BB231B">
        <w:rPr>
          <w:rFonts w:ascii="Times New Roman" w:hAnsi="Times New Roman" w:cs="Times New Roman"/>
          <w:b/>
          <w:color w:val="auto"/>
          <w:sz w:val="24"/>
        </w:rPr>
        <w:t>En Marzo 2017 la Contraloría emitió la resolución 001-17</w:t>
      </w:r>
      <w:r w:rsidRPr="00BB231B">
        <w:rPr>
          <w:rFonts w:ascii="Times New Roman" w:hAnsi="Times New Roman" w:cs="Times New Roman"/>
          <w:color w:val="auto"/>
          <w:sz w:val="24"/>
        </w:rPr>
        <w:t xml:space="preserve"> en su artículo primero  </w:t>
      </w:r>
      <w:r w:rsidRPr="00BB231B">
        <w:rPr>
          <w:rFonts w:ascii="Times New Roman" w:hAnsi="Times New Roman" w:cs="Times New Roman"/>
          <w:b/>
          <w:color w:val="auto"/>
          <w:sz w:val="24"/>
        </w:rPr>
        <w:t>estableciendo que las instituciones bajo el ámbito de la ley 10-07 deben implantar y poner en funcionamiento las cinco (5) normas Básicas de Control Interno en dos etapas</w:t>
      </w:r>
      <w:r w:rsidRPr="00BB231B">
        <w:rPr>
          <w:rFonts w:ascii="Times New Roman" w:hAnsi="Times New Roman" w:cs="Times New Roman"/>
          <w:color w:val="auto"/>
          <w:sz w:val="24"/>
        </w:rPr>
        <w:t>: la primera: sobre la implementación, socialización, capacitación y autodiagnóstico, en un plazo de un año. La segunda etapa: sobre la efectividad en el funcionamiento, se evaluará la madurez alcanzada en la implementación de las NOBACI, e incluye la conclusión de la primera etapa.</w:t>
      </w:r>
    </w:p>
    <w:p w:rsidR="00DD02DA" w:rsidRPr="00BB231B" w:rsidRDefault="00DD02DA" w:rsidP="00005BA4">
      <w:pPr>
        <w:pStyle w:val="Prrafodelista"/>
        <w:spacing w:line="480" w:lineRule="auto"/>
        <w:ind w:left="720" w:firstLine="0"/>
        <w:rPr>
          <w:rFonts w:ascii="Times New Roman" w:hAnsi="Times New Roman" w:cs="Times New Roman"/>
          <w:color w:val="auto"/>
          <w:sz w:val="24"/>
        </w:rPr>
      </w:pPr>
    </w:p>
    <w:p w:rsidR="00F80BB8" w:rsidRPr="00BB231B" w:rsidRDefault="00A57CA6" w:rsidP="0013776D">
      <w:pPr>
        <w:pStyle w:val="Prrafodelista"/>
        <w:numPr>
          <w:ilvl w:val="0"/>
          <w:numId w:val="34"/>
        </w:numPr>
        <w:spacing w:line="480" w:lineRule="auto"/>
        <w:rPr>
          <w:rFonts w:ascii="Times New Roman" w:hAnsi="Times New Roman" w:cs="Times New Roman"/>
          <w:color w:val="auto"/>
          <w:sz w:val="24"/>
        </w:rPr>
      </w:pPr>
      <w:r w:rsidRPr="00BB231B">
        <w:rPr>
          <w:rFonts w:ascii="Times New Roman" w:hAnsi="Times New Roman" w:cs="Times New Roman"/>
          <w:b/>
          <w:color w:val="auto"/>
          <w:sz w:val="24"/>
        </w:rPr>
        <w:t xml:space="preserve">El 1ro de agosto La Contraloría </w:t>
      </w:r>
      <w:r w:rsidR="003E1E08" w:rsidRPr="00BB231B">
        <w:rPr>
          <w:rFonts w:ascii="Times New Roman" w:hAnsi="Times New Roman" w:cs="Times New Roman"/>
          <w:b/>
          <w:color w:val="auto"/>
          <w:sz w:val="24"/>
        </w:rPr>
        <w:t>concluyó el diseño de</w:t>
      </w:r>
      <w:r w:rsidRPr="00BB231B">
        <w:rPr>
          <w:rFonts w:ascii="Times New Roman" w:hAnsi="Times New Roman" w:cs="Times New Roman"/>
          <w:b/>
          <w:color w:val="auto"/>
          <w:sz w:val="24"/>
        </w:rPr>
        <w:t xml:space="preserve"> la herramienta tecnológica denominada “Sistema para el Diagnóstico de las NOBACI”.</w:t>
      </w:r>
      <w:r w:rsidRPr="00BB231B">
        <w:rPr>
          <w:rFonts w:ascii="Times New Roman" w:hAnsi="Times New Roman" w:cs="Times New Roman"/>
          <w:color w:val="auto"/>
          <w:sz w:val="24"/>
        </w:rPr>
        <w:t xml:space="preserve"> Esta permite a las entidades y organismos públicos bajo su alcance, realizar en línea su proceso de autodiagnóstico</w:t>
      </w:r>
      <w:r w:rsidR="00E119C7" w:rsidRPr="00BB231B">
        <w:rPr>
          <w:rFonts w:ascii="Times New Roman" w:hAnsi="Times New Roman" w:cs="Times New Roman"/>
          <w:color w:val="auto"/>
          <w:sz w:val="24"/>
        </w:rPr>
        <w:t xml:space="preserve"> para los 5 Componentes</w:t>
      </w:r>
      <w:r w:rsidRPr="00BB231B">
        <w:rPr>
          <w:rFonts w:ascii="Times New Roman" w:hAnsi="Times New Roman" w:cs="Times New Roman"/>
          <w:color w:val="auto"/>
          <w:sz w:val="24"/>
        </w:rPr>
        <w:t xml:space="preserve">. </w:t>
      </w:r>
      <w:r w:rsidR="00E119C7" w:rsidRPr="00BB231B">
        <w:rPr>
          <w:rFonts w:ascii="Times New Roman" w:hAnsi="Times New Roman" w:cs="Times New Roman"/>
          <w:color w:val="auto"/>
          <w:sz w:val="24"/>
        </w:rPr>
        <w:t xml:space="preserve"> </w:t>
      </w:r>
      <w:r w:rsidR="00E119C7" w:rsidRPr="00BB231B">
        <w:rPr>
          <w:rFonts w:ascii="Times New Roman" w:hAnsi="Times New Roman" w:cs="Times New Roman"/>
          <w:b/>
          <w:color w:val="auto"/>
          <w:sz w:val="24"/>
        </w:rPr>
        <w:t>Entre los b</w:t>
      </w:r>
      <w:r w:rsidRPr="00BB231B">
        <w:rPr>
          <w:rFonts w:ascii="Times New Roman" w:hAnsi="Times New Roman" w:cs="Times New Roman"/>
          <w:b/>
          <w:color w:val="auto"/>
          <w:sz w:val="24"/>
        </w:rPr>
        <w:t>eneficios</w:t>
      </w:r>
      <w:r w:rsidR="00E119C7" w:rsidRPr="00BB231B">
        <w:rPr>
          <w:rFonts w:ascii="Times New Roman" w:hAnsi="Times New Roman" w:cs="Times New Roman"/>
          <w:b/>
          <w:color w:val="auto"/>
          <w:sz w:val="24"/>
        </w:rPr>
        <w:t xml:space="preserve"> se encuentran</w:t>
      </w:r>
      <w:r w:rsidRPr="00BB231B">
        <w:rPr>
          <w:rFonts w:ascii="Times New Roman" w:hAnsi="Times New Roman" w:cs="Times New Roman"/>
          <w:b/>
          <w:color w:val="auto"/>
          <w:sz w:val="24"/>
        </w:rPr>
        <w:t>:</w:t>
      </w:r>
    </w:p>
    <w:p w:rsidR="00F80BB8" w:rsidRPr="00BB231B" w:rsidRDefault="00F80BB8" w:rsidP="00005BA4">
      <w:pPr>
        <w:pStyle w:val="Prrafodelista"/>
        <w:spacing w:line="480" w:lineRule="auto"/>
        <w:rPr>
          <w:rFonts w:ascii="Times New Roman" w:hAnsi="Times New Roman" w:cs="Times New Roman"/>
          <w:color w:val="auto"/>
          <w:sz w:val="24"/>
        </w:rPr>
      </w:pPr>
    </w:p>
    <w:p w:rsidR="00F80BB8" w:rsidRPr="00BB231B" w:rsidRDefault="00A57CA6" w:rsidP="0013776D">
      <w:pPr>
        <w:pStyle w:val="Prrafodelista"/>
        <w:numPr>
          <w:ilvl w:val="1"/>
          <w:numId w:val="51"/>
        </w:numPr>
        <w:spacing w:line="480" w:lineRule="auto"/>
        <w:rPr>
          <w:rFonts w:ascii="Times New Roman" w:hAnsi="Times New Roman" w:cs="Times New Roman"/>
          <w:color w:val="auto"/>
          <w:sz w:val="24"/>
        </w:rPr>
      </w:pPr>
      <w:r w:rsidRPr="00BB231B">
        <w:rPr>
          <w:rFonts w:ascii="Times New Roman" w:hAnsi="Times New Roman" w:cs="Times New Roman"/>
          <w:color w:val="auto"/>
          <w:sz w:val="24"/>
        </w:rPr>
        <w:t xml:space="preserve">Con esta herramienta las entidades evitarán el proceso manual. Así se agilizarán las cargas de las respuestas a los requerimientos de las NOBACI, sus evidencias y planes de acción. Esto permitirá a su vez una revisión y </w:t>
      </w:r>
      <w:r w:rsidR="001D2A01" w:rsidRPr="00BB231B">
        <w:rPr>
          <w:rFonts w:ascii="Times New Roman" w:hAnsi="Times New Roman" w:cs="Times New Roman"/>
          <w:color w:val="auto"/>
          <w:sz w:val="24"/>
        </w:rPr>
        <w:t>seguimiento</w:t>
      </w:r>
      <w:r w:rsidRPr="00BB231B">
        <w:rPr>
          <w:rFonts w:ascii="Times New Roman" w:hAnsi="Times New Roman" w:cs="Times New Roman"/>
          <w:color w:val="auto"/>
          <w:sz w:val="24"/>
        </w:rPr>
        <w:t xml:space="preserve"> por parte de la Contraloría </w:t>
      </w:r>
      <w:r w:rsidRPr="00BB231B">
        <w:rPr>
          <w:rFonts w:ascii="Times New Roman" w:hAnsi="Times New Roman" w:cs="Times New Roman"/>
          <w:color w:val="auto"/>
          <w:sz w:val="24"/>
        </w:rPr>
        <w:lastRenderedPageBreak/>
        <w:t xml:space="preserve">General de la República (CGR) de manera remota y a través de la misma herramienta. </w:t>
      </w:r>
    </w:p>
    <w:p w:rsidR="00F80BB8" w:rsidRPr="00BB231B" w:rsidRDefault="00A57CA6" w:rsidP="0013776D">
      <w:pPr>
        <w:pStyle w:val="Prrafodelista"/>
        <w:numPr>
          <w:ilvl w:val="1"/>
          <w:numId w:val="51"/>
        </w:numPr>
        <w:spacing w:line="480" w:lineRule="auto"/>
        <w:rPr>
          <w:rFonts w:ascii="Times New Roman" w:hAnsi="Times New Roman" w:cs="Times New Roman"/>
          <w:color w:val="auto"/>
          <w:sz w:val="24"/>
        </w:rPr>
      </w:pPr>
      <w:r w:rsidRPr="00BB231B">
        <w:rPr>
          <w:rFonts w:ascii="Times New Roman" w:hAnsi="Times New Roman" w:cs="Times New Roman"/>
          <w:color w:val="auto"/>
          <w:sz w:val="24"/>
        </w:rPr>
        <w:t>De esta manera también se agilizan los tiempos de repuestas entre el órgano rector del control interno y las instituciones públicas, en beneficio del fortalecimiento oportuno de los sistemas de</w:t>
      </w:r>
      <w:r w:rsidR="00966FB9" w:rsidRPr="00BB231B">
        <w:rPr>
          <w:rFonts w:ascii="Times New Roman" w:hAnsi="Times New Roman" w:cs="Times New Roman"/>
          <w:color w:val="auto"/>
          <w:sz w:val="24"/>
        </w:rPr>
        <w:t xml:space="preserve"> control interno de las instituciones</w:t>
      </w:r>
      <w:r w:rsidRPr="00BB231B">
        <w:rPr>
          <w:rFonts w:ascii="Times New Roman" w:hAnsi="Times New Roman" w:cs="Times New Roman"/>
          <w:color w:val="auto"/>
          <w:sz w:val="24"/>
        </w:rPr>
        <w:t>.</w:t>
      </w:r>
    </w:p>
    <w:p w:rsidR="00F80BB8" w:rsidRPr="00BB231B" w:rsidRDefault="00A57CA6" w:rsidP="0013776D">
      <w:pPr>
        <w:pStyle w:val="Prrafodelista"/>
        <w:numPr>
          <w:ilvl w:val="1"/>
          <w:numId w:val="51"/>
        </w:numPr>
        <w:spacing w:line="480" w:lineRule="auto"/>
        <w:rPr>
          <w:rFonts w:ascii="Times New Roman" w:hAnsi="Times New Roman" w:cs="Times New Roman"/>
          <w:color w:val="auto"/>
          <w:sz w:val="24"/>
        </w:rPr>
      </w:pPr>
      <w:r w:rsidRPr="00BB231B">
        <w:rPr>
          <w:rFonts w:ascii="Times New Roman" w:hAnsi="Times New Roman" w:cs="Times New Roman"/>
          <w:color w:val="auto"/>
          <w:sz w:val="24"/>
        </w:rPr>
        <w:t>A lo largo del proceso de autodiagnóstico con el uso de este nuevo software, la CGR continuará brindando acompañamiento y asesoría técnica a través de su Dirección de Desarrollo Normativo y de la Dirección de Tecnología de la Información, mediante las unidades de Mesa de Ayuda creadas para tales fines.</w:t>
      </w:r>
    </w:p>
    <w:p w:rsidR="00A57CA6" w:rsidRPr="00BB231B" w:rsidRDefault="00A57CA6" w:rsidP="0013776D">
      <w:pPr>
        <w:pStyle w:val="Prrafodelista"/>
        <w:numPr>
          <w:ilvl w:val="1"/>
          <w:numId w:val="51"/>
        </w:numPr>
        <w:spacing w:line="480" w:lineRule="auto"/>
        <w:rPr>
          <w:rFonts w:ascii="Times New Roman" w:hAnsi="Times New Roman" w:cs="Times New Roman"/>
          <w:color w:val="auto"/>
          <w:sz w:val="24"/>
        </w:rPr>
      </w:pPr>
      <w:r w:rsidRPr="00BB231B">
        <w:rPr>
          <w:rFonts w:ascii="Times New Roman" w:hAnsi="Times New Roman" w:cs="Times New Roman"/>
          <w:color w:val="auto"/>
          <w:sz w:val="24"/>
        </w:rPr>
        <w:t xml:space="preserve">El software presenta un diseño </w:t>
      </w:r>
      <w:r w:rsidR="001D2A01" w:rsidRPr="00BB231B">
        <w:rPr>
          <w:rFonts w:ascii="Times New Roman" w:hAnsi="Times New Roman" w:cs="Times New Roman"/>
          <w:color w:val="auto"/>
          <w:sz w:val="24"/>
        </w:rPr>
        <w:t>amigable</w:t>
      </w:r>
      <w:r w:rsidRPr="00BB231B">
        <w:rPr>
          <w:rFonts w:ascii="Times New Roman" w:hAnsi="Times New Roman" w:cs="Times New Roman"/>
          <w:color w:val="auto"/>
          <w:sz w:val="24"/>
        </w:rPr>
        <w:t xml:space="preserve"> para el usuario. Permitirá monitorear los niveles de avances en la implementación de las NOBACI. Lo hará a través del uso de indicadores, reportes gráficos y estadísticos, para uso de los titulares de las instituciones y organismos públicos. Asimismo, para poder rendir cuentas sobre la madurez del Sistema de Control Interno del Estado al Ejecutivo, por parte de la CGR. El “Sistema para el Diagnóstico de las NOBACI” está disponible en la página web de la Contraloría General de la República. Allí las instituciones pueden acceder mediante la creación de un perfil de usuario. </w:t>
      </w:r>
    </w:p>
    <w:p w:rsidR="00A57CA6" w:rsidRPr="00BB231B" w:rsidRDefault="00A57CA6" w:rsidP="0013776D">
      <w:pPr>
        <w:pStyle w:val="Prrafodelista"/>
        <w:numPr>
          <w:ilvl w:val="0"/>
          <w:numId w:val="35"/>
        </w:numPr>
        <w:tabs>
          <w:tab w:val="left" w:pos="5309"/>
        </w:tabs>
        <w:suppressAutoHyphens w:val="0"/>
        <w:spacing w:before="0" w:after="0" w:line="480" w:lineRule="auto"/>
        <w:rPr>
          <w:rFonts w:ascii="Times New Roman" w:hAnsi="Times New Roman" w:cs="Times New Roman"/>
          <w:color w:val="auto"/>
          <w:sz w:val="24"/>
        </w:rPr>
      </w:pPr>
      <w:r w:rsidRPr="00BB231B">
        <w:rPr>
          <w:rFonts w:ascii="Times New Roman" w:hAnsi="Times New Roman" w:cs="Times New Roman"/>
          <w:b/>
          <w:color w:val="auto"/>
          <w:sz w:val="24"/>
        </w:rPr>
        <w:lastRenderedPageBreak/>
        <w:t>De las 160 Entidades</w:t>
      </w:r>
      <w:r w:rsidR="00F80BB8" w:rsidRPr="00BB231B">
        <w:rPr>
          <w:rFonts w:ascii="Times New Roman" w:hAnsi="Times New Roman" w:cs="Times New Roman"/>
          <w:b/>
          <w:color w:val="auto"/>
          <w:sz w:val="24"/>
        </w:rPr>
        <w:t xml:space="preserve"> planificadas para el 2017, las cuales </w:t>
      </w:r>
      <w:r w:rsidRPr="00BB231B">
        <w:rPr>
          <w:rFonts w:ascii="Times New Roman" w:hAnsi="Times New Roman" w:cs="Times New Roman"/>
          <w:b/>
          <w:color w:val="auto"/>
          <w:sz w:val="24"/>
        </w:rPr>
        <w:t>actualmente se encuentran en proceso de implementación de las NOBACI</w:t>
      </w:r>
      <w:r w:rsidRPr="00BB231B">
        <w:rPr>
          <w:rFonts w:ascii="Times New Roman" w:hAnsi="Times New Roman" w:cs="Times New Roman"/>
          <w:color w:val="auto"/>
          <w:sz w:val="24"/>
        </w:rPr>
        <w:t xml:space="preserve">, al día 01 de diciembre, existe </w:t>
      </w:r>
      <w:r w:rsidRPr="00BB231B">
        <w:rPr>
          <w:rFonts w:ascii="Times New Roman" w:hAnsi="Times New Roman" w:cs="Times New Roman"/>
          <w:b/>
          <w:color w:val="auto"/>
          <w:sz w:val="24"/>
        </w:rPr>
        <w:t>un total de 145</w:t>
      </w:r>
      <w:r w:rsidRPr="00BB231B">
        <w:rPr>
          <w:rFonts w:ascii="Times New Roman" w:hAnsi="Times New Roman" w:cs="Times New Roman"/>
          <w:color w:val="auto"/>
          <w:sz w:val="24"/>
        </w:rPr>
        <w:t xml:space="preserve"> con usuarios creados en la Plataforma tecnológica, </w:t>
      </w:r>
      <w:r w:rsidRPr="00BB231B">
        <w:rPr>
          <w:rFonts w:ascii="Times New Roman" w:hAnsi="Times New Roman" w:cs="Times New Roman"/>
          <w:b/>
          <w:color w:val="auto"/>
          <w:sz w:val="24"/>
        </w:rPr>
        <w:t>lo que representa un 90% del total de la meta establecida para el 2017</w:t>
      </w:r>
      <w:r w:rsidRPr="00BB231B">
        <w:rPr>
          <w:rFonts w:ascii="Times New Roman" w:hAnsi="Times New Roman" w:cs="Times New Roman"/>
          <w:color w:val="auto"/>
          <w:sz w:val="24"/>
        </w:rPr>
        <w:t>.</w:t>
      </w:r>
    </w:p>
    <w:p w:rsidR="00A57CA6" w:rsidRPr="00BB231B" w:rsidRDefault="00A57CA6" w:rsidP="00005BA4">
      <w:pPr>
        <w:pStyle w:val="Prrafodelista"/>
        <w:spacing w:line="480" w:lineRule="auto"/>
        <w:rPr>
          <w:rFonts w:ascii="Times New Roman" w:hAnsi="Times New Roman" w:cs="Times New Roman"/>
          <w:color w:val="auto"/>
          <w:sz w:val="24"/>
        </w:rPr>
      </w:pPr>
    </w:p>
    <w:p w:rsidR="00AF57D3" w:rsidRPr="00BB231B" w:rsidRDefault="00A57CA6" w:rsidP="00DD3367">
      <w:pPr>
        <w:suppressAutoHyphens w:val="0"/>
        <w:spacing w:before="0" w:after="0"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t>En el artículo segundo de la Resolución 001-17 emitida por la CGR cita lo siguiente: “Se establece</w:t>
      </w:r>
      <w:r w:rsidRPr="00BB231B">
        <w:rPr>
          <w:rFonts w:ascii="Times New Roman" w:hAnsi="Times New Roman" w:cs="Times New Roman"/>
          <w:b/>
          <w:color w:val="auto"/>
          <w:sz w:val="24"/>
          <w:szCs w:val="24"/>
        </w:rPr>
        <w:t xml:space="preserve"> que las instituciones y organismos bajo el ámbito de la Ley 10-07 remitan informes de avance y terminación de la implementación, y posteriormente, sobre la efectividad en el funcionamiento del control interno de acuerdo a las NOBACI, con un corte cuatrimestral al 31 de agosto, 31 de diciembre y al 30 de abril de cada año. </w:t>
      </w:r>
      <w:r w:rsidRPr="00BB231B">
        <w:rPr>
          <w:rFonts w:ascii="Times New Roman" w:hAnsi="Times New Roman" w:cs="Times New Roman"/>
          <w:color w:val="auto"/>
          <w:sz w:val="24"/>
          <w:szCs w:val="24"/>
        </w:rPr>
        <w:t xml:space="preserve">Dichos informes deben estar firmados por la Máxima Autoridad Ejecutiva y ser remitidos a la CGR, los primeros cinco (5) días laborables subsiguientes a la fecha de corte a la cual se refieran”. </w:t>
      </w:r>
    </w:p>
    <w:p w:rsidR="00004D55" w:rsidRPr="00BB231B" w:rsidRDefault="00A57CA6" w:rsidP="0013776D">
      <w:pPr>
        <w:pStyle w:val="Prrafodelista"/>
        <w:numPr>
          <w:ilvl w:val="0"/>
          <w:numId w:val="35"/>
        </w:numPr>
        <w:tabs>
          <w:tab w:val="left" w:pos="5309"/>
        </w:tabs>
        <w:suppressAutoHyphens w:val="0"/>
        <w:spacing w:before="0" w:after="0" w:line="480" w:lineRule="auto"/>
        <w:rPr>
          <w:rFonts w:ascii="Times New Roman" w:hAnsi="Times New Roman" w:cs="Times New Roman"/>
          <w:color w:val="auto"/>
          <w:sz w:val="24"/>
        </w:rPr>
      </w:pPr>
      <w:r w:rsidRPr="00BB231B">
        <w:rPr>
          <w:rFonts w:ascii="Times New Roman" w:hAnsi="Times New Roman" w:cs="Times New Roman"/>
          <w:color w:val="auto"/>
          <w:sz w:val="24"/>
        </w:rPr>
        <w:t xml:space="preserve">Con el objetivo de que las Entidades del Estado cumplan con lo citado anteriormente, </w:t>
      </w:r>
      <w:r w:rsidRPr="00BB231B">
        <w:rPr>
          <w:rFonts w:ascii="Times New Roman" w:hAnsi="Times New Roman" w:cs="Times New Roman"/>
          <w:b/>
          <w:color w:val="auto"/>
          <w:sz w:val="24"/>
        </w:rPr>
        <w:t>la CGR está  asesorando y dando acompañamiento técnico  en la implementación y medición  de la efectividad del control interno, así como el seguimiento a la ejecución de los planes de acción en la elaboración y remisión de los informes de avance.</w:t>
      </w:r>
    </w:p>
    <w:p w:rsidR="00A57CA6" w:rsidRPr="00BB231B" w:rsidRDefault="00A57CA6" w:rsidP="0013776D">
      <w:pPr>
        <w:pStyle w:val="Prrafodelista"/>
        <w:numPr>
          <w:ilvl w:val="0"/>
          <w:numId w:val="35"/>
        </w:numPr>
        <w:tabs>
          <w:tab w:val="left" w:pos="5309"/>
        </w:tabs>
        <w:suppressAutoHyphens w:val="0"/>
        <w:spacing w:before="0" w:after="0" w:line="480" w:lineRule="auto"/>
        <w:rPr>
          <w:rFonts w:ascii="Times New Roman" w:hAnsi="Times New Roman" w:cs="Times New Roman"/>
          <w:color w:val="auto"/>
          <w:sz w:val="24"/>
        </w:rPr>
      </w:pPr>
      <w:r w:rsidRPr="00BB231B">
        <w:rPr>
          <w:rFonts w:ascii="Times New Roman" w:hAnsi="Times New Roman" w:cs="Times New Roman"/>
          <w:color w:val="auto"/>
          <w:sz w:val="24"/>
        </w:rPr>
        <w:t xml:space="preserve">Durante la 1ra. Etapa del proceso de implementación de las NOBACI, diversas Entidades realizaron solicitudes de capacitación en materia de control interno y valoración de riesgos expresando su interés en aplicar las </w:t>
      </w:r>
      <w:r w:rsidRPr="00BB231B">
        <w:rPr>
          <w:rFonts w:ascii="Times New Roman" w:hAnsi="Times New Roman" w:cs="Times New Roman"/>
          <w:color w:val="auto"/>
          <w:sz w:val="24"/>
        </w:rPr>
        <w:lastRenderedPageBreak/>
        <w:t xml:space="preserve">normas de la manera correcta. Dando respuesta a estas solicitudes, </w:t>
      </w:r>
      <w:r w:rsidRPr="00BB231B">
        <w:rPr>
          <w:rFonts w:ascii="Times New Roman" w:hAnsi="Times New Roman" w:cs="Times New Roman"/>
          <w:b/>
          <w:color w:val="auto"/>
          <w:sz w:val="24"/>
        </w:rPr>
        <w:t>la CGR realizó varios talleres</w:t>
      </w:r>
      <w:r w:rsidRPr="00BB231B">
        <w:rPr>
          <w:rFonts w:ascii="Times New Roman" w:hAnsi="Times New Roman" w:cs="Times New Roman"/>
          <w:color w:val="auto"/>
          <w:sz w:val="24"/>
        </w:rPr>
        <w:t xml:space="preserve"> en los cuales se les presentó a </w:t>
      </w:r>
      <w:r w:rsidRPr="00BB231B">
        <w:rPr>
          <w:rFonts w:ascii="Times New Roman" w:hAnsi="Times New Roman" w:cs="Times New Roman"/>
          <w:b/>
          <w:color w:val="auto"/>
          <w:sz w:val="24"/>
        </w:rPr>
        <w:t>282 Entidades del Estado</w:t>
      </w:r>
      <w:r w:rsidRPr="00BB231B">
        <w:rPr>
          <w:rFonts w:ascii="Times New Roman" w:hAnsi="Times New Roman" w:cs="Times New Roman"/>
          <w:color w:val="auto"/>
          <w:sz w:val="24"/>
        </w:rPr>
        <w:t xml:space="preserve">, </w:t>
      </w:r>
      <w:r w:rsidRPr="00BB231B">
        <w:rPr>
          <w:rFonts w:ascii="Times New Roman" w:hAnsi="Times New Roman" w:cs="Times New Roman"/>
          <w:b/>
          <w:color w:val="auto"/>
          <w:sz w:val="24"/>
        </w:rPr>
        <w:t>los puntos más importantes del proceso de implementación y los 5 componentes de las NOBACI,</w:t>
      </w:r>
      <w:r w:rsidRPr="00BB231B">
        <w:rPr>
          <w:rFonts w:ascii="Times New Roman" w:hAnsi="Times New Roman" w:cs="Times New Roman"/>
          <w:color w:val="auto"/>
          <w:sz w:val="24"/>
        </w:rPr>
        <w:t xml:space="preserve"> haciendo énfasis en el componente #2 de Valoración y Administración de Riesgos el cual fue presentado de manera más extensa, incluyendo ejercicio prácticos para facilitar su comprensión. A continuación presentamos los resultados a nivel de asistencia de los talleres realizados:</w:t>
      </w:r>
    </w:p>
    <w:p w:rsidR="00A53AC4" w:rsidRPr="00BB231B" w:rsidRDefault="00A53AC4" w:rsidP="00005BA4">
      <w:pPr>
        <w:pStyle w:val="Prrafodelista"/>
        <w:tabs>
          <w:tab w:val="left" w:pos="5309"/>
        </w:tabs>
        <w:suppressAutoHyphens w:val="0"/>
        <w:spacing w:before="0" w:after="0" w:line="480" w:lineRule="auto"/>
        <w:ind w:left="1440" w:firstLine="0"/>
        <w:rPr>
          <w:rFonts w:ascii="Times New Roman" w:hAnsi="Times New Roman" w:cs="Times New Roman"/>
          <w:color w:val="auto"/>
          <w:sz w:val="24"/>
        </w:rPr>
      </w:pPr>
    </w:p>
    <w:p w:rsidR="00A57CA6" w:rsidRPr="00BB231B" w:rsidRDefault="00A57CA6" w:rsidP="00005BA4">
      <w:pPr>
        <w:pStyle w:val="Prrafodelista"/>
        <w:spacing w:line="480" w:lineRule="auto"/>
        <w:ind w:left="1778" w:firstLine="0"/>
        <w:rPr>
          <w:rFonts w:ascii="Times New Roman" w:hAnsi="Times New Roman" w:cs="Times New Roman"/>
          <w:sz w:val="24"/>
        </w:rPr>
      </w:pPr>
      <w:r w:rsidRPr="00BB231B">
        <w:rPr>
          <w:rFonts w:ascii="Times New Roman" w:hAnsi="Times New Roman" w:cs="Times New Roman"/>
          <w:noProof/>
          <w:sz w:val="24"/>
          <w:lang w:val="es-US" w:eastAsia="es-US"/>
        </w:rPr>
        <w:drawing>
          <wp:inline distT="0" distB="0" distL="0" distR="0" wp14:anchorId="02E44597" wp14:editId="0A4E6423">
            <wp:extent cx="3307080" cy="1266332"/>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3200" cy="1283992"/>
                    </a:xfrm>
                    <a:prstGeom prst="rect">
                      <a:avLst/>
                    </a:prstGeom>
                    <a:noFill/>
                    <a:ln>
                      <a:noFill/>
                    </a:ln>
                  </pic:spPr>
                </pic:pic>
              </a:graphicData>
            </a:graphic>
          </wp:inline>
        </w:drawing>
      </w:r>
    </w:p>
    <w:p w:rsidR="00A57CA6" w:rsidRPr="00BB231B" w:rsidRDefault="00B35C2E" w:rsidP="00A9091C">
      <w:pPr>
        <w:pStyle w:val="Normal-blanco"/>
        <w:numPr>
          <w:ilvl w:val="0"/>
          <w:numId w:val="51"/>
        </w:numPr>
        <w:spacing w:before="0" w:after="0"/>
        <w:ind w:right="199"/>
        <w:outlineLvl w:val="1"/>
        <w:rPr>
          <w:rStyle w:val="nfasissutil"/>
          <w:rFonts w:ascii="Times New Roman" w:hAnsi="Times New Roman" w:cs="Times New Roman"/>
          <w:b/>
          <w:color w:val="000000" w:themeColor="text1"/>
          <w:sz w:val="28"/>
          <w:lang w:val="es-DO"/>
        </w:rPr>
      </w:pPr>
      <w:bookmarkStart w:id="30" w:name="_Toc500858015"/>
      <w:bookmarkStart w:id="31" w:name="_Toc500858165"/>
      <w:bookmarkStart w:id="32" w:name="_Toc500918591"/>
      <w:r w:rsidRPr="00BB231B">
        <w:rPr>
          <w:rStyle w:val="nfasissutil"/>
          <w:rFonts w:ascii="Times New Roman" w:hAnsi="Times New Roman" w:cs="Times New Roman"/>
          <w:b/>
          <w:color w:val="000000" w:themeColor="text1"/>
          <w:sz w:val="28"/>
          <w:lang w:val="es-DO"/>
        </w:rPr>
        <w:t>Otras Acciones Desarrolladas:</w:t>
      </w:r>
      <w:bookmarkEnd w:id="30"/>
      <w:bookmarkEnd w:id="31"/>
      <w:bookmarkEnd w:id="32"/>
    </w:p>
    <w:p w:rsidR="00FC2E0B" w:rsidRPr="00BB231B" w:rsidRDefault="00FC2E0B" w:rsidP="00FC2E0B">
      <w:pPr>
        <w:pStyle w:val="Normal-blanco"/>
        <w:spacing w:before="0" w:after="0"/>
        <w:ind w:left="720" w:right="199"/>
        <w:rPr>
          <w:rStyle w:val="nfasissutil"/>
          <w:rFonts w:ascii="Times New Roman" w:hAnsi="Times New Roman" w:cs="Times New Roman"/>
          <w:b/>
          <w:color w:val="000000" w:themeColor="text1"/>
          <w:sz w:val="22"/>
          <w:lang w:val="es-DO"/>
        </w:rPr>
      </w:pPr>
    </w:p>
    <w:p w:rsidR="00FC2E0B" w:rsidRPr="00BB231B" w:rsidRDefault="00FC2E0B" w:rsidP="00FC2E0B">
      <w:pPr>
        <w:pStyle w:val="Normal-blanco"/>
        <w:spacing w:before="0" w:after="0"/>
        <w:ind w:left="720" w:right="199"/>
        <w:rPr>
          <w:rStyle w:val="nfasissutil"/>
          <w:rFonts w:ascii="Times New Roman" w:hAnsi="Times New Roman" w:cs="Times New Roman"/>
          <w:b/>
          <w:color w:val="000000" w:themeColor="text1"/>
          <w:sz w:val="22"/>
          <w:lang w:val="es-DO"/>
        </w:rPr>
      </w:pPr>
    </w:p>
    <w:p w:rsidR="00B35C2E" w:rsidRPr="00BB231B" w:rsidRDefault="00B35C2E" w:rsidP="00DD3367">
      <w:pPr>
        <w:ind w:right="182" w:firstLine="709"/>
        <w:rPr>
          <w:rFonts w:ascii="Times New Roman" w:eastAsia="Gill Sans MT" w:hAnsi="Times New Roman" w:cs="Times New Roman"/>
          <w:color w:val="auto"/>
          <w:sz w:val="26"/>
          <w:szCs w:val="24"/>
          <w:lang w:val="es-DO"/>
        </w:rPr>
      </w:pPr>
      <w:r w:rsidRPr="00BB231B">
        <w:rPr>
          <w:rFonts w:ascii="Times New Roman" w:eastAsia="Gill Sans MT" w:hAnsi="Times New Roman" w:cs="Times New Roman"/>
          <w:b/>
          <w:color w:val="auto"/>
          <w:sz w:val="24"/>
          <w:szCs w:val="24"/>
          <w:lang w:val="es-DO"/>
        </w:rPr>
        <w:t xml:space="preserve">El segundo Eje </w:t>
      </w:r>
      <w:r w:rsidR="00DC218D" w:rsidRPr="00BB231B">
        <w:rPr>
          <w:rFonts w:ascii="Times New Roman" w:eastAsia="Gill Sans MT" w:hAnsi="Times New Roman" w:cs="Times New Roman"/>
          <w:b/>
          <w:color w:val="auto"/>
          <w:sz w:val="24"/>
          <w:szCs w:val="24"/>
          <w:lang w:val="es-DO"/>
        </w:rPr>
        <w:t xml:space="preserve">Estratégico </w:t>
      </w:r>
      <w:r w:rsidR="00DD3367">
        <w:rPr>
          <w:rFonts w:ascii="Times New Roman" w:eastAsia="Gill Sans MT" w:hAnsi="Times New Roman" w:cs="Times New Roman"/>
          <w:b/>
          <w:color w:val="auto"/>
          <w:sz w:val="24"/>
          <w:szCs w:val="24"/>
          <w:lang w:val="es-DO"/>
        </w:rPr>
        <w:t>de la Estrategia Nacional de Desarrollo (</w:t>
      </w:r>
      <w:r w:rsidR="00DC218D" w:rsidRPr="00BB231B">
        <w:rPr>
          <w:rFonts w:ascii="Times New Roman" w:eastAsia="Gill Sans MT" w:hAnsi="Times New Roman" w:cs="Times New Roman"/>
          <w:b/>
          <w:color w:val="auto"/>
          <w:sz w:val="24"/>
          <w:szCs w:val="24"/>
          <w:lang w:val="es-DO"/>
        </w:rPr>
        <w:t>END</w:t>
      </w:r>
      <w:r w:rsidR="00DD3367">
        <w:rPr>
          <w:rFonts w:ascii="Times New Roman" w:eastAsia="Gill Sans MT" w:hAnsi="Times New Roman" w:cs="Times New Roman"/>
          <w:b/>
          <w:color w:val="auto"/>
          <w:sz w:val="24"/>
          <w:szCs w:val="24"/>
          <w:lang w:val="es-DO"/>
        </w:rPr>
        <w:t>)</w:t>
      </w:r>
      <w:r w:rsidR="00647E66" w:rsidRPr="00BB231B">
        <w:rPr>
          <w:rFonts w:ascii="Times New Roman" w:eastAsia="Gill Sans MT" w:hAnsi="Times New Roman" w:cs="Times New Roman"/>
          <w:b/>
          <w:color w:val="auto"/>
          <w:sz w:val="24"/>
          <w:szCs w:val="24"/>
          <w:lang w:val="es-DO"/>
        </w:rPr>
        <w:t xml:space="preserve"> </w:t>
      </w:r>
      <w:r w:rsidR="00EA2BD5" w:rsidRPr="00BB231B">
        <w:rPr>
          <w:rFonts w:ascii="Times New Roman" w:eastAsia="Gill Sans MT" w:hAnsi="Times New Roman" w:cs="Times New Roman"/>
          <w:color w:val="auto"/>
          <w:sz w:val="24"/>
          <w:szCs w:val="24"/>
          <w:lang w:val="es-DO"/>
        </w:rPr>
        <w:t>P</w:t>
      </w:r>
      <w:r w:rsidRPr="00BB231B">
        <w:rPr>
          <w:rFonts w:ascii="Times New Roman" w:eastAsia="Gill Sans MT" w:hAnsi="Times New Roman" w:cs="Times New Roman"/>
          <w:color w:val="auto"/>
          <w:sz w:val="24"/>
          <w:szCs w:val="24"/>
          <w:lang w:val="es-DO"/>
        </w:rPr>
        <w:t xml:space="preserve">ostula la construcción de: </w:t>
      </w:r>
      <w:r w:rsidRPr="00BB231B">
        <w:rPr>
          <w:rFonts w:ascii="Times New Roman" w:eastAsia="Gill Sans MT" w:hAnsi="Times New Roman" w:cs="Times New Roman"/>
          <w:b/>
          <w:i/>
          <w:color w:val="auto"/>
          <w:sz w:val="24"/>
          <w:szCs w:val="24"/>
          <w:lang w:val="es-DO"/>
        </w:rPr>
        <w:t>“Una sociedad con igualdad de derechos y oportunidades, en la que toda la población tiene garantizada educación, salud, vivienda digna y servicios básicos de calidad, y que promueve la reducción progresiva de la pobreza y la desigualdad social y territorial.”</w:t>
      </w:r>
    </w:p>
    <w:p w:rsidR="00B35C2E" w:rsidRPr="00BB231B" w:rsidRDefault="00B35C2E" w:rsidP="001501B6">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 xml:space="preserve">En consistencia con lo mencionado para el primer eje estratégico, </w:t>
      </w:r>
      <w:r w:rsidRPr="00BB231B">
        <w:rPr>
          <w:rFonts w:ascii="Times New Roman" w:eastAsia="Gill Sans MT" w:hAnsi="Times New Roman" w:cs="Times New Roman"/>
          <w:b/>
          <w:color w:val="auto"/>
          <w:sz w:val="24"/>
          <w:szCs w:val="24"/>
          <w:lang w:val="es-DO"/>
        </w:rPr>
        <w:t xml:space="preserve">la </w:t>
      </w:r>
      <w:r w:rsidR="001501B6" w:rsidRPr="00BB231B">
        <w:rPr>
          <w:rFonts w:ascii="Times New Roman" w:eastAsia="Gill Sans MT" w:hAnsi="Times New Roman" w:cs="Times New Roman"/>
          <w:b/>
          <w:color w:val="auto"/>
          <w:sz w:val="24"/>
          <w:szCs w:val="24"/>
          <w:lang w:val="es-DO"/>
        </w:rPr>
        <w:t>Contraloría General de la República</w:t>
      </w:r>
      <w:r w:rsidRPr="00BB231B">
        <w:rPr>
          <w:rFonts w:ascii="Times New Roman" w:eastAsia="Gill Sans MT" w:hAnsi="Times New Roman" w:cs="Times New Roman"/>
          <w:b/>
          <w:color w:val="auto"/>
          <w:sz w:val="24"/>
          <w:szCs w:val="24"/>
          <w:lang w:val="es-DO"/>
        </w:rPr>
        <w:t xml:space="preserve"> al evaluar la eficiencia del gasto y la inversión pública, así como el debido recaudo de los ingresos, tiene un rol importante al confirmar al Poder Ejecutivo que existe confiabilidad en la </w:t>
      </w:r>
      <w:r w:rsidRPr="00BB231B">
        <w:rPr>
          <w:rFonts w:ascii="Times New Roman" w:eastAsia="Gill Sans MT" w:hAnsi="Times New Roman" w:cs="Times New Roman"/>
          <w:b/>
          <w:color w:val="auto"/>
          <w:sz w:val="24"/>
          <w:szCs w:val="24"/>
          <w:lang w:val="es-DO"/>
        </w:rPr>
        <w:lastRenderedPageBreak/>
        <w:t>información sobre gestión de los recursos públicos</w:t>
      </w:r>
      <w:r w:rsidRPr="00BB231B">
        <w:rPr>
          <w:rFonts w:ascii="Times New Roman" w:eastAsia="Gill Sans MT" w:hAnsi="Times New Roman" w:cs="Times New Roman"/>
          <w:color w:val="auto"/>
          <w:sz w:val="24"/>
          <w:szCs w:val="24"/>
          <w:lang w:val="es-DO"/>
        </w:rPr>
        <w:t xml:space="preserve"> y puede advertir errores o irregularidades relacionados, que contribuyan a una oportuna gestión de riesgos. </w:t>
      </w:r>
      <w:r w:rsidRPr="00BB231B">
        <w:rPr>
          <w:rFonts w:ascii="Times New Roman" w:eastAsia="Gill Sans MT" w:hAnsi="Times New Roman" w:cs="Times New Roman"/>
          <w:color w:val="auto"/>
          <w:spacing w:val="10"/>
          <w:sz w:val="24"/>
          <w:szCs w:val="24"/>
          <w:lang w:val="es-DO"/>
        </w:rPr>
        <w:t xml:space="preserve"> </w:t>
      </w:r>
      <w:r w:rsidRPr="00BB231B">
        <w:rPr>
          <w:rFonts w:ascii="Times New Roman" w:eastAsia="Gill Sans MT" w:hAnsi="Times New Roman" w:cs="Times New Roman"/>
          <w:color w:val="auto"/>
          <w:sz w:val="24"/>
          <w:szCs w:val="24"/>
          <w:lang w:val="es-DO"/>
        </w:rPr>
        <w:t>Esta producción de resultados provenientes de las intervenciones de la CGR de manera indirecta aporta a la planeación, ejecución y monitoreo de los esfuerzos que se dirigirán a la superación de la deuda social acumulada en la República Dominicana en materia de educación, salud, equidad de género, protección de los grupos vulnerables y acceso a servicios básicos.</w:t>
      </w:r>
    </w:p>
    <w:p w:rsidR="00B35C2E" w:rsidRPr="00BB231B" w:rsidRDefault="004C22F2" w:rsidP="00DD3367">
      <w:pPr>
        <w:spacing w:before="14" w:line="480" w:lineRule="auto"/>
        <w:ind w:firstLine="709"/>
        <w:rPr>
          <w:rFonts w:ascii="Times New Roman" w:hAnsi="Times New Roman" w:cs="Times New Roman"/>
          <w:color w:val="auto"/>
          <w:sz w:val="24"/>
          <w:szCs w:val="26"/>
          <w:lang w:val="es-DO"/>
        </w:rPr>
      </w:pPr>
      <w:r w:rsidRPr="00BB231B">
        <w:rPr>
          <w:rFonts w:ascii="Times New Roman" w:hAnsi="Times New Roman" w:cs="Times New Roman"/>
          <w:color w:val="auto"/>
          <w:sz w:val="24"/>
          <w:szCs w:val="26"/>
          <w:lang w:val="es-DO"/>
        </w:rPr>
        <w:t xml:space="preserve">A </w:t>
      </w:r>
      <w:r w:rsidR="007D61F8" w:rsidRPr="00BB231B">
        <w:rPr>
          <w:rFonts w:ascii="Times New Roman" w:hAnsi="Times New Roman" w:cs="Times New Roman"/>
          <w:color w:val="auto"/>
          <w:sz w:val="24"/>
          <w:szCs w:val="26"/>
          <w:lang w:val="es-DO"/>
        </w:rPr>
        <w:t>continuación listamos</w:t>
      </w:r>
      <w:r w:rsidRPr="00BB231B">
        <w:rPr>
          <w:rFonts w:ascii="Times New Roman" w:hAnsi="Times New Roman" w:cs="Times New Roman"/>
          <w:color w:val="auto"/>
          <w:sz w:val="24"/>
          <w:szCs w:val="26"/>
          <w:lang w:val="es-DO"/>
        </w:rPr>
        <w:t xml:space="preserve"> las </w:t>
      </w:r>
      <w:r w:rsidR="007D61F8" w:rsidRPr="00BB231B">
        <w:rPr>
          <w:rFonts w:ascii="Times New Roman" w:hAnsi="Times New Roman" w:cs="Times New Roman"/>
          <w:b/>
          <w:color w:val="auto"/>
          <w:sz w:val="24"/>
          <w:szCs w:val="26"/>
          <w:lang w:val="es-DO"/>
        </w:rPr>
        <w:t>a</w:t>
      </w:r>
      <w:r w:rsidR="00B35C2E" w:rsidRPr="00BB231B">
        <w:rPr>
          <w:rFonts w:ascii="Times New Roman" w:hAnsi="Times New Roman" w:cs="Times New Roman"/>
          <w:b/>
          <w:color w:val="auto"/>
          <w:sz w:val="24"/>
          <w:szCs w:val="26"/>
          <w:lang w:val="es-DO"/>
        </w:rPr>
        <w:t>cciones de la gestión de la CGR</w:t>
      </w:r>
      <w:r w:rsidR="00B35C2E" w:rsidRPr="00BB231B">
        <w:rPr>
          <w:rFonts w:ascii="Times New Roman" w:hAnsi="Times New Roman" w:cs="Times New Roman"/>
          <w:color w:val="auto"/>
          <w:sz w:val="24"/>
          <w:szCs w:val="26"/>
          <w:lang w:val="es-DO"/>
        </w:rPr>
        <w:t xml:space="preserve"> que contribuyen al cumplimiento de este eje:</w:t>
      </w:r>
    </w:p>
    <w:p w:rsidR="00B35C2E" w:rsidRPr="00BB231B" w:rsidRDefault="00B35C2E" w:rsidP="0013776D">
      <w:pPr>
        <w:pStyle w:val="Prrafodelista"/>
        <w:numPr>
          <w:ilvl w:val="0"/>
          <w:numId w:val="30"/>
        </w:numPr>
        <w:shd w:val="clear" w:color="auto" w:fill="FFFFFF"/>
        <w:spacing w:after="150" w:line="480" w:lineRule="auto"/>
        <w:ind w:left="360"/>
        <w:rPr>
          <w:rFonts w:ascii="Times New Roman" w:eastAsia="Times New Roman" w:hAnsi="Times New Roman" w:cs="Times New Roman"/>
          <w:color w:val="auto"/>
          <w:sz w:val="24"/>
          <w:szCs w:val="24"/>
          <w:lang w:eastAsia="es-DO"/>
        </w:rPr>
      </w:pPr>
      <w:r w:rsidRPr="00BB231B">
        <w:rPr>
          <w:rFonts w:ascii="Times New Roman" w:eastAsia="Times New Roman" w:hAnsi="Times New Roman" w:cs="Times New Roman"/>
          <w:color w:val="auto"/>
          <w:sz w:val="24"/>
          <w:szCs w:val="24"/>
          <w:lang w:eastAsia="es-DO"/>
        </w:rPr>
        <w:t>La Contraloría General de la República (CGR) implementó un nuevo sistema de trámites de pagos, denominado SUAI TRE CHEQUES para la autorización de las órdenes de pagos a través de cheques.</w:t>
      </w:r>
      <w:r w:rsidR="007D61F8" w:rsidRPr="00BB231B">
        <w:rPr>
          <w:rFonts w:ascii="Times New Roman" w:eastAsia="Times New Roman" w:hAnsi="Times New Roman" w:cs="Times New Roman"/>
          <w:color w:val="auto"/>
          <w:sz w:val="24"/>
          <w:szCs w:val="24"/>
          <w:lang w:eastAsia="es-DO"/>
        </w:rPr>
        <w:t xml:space="preserve"> Este sistema </w:t>
      </w:r>
      <w:r w:rsidRPr="00BB231B">
        <w:rPr>
          <w:rFonts w:ascii="Times New Roman" w:eastAsia="Times New Roman" w:hAnsi="Times New Roman" w:cs="Times New Roman"/>
          <w:color w:val="auto"/>
          <w:sz w:val="24"/>
          <w:szCs w:val="24"/>
          <w:lang w:eastAsia="es-DO"/>
        </w:rPr>
        <w:t>simplifica y agiliza el proceso de autorización de los trámites que debe agotar este tipo de autorización de pagos, debido a que permite a las instituciones del Estado tramitar vía digital a la CGR todas las solicitudes de aprobaciones de pagos y los anexos correspondientes que sustentan el expediente.</w:t>
      </w:r>
    </w:p>
    <w:p w:rsidR="00B35C2E" w:rsidRPr="00BB231B" w:rsidRDefault="00B35C2E" w:rsidP="0013776D">
      <w:pPr>
        <w:pStyle w:val="Prrafodelista"/>
        <w:numPr>
          <w:ilvl w:val="0"/>
          <w:numId w:val="30"/>
        </w:numPr>
        <w:shd w:val="clear" w:color="auto" w:fill="FFFFFF"/>
        <w:spacing w:after="150" w:line="480" w:lineRule="auto"/>
        <w:ind w:left="360"/>
        <w:rPr>
          <w:rFonts w:ascii="Times New Roman" w:eastAsia="Times New Roman" w:hAnsi="Times New Roman" w:cs="Times New Roman"/>
          <w:color w:val="auto"/>
          <w:sz w:val="24"/>
          <w:szCs w:val="24"/>
          <w:lang w:eastAsia="es-DO"/>
        </w:rPr>
      </w:pPr>
      <w:r w:rsidRPr="00BB231B">
        <w:rPr>
          <w:rFonts w:ascii="Times New Roman" w:eastAsia="Times New Roman" w:hAnsi="Times New Roman" w:cs="Times New Roman"/>
          <w:color w:val="auto"/>
          <w:sz w:val="24"/>
          <w:szCs w:val="24"/>
          <w:lang w:eastAsia="es-DO"/>
        </w:rPr>
        <w:t>A este proceso se incorpor</w:t>
      </w:r>
      <w:r w:rsidR="00AA5A25" w:rsidRPr="00BB231B">
        <w:rPr>
          <w:rFonts w:ascii="Times New Roman" w:eastAsia="Times New Roman" w:hAnsi="Times New Roman" w:cs="Times New Roman"/>
          <w:color w:val="auto"/>
          <w:sz w:val="24"/>
          <w:szCs w:val="24"/>
          <w:lang w:eastAsia="es-DO"/>
        </w:rPr>
        <w:t>ó</w:t>
      </w:r>
      <w:r w:rsidRPr="00BB231B">
        <w:rPr>
          <w:rFonts w:ascii="Times New Roman" w:eastAsia="Times New Roman" w:hAnsi="Times New Roman" w:cs="Times New Roman"/>
          <w:color w:val="auto"/>
          <w:sz w:val="24"/>
          <w:szCs w:val="24"/>
          <w:lang w:eastAsia="es-DO"/>
        </w:rPr>
        <w:t xml:space="preserve"> la autorización de la Contraloría mediante una certificación de pago protegida por un Certificado Digital. Igualmente, permite a proveedores y beneficiarios del Estado conocer el estatus en línea de su pago, desde el mismo momento en que la institución somete la solicitud de autorización.</w:t>
      </w:r>
    </w:p>
    <w:p w:rsidR="0038280D" w:rsidRPr="00BB231B" w:rsidRDefault="00B35C2E" w:rsidP="00FC2E0B">
      <w:pPr>
        <w:shd w:val="clear" w:color="auto" w:fill="FFFFFF"/>
        <w:spacing w:after="150" w:line="480" w:lineRule="auto"/>
        <w:rPr>
          <w:rFonts w:ascii="Times New Roman" w:eastAsia="Times New Roman" w:hAnsi="Times New Roman" w:cs="Times New Roman"/>
          <w:b/>
          <w:color w:val="353535"/>
          <w:sz w:val="24"/>
          <w:szCs w:val="24"/>
          <w:lang w:eastAsia="es-DO"/>
        </w:rPr>
      </w:pPr>
      <w:r w:rsidRPr="00BB231B">
        <w:rPr>
          <w:rFonts w:ascii="Times New Roman" w:eastAsia="Times New Roman" w:hAnsi="Times New Roman" w:cs="Times New Roman"/>
          <w:b/>
          <w:color w:val="353535"/>
          <w:sz w:val="24"/>
          <w:szCs w:val="24"/>
          <w:lang w:eastAsia="es-DO"/>
        </w:rPr>
        <w:lastRenderedPageBreak/>
        <w:t xml:space="preserve">Dentro de las bondades que ofrece el sistema se encuentran: </w:t>
      </w:r>
    </w:p>
    <w:p w:rsidR="00FC2E0B" w:rsidRPr="00BB231B" w:rsidRDefault="00B35C2E" w:rsidP="0013776D">
      <w:pPr>
        <w:pStyle w:val="Prrafodelista"/>
        <w:numPr>
          <w:ilvl w:val="0"/>
          <w:numId w:val="52"/>
        </w:numPr>
        <w:shd w:val="clear" w:color="auto" w:fill="FFFFFF"/>
        <w:spacing w:after="150" w:line="480" w:lineRule="auto"/>
        <w:rPr>
          <w:rFonts w:ascii="Times New Roman" w:eastAsia="Times New Roman" w:hAnsi="Times New Roman" w:cs="Times New Roman"/>
          <w:color w:val="353535"/>
          <w:sz w:val="24"/>
          <w:szCs w:val="24"/>
          <w:lang w:eastAsia="es-DO"/>
        </w:rPr>
      </w:pPr>
      <w:r w:rsidRPr="00BB231B">
        <w:rPr>
          <w:rFonts w:ascii="Times New Roman" w:eastAsia="Times New Roman" w:hAnsi="Times New Roman" w:cs="Times New Roman"/>
          <w:color w:val="353535"/>
          <w:sz w:val="24"/>
          <w:szCs w:val="24"/>
          <w:lang w:eastAsia="es-DO"/>
        </w:rPr>
        <w:t>Mayor transparencia, automatización de las reglas de validación y los requisitos que establecen las leyes y normativas.</w:t>
      </w:r>
    </w:p>
    <w:p w:rsidR="00B35C2E" w:rsidRPr="00BB231B" w:rsidRDefault="00B35C2E" w:rsidP="0013776D">
      <w:pPr>
        <w:pStyle w:val="Prrafodelista"/>
        <w:numPr>
          <w:ilvl w:val="0"/>
          <w:numId w:val="52"/>
        </w:numPr>
        <w:shd w:val="clear" w:color="auto" w:fill="FFFFFF"/>
        <w:spacing w:after="150" w:line="480" w:lineRule="auto"/>
        <w:rPr>
          <w:rFonts w:ascii="Times New Roman" w:eastAsia="Times New Roman" w:hAnsi="Times New Roman" w:cs="Times New Roman"/>
          <w:color w:val="353535"/>
          <w:sz w:val="24"/>
          <w:szCs w:val="24"/>
          <w:lang w:eastAsia="es-DO"/>
        </w:rPr>
      </w:pPr>
      <w:r w:rsidRPr="00BB231B">
        <w:rPr>
          <w:rFonts w:ascii="Times New Roman" w:eastAsia="Times New Roman" w:hAnsi="Times New Roman" w:cs="Times New Roman"/>
          <w:color w:val="353535"/>
          <w:sz w:val="24"/>
          <w:szCs w:val="24"/>
          <w:lang w:eastAsia="es-DO"/>
        </w:rPr>
        <w:t>Aporta más rapidez, disponibilidad en línea del expediente y sus soportes, validación automatizada, reducción del tiempo de respuesta, ahorro de papel, y mayor acercamiento con las instituciones.</w:t>
      </w:r>
    </w:p>
    <w:p w:rsidR="00FC2E0B" w:rsidRPr="00BB231B" w:rsidRDefault="00B35C2E" w:rsidP="0013776D">
      <w:pPr>
        <w:pStyle w:val="Prrafodelista"/>
        <w:numPr>
          <w:ilvl w:val="0"/>
          <w:numId w:val="52"/>
        </w:numPr>
        <w:shd w:val="clear" w:color="auto" w:fill="FFFFFF"/>
        <w:spacing w:after="150" w:line="480" w:lineRule="auto"/>
        <w:rPr>
          <w:rFonts w:ascii="Times New Roman" w:eastAsia="Times New Roman" w:hAnsi="Times New Roman" w:cs="Times New Roman"/>
          <w:color w:val="353535"/>
          <w:sz w:val="24"/>
          <w:szCs w:val="24"/>
          <w:lang w:eastAsia="es-DO"/>
        </w:rPr>
      </w:pPr>
      <w:r w:rsidRPr="00BB231B">
        <w:rPr>
          <w:rFonts w:ascii="Times New Roman" w:eastAsia="Times New Roman" w:hAnsi="Times New Roman" w:cs="Times New Roman"/>
          <w:color w:val="353535"/>
          <w:sz w:val="24"/>
          <w:szCs w:val="24"/>
          <w:lang w:eastAsia="es-DO"/>
        </w:rPr>
        <w:t>Mayor control mediante la integración del módulo de Registro y Certificación de Contratos y de Órdenes de Pago con el Sistema de Información de la Gestión Financiera (SIGEF).</w:t>
      </w:r>
    </w:p>
    <w:p w:rsidR="00FC2E0B" w:rsidRPr="00BB231B" w:rsidRDefault="00B35C2E" w:rsidP="0013776D">
      <w:pPr>
        <w:pStyle w:val="Prrafodelista"/>
        <w:numPr>
          <w:ilvl w:val="0"/>
          <w:numId w:val="52"/>
        </w:numPr>
        <w:shd w:val="clear" w:color="auto" w:fill="FFFFFF"/>
        <w:spacing w:after="150" w:line="480" w:lineRule="auto"/>
        <w:rPr>
          <w:rFonts w:ascii="Times New Roman" w:eastAsia="Times New Roman" w:hAnsi="Times New Roman" w:cs="Times New Roman"/>
          <w:color w:val="353535"/>
          <w:sz w:val="24"/>
          <w:szCs w:val="24"/>
          <w:lang w:eastAsia="es-DO"/>
        </w:rPr>
      </w:pPr>
      <w:r w:rsidRPr="00BB231B">
        <w:rPr>
          <w:rFonts w:ascii="Times New Roman" w:eastAsia="Times New Roman" w:hAnsi="Times New Roman" w:cs="Times New Roman"/>
          <w:color w:val="353535"/>
          <w:sz w:val="24"/>
          <w:szCs w:val="24"/>
          <w:lang w:eastAsia="es-DO"/>
        </w:rPr>
        <w:t>Acorde a las disposiciones las reposiciones se ordenan con el 60% de los cheques verificados por el Órgano Rector mientras que con este nuevo sistema la verificación se hará en un 100%.</w:t>
      </w:r>
    </w:p>
    <w:p w:rsidR="00FC2E0B" w:rsidRPr="00BB231B" w:rsidRDefault="00FC2E0B" w:rsidP="00FC2E0B">
      <w:pPr>
        <w:pStyle w:val="Prrafodelista"/>
        <w:rPr>
          <w:rFonts w:ascii="Times New Roman" w:eastAsia="Times New Roman" w:hAnsi="Times New Roman" w:cs="Times New Roman"/>
          <w:color w:val="353535"/>
          <w:sz w:val="24"/>
          <w:szCs w:val="24"/>
          <w:lang w:eastAsia="es-DO"/>
        </w:rPr>
      </w:pPr>
    </w:p>
    <w:p w:rsidR="00FC2E0B" w:rsidRPr="00BB231B" w:rsidRDefault="00B35C2E" w:rsidP="0013776D">
      <w:pPr>
        <w:pStyle w:val="Prrafodelista"/>
        <w:numPr>
          <w:ilvl w:val="0"/>
          <w:numId w:val="52"/>
        </w:numPr>
        <w:shd w:val="clear" w:color="auto" w:fill="FFFFFF"/>
        <w:spacing w:after="150" w:line="480" w:lineRule="auto"/>
        <w:rPr>
          <w:rFonts w:ascii="Times New Roman" w:eastAsia="Times New Roman" w:hAnsi="Times New Roman" w:cs="Times New Roman"/>
          <w:color w:val="353535"/>
          <w:sz w:val="24"/>
          <w:szCs w:val="24"/>
          <w:lang w:eastAsia="es-DO"/>
        </w:rPr>
      </w:pPr>
      <w:r w:rsidRPr="00BB231B">
        <w:rPr>
          <w:rFonts w:ascii="Times New Roman" w:eastAsia="Times New Roman" w:hAnsi="Times New Roman" w:cs="Times New Roman"/>
          <w:color w:val="353535"/>
          <w:sz w:val="24"/>
          <w:szCs w:val="24"/>
          <w:lang w:eastAsia="es-DO"/>
        </w:rPr>
        <w:t xml:space="preserve">Se incorpora con este sistema doble nivel de verificación de los pagos por cheque, el </w:t>
      </w:r>
      <w:r w:rsidR="000F5C79" w:rsidRPr="00BB231B">
        <w:rPr>
          <w:rFonts w:ascii="Times New Roman" w:eastAsia="Times New Roman" w:hAnsi="Times New Roman" w:cs="Times New Roman"/>
          <w:color w:val="353535"/>
          <w:sz w:val="24"/>
          <w:szCs w:val="24"/>
          <w:lang w:eastAsia="es-DO"/>
        </w:rPr>
        <w:t>primero en la Unidad de Auditorí</w:t>
      </w:r>
      <w:r w:rsidRPr="00BB231B">
        <w:rPr>
          <w:rFonts w:ascii="Times New Roman" w:eastAsia="Times New Roman" w:hAnsi="Times New Roman" w:cs="Times New Roman"/>
          <w:color w:val="353535"/>
          <w:sz w:val="24"/>
          <w:szCs w:val="24"/>
          <w:lang w:eastAsia="es-DO"/>
        </w:rPr>
        <w:t>a y el otro en la sede central de la entidad.</w:t>
      </w:r>
    </w:p>
    <w:p w:rsidR="00FC2E0B" w:rsidRPr="00BB231B" w:rsidRDefault="00FC2E0B" w:rsidP="00FC2E0B">
      <w:pPr>
        <w:pStyle w:val="Prrafodelista"/>
        <w:rPr>
          <w:rFonts w:ascii="Times New Roman" w:eastAsia="Times New Roman" w:hAnsi="Times New Roman" w:cs="Times New Roman"/>
          <w:color w:val="353535"/>
          <w:sz w:val="24"/>
          <w:szCs w:val="24"/>
          <w:lang w:eastAsia="es-DO"/>
        </w:rPr>
      </w:pPr>
    </w:p>
    <w:p w:rsidR="00B35C2E" w:rsidRPr="00BB231B" w:rsidRDefault="00B35C2E" w:rsidP="0013776D">
      <w:pPr>
        <w:pStyle w:val="Prrafodelista"/>
        <w:numPr>
          <w:ilvl w:val="0"/>
          <w:numId w:val="52"/>
        </w:numPr>
        <w:shd w:val="clear" w:color="auto" w:fill="FFFFFF"/>
        <w:spacing w:after="150" w:line="480" w:lineRule="auto"/>
        <w:rPr>
          <w:rFonts w:ascii="Times New Roman" w:eastAsia="Times New Roman" w:hAnsi="Times New Roman" w:cs="Times New Roman"/>
          <w:color w:val="353535"/>
          <w:sz w:val="24"/>
          <w:szCs w:val="24"/>
          <w:lang w:eastAsia="es-DO"/>
        </w:rPr>
      </w:pPr>
      <w:r w:rsidRPr="00BB231B">
        <w:rPr>
          <w:rFonts w:ascii="Times New Roman" w:eastAsia="Times New Roman" w:hAnsi="Times New Roman" w:cs="Times New Roman"/>
          <w:color w:val="353535"/>
          <w:sz w:val="24"/>
          <w:szCs w:val="24"/>
          <w:lang w:eastAsia="es-DO"/>
        </w:rPr>
        <w:t xml:space="preserve">En lo adelante tanto las regularizaciones como los registros contables quedaran automáticamente asentados en el </w:t>
      </w:r>
      <w:r w:rsidR="00FD02F9" w:rsidRPr="00BB231B">
        <w:rPr>
          <w:rFonts w:ascii="Times New Roman" w:eastAsia="Times New Roman" w:hAnsi="Times New Roman" w:cs="Times New Roman"/>
          <w:color w:val="353535"/>
          <w:sz w:val="24"/>
          <w:szCs w:val="24"/>
          <w:lang w:eastAsia="es-DO"/>
        </w:rPr>
        <w:t>Sistema de Gestión Financiera (</w:t>
      </w:r>
      <w:r w:rsidRPr="00BB231B">
        <w:rPr>
          <w:rFonts w:ascii="Times New Roman" w:eastAsia="Times New Roman" w:hAnsi="Times New Roman" w:cs="Times New Roman"/>
          <w:color w:val="353535"/>
          <w:sz w:val="24"/>
          <w:szCs w:val="24"/>
          <w:lang w:eastAsia="es-DO"/>
        </w:rPr>
        <w:t>SIGEF</w:t>
      </w:r>
      <w:r w:rsidR="00FD02F9" w:rsidRPr="00BB231B">
        <w:rPr>
          <w:rFonts w:ascii="Times New Roman" w:eastAsia="Times New Roman" w:hAnsi="Times New Roman" w:cs="Times New Roman"/>
          <w:color w:val="353535"/>
          <w:sz w:val="24"/>
          <w:szCs w:val="24"/>
          <w:lang w:eastAsia="es-DO"/>
        </w:rPr>
        <w:t>)</w:t>
      </w:r>
      <w:r w:rsidRPr="00BB231B">
        <w:rPr>
          <w:rFonts w:ascii="Times New Roman" w:eastAsia="Times New Roman" w:hAnsi="Times New Roman" w:cs="Times New Roman"/>
          <w:color w:val="353535"/>
          <w:sz w:val="24"/>
          <w:szCs w:val="24"/>
          <w:lang w:eastAsia="es-DO"/>
        </w:rPr>
        <w:t xml:space="preserve"> cuando se efectúen, lo cual contribuirá a agilizar aún más los cierres fiscales que realiza el gobierno cada año.</w:t>
      </w:r>
    </w:p>
    <w:p w:rsidR="009014CC" w:rsidRPr="00BB231B" w:rsidRDefault="009014CC" w:rsidP="0013776D">
      <w:pPr>
        <w:pStyle w:val="Textoindependiente"/>
        <w:numPr>
          <w:ilvl w:val="0"/>
          <w:numId w:val="37"/>
        </w:numPr>
        <w:spacing w:line="480" w:lineRule="auto"/>
        <w:jc w:val="both"/>
        <w:rPr>
          <w:b w:val="0"/>
          <w:lang w:val="es-ES"/>
        </w:rPr>
      </w:pPr>
      <w:r w:rsidRPr="00BB231B">
        <w:rPr>
          <w:b w:val="0"/>
          <w:lang w:val="es-ES"/>
        </w:rPr>
        <w:t>Se procedió en coordinación con el órgano rector de Compras y Contrataciones Públicas, a convocar</w:t>
      </w:r>
      <w:r w:rsidR="00B41BDF" w:rsidRPr="00BB231B">
        <w:rPr>
          <w:b w:val="0"/>
          <w:lang w:val="es-ES"/>
        </w:rPr>
        <w:t xml:space="preserve"> e impartir </w:t>
      </w:r>
      <w:r w:rsidRPr="00BB231B">
        <w:rPr>
          <w:b w:val="0"/>
          <w:lang w:val="es-ES"/>
        </w:rPr>
        <w:t xml:space="preserve">los días 30 y 31 de </w:t>
      </w:r>
      <w:r w:rsidRPr="00BB231B">
        <w:rPr>
          <w:b w:val="0"/>
          <w:lang w:val="es-ES"/>
        </w:rPr>
        <w:lastRenderedPageBreak/>
        <w:t xml:space="preserve">Octubre, en la Cinemateca Dominicana, a todo el personal de las Unidades de Auditoría Interna, una capacitación  basada en   la aplicación del Decreto 350-17, sobre la obligatoriedad del uso del portal transaccional de la Dirección General de Compras y Contrataciones Públicas, el cual entró en vigencia el día 1ero. de Noviembre del presente año. </w:t>
      </w:r>
    </w:p>
    <w:p w:rsidR="00C27BE7" w:rsidRPr="00BB231B" w:rsidRDefault="00C27BE7" w:rsidP="0013776D">
      <w:pPr>
        <w:pStyle w:val="Textoindependiente"/>
        <w:numPr>
          <w:ilvl w:val="0"/>
          <w:numId w:val="37"/>
        </w:numPr>
        <w:spacing w:line="480" w:lineRule="auto"/>
        <w:jc w:val="both"/>
        <w:rPr>
          <w:b w:val="0"/>
          <w:lang w:val="es-ES"/>
        </w:rPr>
      </w:pPr>
      <w:r w:rsidRPr="00BB231B">
        <w:rPr>
          <w:b w:val="0"/>
          <w:lang w:val="es-ES"/>
        </w:rPr>
        <w:t xml:space="preserve">Durante </w:t>
      </w:r>
      <w:r w:rsidR="0060554E" w:rsidRPr="00BB231B">
        <w:rPr>
          <w:b w:val="0"/>
          <w:lang w:val="es-ES"/>
        </w:rPr>
        <w:t xml:space="preserve">enero a noviembre </w:t>
      </w:r>
      <w:r w:rsidRPr="00BB231B">
        <w:rPr>
          <w:b w:val="0"/>
          <w:lang w:val="es-ES"/>
        </w:rPr>
        <w:t xml:space="preserve">el año 2017, </w:t>
      </w:r>
      <w:r w:rsidR="00B93C05" w:rsidRPr="00BB231B">
        <w:rPr>
          <w:b w:val="0"/>
          <w:lang w:val="es-ES"/>
        </w:rPr>
        <w:t>La CGR registró</w:t>
      </w:r>
      <w:r w:rsidRPr="00BB231B">
        <w:rPr>
          <w:b w:val="0"/>
          <w:lang w:val="es-ES"/>
        </w:rPr>
        <w:t xml:space="preserve"> </w:t>
      </w:r>
      <w:r w:rsidR="00A65091">
        <w:rPr>
          <w:b w:val="0"/>
          <w:lang w:val="es-ES"/>
        </w:rPr>
        <w:t>59,811</w:t>
      </w:r>
      <w:r w:rsidR="00783B7A" w:rsidRPr="00BB231B">
        <w:rPr>
          <w:b w:val="0"/>
          <w:lang w:val="es-ES"/>
        </w:rPr>
        <w:t xml:space="preserve"> contratos</w:t>
      </w:r>
      <w:r w:rsidRPr="00BB231B">
        <w:rPr>
          <w:b w:val="0"/>
          <w:lang w:val="es-ES"/>
        </w:rPr>
        <w:t xml:space="preserve">. De estos contratos fueron procesados a tiempo </w:t>
      </w:r>
      <w:r w:rsidR="00A65091">
        <w:rPr>
          <w:b w:val="0"/>
          <w:lang w:val="es-ES"/>
        </w:rPr>
        <w:t>56,820</w:t>
      </w:r>
      <w:r w:rsidRPr="00BB231B">
        <w:rPr>
          <w:b w:val="0"/>
          <w:lang w:val="es-ES"/>
        </w:rPr>
        <w:t>, con relación al acuerdo compromiso, as</w:t>
      </w:r>
      <w:r w:rsidR="00B93C05" w:rsidRPr="00BB231B">
        <w:rPr>
          <w:b w:val="0"/>
          <w:lang w:val="es-ES"/>
        </w:rPr>
        <w:t>umido por la CGR con el usuario, e</w:t>
      </w:r>
      <w:r w:rsidRPr="00BB231B">
        <w:rPr>
          <w:b w:val="0"/>
          <w:lang w:val="es-ES"/>
        </w:rPr>
        <w:t xml:space="preserve">stos contratos representan el 95% del total general </w:t>
      </w:r>
      <w:r w:rsidR="00B93C05" w:rsidRPr="00BB231B">
        <w:rPr>
          <w:b w:val="0"/>
          <w:lang w:val="es-ES"/>
        </w:rPr>
        <w:t>registrado. E</w:t>
      </w:r>
      <w:r w:rsidRPr="00BB231B">
        <w:rPr>
          <w:b w:val="0"/>
          <w:lang w:val="es-ES"/>
        </w:rPr>
        <w:t xml:space="preserve">l 5% restante fue procesado fuera del rango establecido, </w:t>
      </w:r>
      <w:r w:rsidRPr="00BB231B">
        <w:rPr>
          <w:b w:val="0"/>
          <w:color w:val="000000" w:themeColor="text1"/>
          <w:lang w:val="es-ES"/>
        </w:rPr>
        <w:t xml:space="preserve">debido a  </w:t>
      </w:r>
      <w:r w:rsidRPr="00BB231B">
        <w:rPr>
          <w:b w:val="0"/>
          <w:lang w:val="es-ES"/>
        </w:rPr>
        <w:t xml:space="preserve">requerimientos de mayores informaciones </w:t>
      </w:r>
      <w:r w:rsidR="00783B7A" w:rsidRPr="00BB231B">
        <w:rPr>
          <w:b w:val="0"/>
          <w:lang w:val="es-ES"/>
        </w:rPr>
        <w:t xml:space="preserve">a la institución </w:t>
      </w:r>
      <w:r w:rsidR="00B548E3" w:rsidRPr="00BB231B">
        <w:rPr>
          <w:b w:val="0"/>
          <w:lang w:val="es-ES"/>
        </w:rPr>
        <w:t>remitente</w:t>
      </w:r>
      <w:r w:rsidRPr="00BB231B">
        <w:rPr>
          <w:b w:val="0"/>
          <w:lang w:val="es-ES"/>
        </w:rPr>
        <w:t xml:space="preserve">, siendo </w:t>
      </w:r>
      <w:r w:rsidR="00B548E3" w:rsidRPr="00BB231B">
        <w:rPr>
          <w:b w:val="0"/>
          <w:lang w:val="es-ES"/>
        </w:rPr>
        <w:t>estos procesados posteriormente por la CGR</w:t>
      </w:r>
      <w:r w:rsidRPr="00BB231B">
        <w:rPr>
          <w:b w:val="0"/>
          <w:lang w:val="es-ES"/>
        </w:rPr>
        <w:t xml:space="preserve">, luego de haber sido completado el </w:t>
      </w:r>
      <w:r w:rsidR="00783B7A" w:rsidRPr="00BB231B">
        <w:rPr>
          <w:b w:val="0"/>
          <w:lang w:val="es-ES"/>
        </w:rPr>
        <w:t>trámite</w:t>
      </w:r>
      <w:r w:rsidRPr="00BB231B">
        <w:rPr>
          <w:b w:val="0"/>
          <w:lang w:val="es-ES"/>
        </w:rPr>
        <w:t xml:space="preserve"> correcto para el registro.</w:t>
      </w:r>
    </w:p>
    <w:p w:rsidR="00497E21" w:rsidRPr="00BB231B" w:rsidRDefault="00C27BE7" w:rsidP="0013776D">
      <w:pPr>
        <w:pStyle w:val="Textoindependiente"/>
        <w:numPr>
          <w:ilvl w:val="0"/>
          <w:numId w:val="37"/>
        </w:numPr>
        <w:spacing w:line="480" w:lineRule="auto"/>
        <w:jc w:val="both"/>
        <w:rPr>
          <w:b w:val="0"/>
          <w:lang w:val="es-ES"/>
        </w:rPr>
      </w:pPr>
      <w:r w:rsidRPr="00BB231B">
        <w:rPr>
          <w:b w:val="0"/>
          <w:lang w:val="es-ES"/>
        </w:rPr>
        <w:t xml:space="preserve">De los </w:t>
      </w:r>
      <w:r w:rsidR="00A65091">
        <w:rPr>
          <w:b w:val="0"/>
          <w:lang w:val="es-ES"/>
        </w:rPr>
        <w:t>59,811</w:t>
      </w:r>
      <w:r w:rsidRPr="00BB231B">
        <w:rPr>
          <w:b w:val="0"/>
          <w:lang w:val="es-ES"/>
        </w:rPr>
        <w:t xml:space="preserve"> (cincuenta y </w:t>
      </w:r>
      <w:r w:rsidR="00A65091">
        <w:rPr>
          <w:b w:val="0"/>
          <w:lang w:val="es-ES"/>
        </w:rPr>
        <w:t>nueve mil ochocientos once</w:t>
      </w:r>
      <w:r w:rsidRPr="00BB231B">
        <w:rPr>
          <w:b w:val="0"/>
          <w:lang w:val="es-ES"/>
        </w:rPr>
        <w:t>) contratos registrado</w:t>
      </w:r>
      <w:r w:rsidR="00AD2259" w:rsidRPr="00BB231B">
        <w:rPr>
          <w:b w:val="0"/>
          <w:lang w:val="es-ES"/>
        </w:rPr>
        <w:t>s</w:t>
      </w:r>
      <w:r w:rsidR="0060554E" w:rsidRPr="00BB231B">
        <w:rPr>
          <w:b w:val="0"/>
          <w:lang w:val="es-ES"/>
        </w:rPr>
        <w:t xml:space="preserve"> al 30 de noviembre</w:t>
      </w:r>
      <w:r w:rsidRPr="00BB231B">
        <w:rPr>
          <w:b w:val="0"/>
          <w:lang w:val="es-ES"/>
        </w:rPr>
        <w:t>, el 6</w:t>
      </w:r>
      <w:r w:rsidR="00A65091">
        <w:rPr>
          <w:b w:val="0"/>
          <w:lang w:val="es-ES"/>
        </w:rPr>
        <w:t>5</w:t>
      </w:r>
      <w:r w:rsidRPr="00BB231B">
        <w:rPr>
          <w:b w:val="0"/>
          <w:lang w:val="es-ES"/>
        </w:rPr>
        <w:t>% (</w:t>
      </w:r>
      <w:r w:rsidR="00A65091">
        <w:rPr>
          <w:b w:val="0"/>
          <w:lang w:val="es-ES"/>
        </w:rPr>
        <w:t>38,845</w:t>
      </w:r>
      <w:r w:rsidRPr="00BB231B">
        <w:rPr>
          <w:b w:val="0"/>
          <w:lang w:val="es-ES"/>
        </w:rPr>
        <w:t xml:space="preserve">) corresponde a contratos de servicios personales y el </w:t>
      </w:r>
      <w:r w:rsidR="00A65091">
        <w:rPr>
          <w:b w:val="0"/>
          <w:lang w:val="es-ES"/>
        </w:rPr>
        <w:t>23</w:t>
      </w:r>
      <w:r w:rsidRPr="00BB231B">
        <w:rPr>
          <w:b w:val="0"/>
          <w:lang w:val="es-ES"/>
        </w:rPr>
        <w:t>% (</w:t>
      </w:r>
      <w:r w:rsidR="00A65091">
        <w:rPr>
          <w:b w:val="0"/>
          <w:lang w:val="es-ES"/>
        </w:rPr>
        <w:t>13,633</w:t>
      </w:r>
      <w:r w:rsidRPr="00BB231B">
        <w:rPr>
          <w:b w:val="0"/>
          <w:lang w:val="es-ES"/>
        </w:rPr>
        <w:t>) a la adquisición de bienes y servicios, el 6% restante corresponde en orden descendente a rescisiones de contratos (</w:t>
      </w:r>
      <w:r w:rsidR="00A65091">
        <w:rPr>
          <w:b w:val="0"/>
          <w:lang w:val="es-ES"/>
        </w:rPr>
        <w:t>3,565</w:t>
      </w:r>
      <w:r w:rsidRPr="00BB231B">
        <w:rPr>
          <w:b w:val="0"/>
          <w:lang w:val="es-ES"/>
        </w:rPr>
        <w:t xml:space="preserve">), contratos de obras </w:t>
      </w:r>
      <w:r w:rsidR="00A65091">
        <w:rPr>
          <w:b w:val="0"/>
          <w:lang w:val="es-ES"/>
        </w:rPr>
        <w:t>3</w:t>
      </w:r>
      <w:r w:rsidRPr="00BB231B">
        <w:rPr>
          <w:b w:val="0"/>
          <w:lang w:val="es-ES"/>
        </w:rPr>
        <w:t>% (</w:t>
      </w:r>
      <w:r w:rsidR="00A65091">
        <w:rPr>
          <w:b w:val="0"/>
          <w:lang w:val="es-ES"/>
        </w:rPr>
        <w:t>1,801</w:t>
      </w:r>
      <w:r w:rsidRPr="00BB231B">
        <w:rPr>
          <w:b w:val="0"/>
          <w:lang w:val="es-ES"/>
        </w:rPr>
        <w:t xml:space="preserve">), contratos de becas personales </w:t>
      </w:r>
      <w:r w:rsidR="00A65091">
        <w:rPr>
          <w:b w:val="0"/>
          <w:lang w:val="es-ES"/>
        </w:rPr>
        <w:t>1.95</w:t>
      </w:r>
      <w:r w:rsidRPr="00BB231B">
        <w:rPr>
          <w:b w:val="0"/>
          <w:lang w:val="es-ES"/>
        </w:rPr>
        <w:t>% (</w:t>
      </w:r>
      <w:r w:rsidR="00A65091">
        <w:rPr>
          <w:b w:val="0"/>
          <w:lang w:val="es-ES"/>
        </w:rPr>
        <w:t>1,164</w:t>
      </w:r>
      <w:r w:rsidRPr="00BB231B">
        <w:rPr>
          <w:b w:val="0"/>
          <w:lang w:val="es-ES"/>
        </w:rPr>
        <w:t xml:space="preserve">), convenios institucionales </w:t>
      </w:r>
      <w:r w:rsidR="00A65091">
        <w:rPr>
          <w:b w:val="0"/>
          <w:lang w:val="es-ES"/>
        </w:rPr>
        <w:t>0.83</w:t>
      </w:r>
      <w:r w:rsidRPr="00BB231B">
        <w:rPr>
          <w:b w:val="0"/>
          <w:lang w:val="es-ES"/>
        </w:rPr>
        <w:t>% (</w:t>
      </w:r>
      <w:r w:rsidR="00A65091">
        <w:rPr>
          <w:b w:val="0"/>
          <w:lang w:val="es-ES"/>
        </w:rPr>
        <w:t>499</w:t>
      </w:r>
      <w:r w:rsidRPr="00BB231B">
        <w:rPr>
          <w:b w:val="0"/>
          <w:lang w:val="es-ES"/>
        </w:rPr>
        <w:t>) y cont</w:t>
      </w:r>
      <w:r w:rsidR="00A65091">
        <w:rPr>
          <w:b w:val="0"/>
          <w:lang w:val="es-ES"/>
        </w:rPr>
        <w:t>ratos de becas institucionales 0.51</w:t>
      </w:r>
      <w:r w:rsidRPr="00BB231B">
        <w:rPr>
          <w:b w:val="0"/>
          <w:lang w:val="es-ES"/>
        </w:rPr>
        <w:t>% (</w:t>
      </w:r>
      <w:r w:rsidR="00A65091">
        <w:rPr>
          <w:b w:val="0"/>
          <w:lang w:val="es-ES"/>
        </w:rPr>
        <w:t>304</w:t>
      </w:r>
      <w:r w:rsidRPr="00BB231B">
        <w:rPr>
          <w:b w:val="0"/>
          <w:lang w:val="es-ES"/>
        </w:rPr>
        <w:t>).</w:t>
      </w:r>
      <w:r w:rsidR="00E34F0F" w:rsidRPr="00BB231B">
        <w:rPr>
          <w:b w:val="0"/>
          <w:lang w:val="es-ES"/>
        </w:rPr>
        <w:t xml:space="preserve"> </w:t>
      </w:r>
    </w:p>
    <w:p w:rsidR="00C27BE7" w:rsidRPr="00BB231B" w:rsidRDefault="0028198B" w:rsidP="00C27BE7">
      <w:pPr>
        <w:pStyle w:val="Textoindependiente"/>
        <w:jc w:val="both"/>
        <w:rPr>
          <w:b w:val="0"/>
          <w:lang w:val="es-ES"/>
        </w:rPr>
      </w:pPr>
      <w:r w:rsidRPr="00BB231B">
        <w:rPr>
          <w:b w:val="0"/>
          <w:noProof/>
          <w:lang w:val="es-US" w:eastAsia="es-US"/>
        </w:rPr>
        <w:lastRenderedPageBreak/>
        <w:drawing>
          <wp:anchor distT="0" distB="0" distL="114300" distR="114300" simplePos="0" relativeHeight="251773952" behindDoc="0" locked="0" layoutInCell="1" allowOverlap="1" wp14:anchorId="7C64419E" wp14:editId="2D36565B">
            <wp:simplePos x="0" y="0"/>
            <wp:positionH relativeFrom="page">
              <wp:posOffset>1242060</wp:posOffset>
            </wp:positionH>
            <wp:positionV relativeFrom="paragraph">
              <wp:posOffset>268605</wp:posOffset>
            </wp:positionV>
            <wp:extent cx="5768340" cy="2621280"/>
            <wp:effectExtent l="0" t="0" r="3810" b="7620"/>
            <wp:wrapTopAndBottom/>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rsidR="0060554E" w:rsidRPr="00BB231B" w:rsidRDefault="0060554E" w:rsidP="00AD2259">
      <w:pPr>
        <w:pStyle w:val="Textoindependiente"/>
        <w:jc w:val="center"/>
        <w:rPr>
          <w:b w:val="0"/>
          <w:lang w:val="es-ES"/>
        </w:rPr>
      </w:pPr>
    </w:p>
    <w:p w:rsidR="00B21B66" w:rsidRPr="00BB231B" w:rsidRDefault="00B21B66" w:rsidP="00C27BE7">
      <w:pPr>
        <w:pStyle w:val="Textoindependiente"/>
        <w:jc w:val="both"/>
        <w:rPr>
          <w:b w:val="0"/>
          <w:lang w:val="es-ES"/>
        </w:rPr>
      </w:pPr>
    </w:p>
    <w:p w:rsidR="00B21B66" w:rsidRDefault="00B21B66"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Default="00D077F0" w:rsidP="00C27BE7">
      <w:pPr>
        <w:pStyle w:val="Textoindependiente"/>
        <w:jc w:val="both"/>
        <w:rPr>
          <w:b w:val="0"/>
          <w:lang w:val="es-ES"/>
        </w:rPr>
      </w:pPr>
    </w:p>
    <w:p w:rsidR="00D077F0" w:rsidRPr="00D077F0" w:rsidRDefault="00D077F0" w:rsidP="00D077F0">
      <w:pPr>
        <w:pStyle w:val="Textoindependiente"/>
        <w:jc w:val="center"/>
        <w:rPr>
          <w:sz w:val="20"/>
          <w:szCs w:val="20"/>
          <w:lang w:val="es-ES"/>
        </w:rPr>
      </w:pPr>
      <w:r w:rsidRPr="00D077F0">
        <w:rPr>
          <w:sz w:val="20"/>
          <w:szCs w:val="20"/>
          <w:lang w:val="es-ES"/>
        </w:rPr>
        <w:t>CERTIFICACIONES DE CONTRATOS: Cantidad registrada por mes y moneda, enero- noviembre 2017.</w:t>
      </w:r>
    </w:p>
    <w:tbl>
      <w:tblPr>
        <w:tblW w:w="5000" w:type="pct"/>
        <w:jc w:val="center"/>
        <w:tblCellMar>
          <w:left w:w="0" w:type="dxa"/>
          <w:right w:w="0" w:type="dxa"/>
        </w:tblCellMar>
        <w:tblLook w:val="04A0" w:firstRow="1" w:lastRow="0" w:firstColumn="1" w:lastColumn="0" w:noHBand="0" w:noVBand="1"/>
      </w:tblPr>
      <w:tblGrid>
        <w:gridCol w:w="1279"/>
        <w:gridCol w:w="2016"/>
        <w:gridCol w:w="1284"/>
        <w:gridCol w:w="1928"/>
        <w:gridCol w:w="1553"/>
      </w:tblGrid>
      <w:tr w:rsidR="00D077F0" w:rsidRPr="00D077F0" w:rsidTr="00D077F0">
        <w:trPr>
          <w:trHeight w:val="255"/>
          <w:jc w:val="center"/>
        </w:trPr>
        <w:tc>
          <w:tcPr>
            <w:tcW w:w="717" w:type="pct"/>
            <w:vMerge w:val="restart"/>
            <w:shd w:val="clear" w:color="auto" w:fill="086633"/>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color w:val="FFFFFF"/>
                <w:sz w:val="20"/>
                <w:szCs w:val="20"/>
                <w:lang w:eastAsia="es-ES"/>
              </w:rPr>
            </w:pPr>
            <w:r w:rsidRPr="00D077F0">
              <w:rPr>
                <w:rFonts w:ascii="Times New Roman" w:hAnsi="Times New Roman" w:cs="Times New Roman"/>
                <w:b/>
                <w:bCs/>
                <w:color w:val="FFFFFF"/>
                <w:sz w:val="20"/>
                <w:szCs w:val="20"/>
                <w:lang w:eastAsia="es-ES"/>
              </w:rPr>
              <w:t>Mes</w:t>
            </w:r>
          </w:p>
        </w:tc>
        <w:tc>
          <w:tcPr>
            <w:tcW w:w="1270" w:type="pct"/>
            <w:vMerge w:val="restart"/>
            <w:shd w:val="clear" w:color="auto" w:fill="086633"/>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color w:val="FFFFFF"/>
                <w:sz w:val="20"/>
                <w:szCs w:val="20"/>
                <w:lang w:eastAsia="es-ES"/>
              </w:rPr>
            </w:pPr>
            <w:r w:rsidRPr="00D077F0">
              <w:rPr>
                <w:rFonts w:ascii="Times New Roman" w:hAnsi="Times New Roman" w:cs="Times New Roman"/>
                <w:b/>
                <w:bCs/>
                <w:color w:val="FFFFFF"/>
                <w:sz w:val="20"/>
                <w:szCs w:val="20"/>
                <w:lang w:eastAsia="es-ES"/>
              </w:rPr>
              <w:t>Cantidad</w:t>
            </w:r>
          </w:p>
        </w:tc>
        <w:tc>
          <w:tcPr>
            <w:tcW w:w="3013" w:type="pct"/>
            <w:gridSpan w:val="3"/>
            <w:shd w:val="clear" w:color="auto" w:fill="086633"/>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color w:val="FFFFFF"/>
                <w:sz w:val="20"/>
                <w:szCs w:val="20"/>
                <w:lang w:eastAsia="es-ES"/>
              </w:rPr>
            </w:pPr>
            <w:r w:rsidRPr="00D077F0">
              <w:rPr>
                <w:rFonts w:ascii="Times New Roman" w:hAnsi="Times New Roman" w:cs="Times New Roman"/>
                <w:b/>
                <w:bCs/>
                <w:color w:val="FFFFFF"/>
                <w:sz w:val="20"/>
                <w:szCs w:val="20"/>
                <w:lang w:eastAsia="es-ES"/>
              </w:rPr>
              <w:t>Moneda/Monto</w:t>
            </w:r>
          </w:p>
        </w:tc>
      </w:tr>
      <w:tr w:rsidR="00D077F0" w:rsidRPr="00D077F0" w:rsidTr="00D077F0">
        <w:trPr>
          <w:trHeight w:val="255"/>
          <w:jc w:val="center"/>
        </w:trPr>
        <w:tc>
          <w:tcPr>
            <w:tcW w:w="717" w:type="pct"/>
            <w:vMerge/>
            <w:vAlign w:val="center"/>
            <w:hideMark/>
          </w:tcPr>
          <w:p w:rsidR="00D077F0" w:rsidRPr="00D077F0" w:rsidRDefault="00D077F0" w:rsidP="00D077F0">
            <w:pPr>
              <w:jc w:val="center"/>
              <w:rPr>
                <w:rFonts w:ascii="Times New Roman" w:eastAsiaTheme="minorHAnsi" w:hAnsi="Times New Roman" w:cs="Times New Roman"/>
                <w:b/>
                <w:bCs/>
                <w:color w:val="FFFFFF"/>
                <w:sz w:val="20"/>
                <w:szCs w:val="20"/>
                <w:lang w:eastAsia="es-ES"/>
              </w:rPr>
            </w:pPr>
          </w:p>
        </w:tc>
        <w:tc>
          <w:tcPr>
            <w:tcW w:w="1270" w:type="pct"/>
            <w:vMerge/>
            <w:vAlign w:val="center"/>
            <w:hideMark/>
          </w:tcPr>
          <w:p w:rsidR="00D077F0" w:rsidRPr="00D077F0" w:rsidRDefault="00D077F0" w:rsidP="00D077F0">
            <w:pPr>
              <w:jc w:val="center"/>
              <w:rPr>
                <w:rFonts w:ascii="Times New Roman" w:eastAsiaTheme="minorHAnsi" w:hAnsi="Times New Roman" w:cs="Times New Roman"/>
                <w:b/>
                <w:bCs/>
                <w:color w:val="FFFFFF"/>
                <w:sz w:val="20"/>
                <w:szCs w:val="20"/>
                <w:lang w:eastAsia="es-ES"/>
              </w:rPr>
            </w:pPr>
          </w:p>
        </w:tc>
        <w:tc>
          <w:tcPr>
            <w:tcW w:w="816" w:type="pct"/>
            <w:shd w:val="clear" w:color="auto" w:fill="086633"/>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color w:val="FFFFFF"/>
                <w:sz w:val="20"/>
                <w:szCs w:val="20"/>
                <w:lang w:eastAsia="es-ES"/>
              </w:rPr>
            </w:pPr>
            <w:r w:rsidRPr="00D077F0">
              <w:rPr>
                <w:rFonts w:ascii="Times New Roman" w:hAnsi="Times New Roman" w:cs="Times New Roman"/>
                <w:b/>
                <w:bCs/>
                <w:color w:val="FFFFFF"/>
                <w:sz w:val="20"/>
                <w:szCs w:val="20"/>
                <w:lang w:eastAsia="es-ES"/>
              </w:rPr>
              <w:t>EUR</w:t>
            </w:r>
          </w:p>
        </w:tc>
        <w:tc>
          <w:tcPr>
            <w:tcW w:w="1215" w:type="pct"/>
            <w:shd w:val="clear" w:color="auto" w:fill="086633"/>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color w:val="FFFFFF"/>
                <w:sz w:val="20"/>
                <w:szCs w:val="20"/>
                <w:lang w:eastAsia="es-ES"/>
              </w:rPr>
            </w:pPr>
            <w:r w:rsidRPr="00D077F0">
              <w:rPr>
                <w:rFonts w:ascii="Times New Roman" w:hAnsi="Times New Roman" w:cs="Times New Roman"/>
                <w:b/>
                <w:bCs/>
                <w:color w:val="FFFFFF"/>
                <w:sz w:val="20"/>
                <w:szCs w:val="20"/>
                <w:lang w:eastAsia="es-ES"/>
              </w:rPr>
              <w:t>RD$</w:t>
            </w:r>
          </w:p>
        </w:tc>
        <w:tc>
          <w:tcPr>
            <w:tcW w:w="982" w:type="pct"/>
            <w:shd w:val="clear" w:color="auto" w:fill="086633"/>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color w:val="FFFFFF"/>
                <w:sz w:val="20"/>
                <w:szCs w:val="20"/>
                <w:lang w:eastAsia="es-ES"/>
              </w:rPr>
            </w:pPr>
            <w:r w:rsidRPr="00D077F0">
              <w:rPr>
                <w:rFonts w:ascii="Times New Roman" w:hAnsi="Times New Roman" w:cs="Times New Roman"/>
                <w:b/>
                <w:bCs/>
                <w:color w:val="FFFFFF"/>
                <w:sz w:val="20"/>
                <w:szCs w:val="20"/>
                <w:lang w:eastAsia="es-ES"/>
              </w:rPr>
              <w:t>US$</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color w:val="auto"/>
                <w:sz w:val="20"/>
                <w:szCs w:val="20"/>
                <w:lang w:eastAsia="es-ES"/>
              </w:rPr>
            </w:pPr>
            <w:r>
              <w:rPr>
                <w:rFonts w:ascii="Times New Roman" w:hAnsi="Times New Roman" w:cs="Times New Roman"/>
                <w:sz w:val="20"/>
                <w:szCs w:val="20"/>
                <w:lang w:eastAsia="es-ES"/>
              </w:rPr>
              <w:t>Enero</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4,486</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6,240,920</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7,608,025,123</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9,842,674</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Febrero</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4,790</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3,137,221</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15,687,812,567</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77,403,447</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Marzo</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7,506</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558,962</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17,622,921,867</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70,707,601</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Abril</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5,068</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400,401</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10,632,543,076</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55,073,338</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Mayo</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5,634</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2,116,190</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12,842,617,372</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26,051,073</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Junio</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4,809</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737,161</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33,344,443,539</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137,444,992</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Julio</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4,510</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1,491,484</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12,695,945,987</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76,782,422</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Agosto</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5,000</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8,446,827</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19,021,623,909</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57,243,816</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Septiembre</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5,267</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4,940,201</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17,805,599,579</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216,082,528</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Octubre</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6,881</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4,780,799</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14,858,546,658</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206,452,209</w:t>
            </w:r>
          </w:p>
        </w:tc>
      </w:tr>
      <w:tr w:rsidR="00D077F0" w:rsidRPr="00D077F0" w:rsidTr="00D077F0">
        <w:trPr>
          <w:trHeight w:val="255"/>
          <w:jc w:val="center"/>
        </w:trPr>
        <w:tc>
          <w:tcPr>
            <w:tcW w:w="717"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Pr>
                <w:rFonts w:ascii="Times New Roman" w:hAnsi="Times New Roman" w:cs="Times New Roman"/>
                <w:sz w:val="20"/>
                <w:szCs w:val="20"/>
                <w:lang w:eastAsia="es-ES"/>
              </w:rPr>
              <w:t>Noviembre</w:t>
            </w:r>
          </w:p>
        </w:tc>
        <w:tc>
          <w:tcPr>
            <w:tcW w:w="1270"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5,860</w:t>
            </w:r>
          </w:p>
        </w:tc>
        <w:tc>
          <w:tcPr>
            <w:tcW w:w="816"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2,701,384</w:t>
            </w:r>
          </w:p>
        </w:tc>
        <w:tc>
          <w:tcPr>
            <w:tcW w:w="1215"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31,970,749,681</w:t>
            </w:r>
          </w:p>
        </w:tc>
        <w:tc>
          <w:tcPr>
            <w:tcW w:w="982" w:type="pct"/>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sz w:val="20"/>
                <w:szCs w:val="20"/>
                <w:lang w:eastAsia="es-ES"/>
              </w:rPr>
            </w:pPr>
            <w:r w:rsidRPr="00D077F0">
              <w:rPr>
                <w:rFonts w:ascii="Times New Roman" w:hAnsi="Times New Roman" w:cs="Times New Roman"/>
                <w:sz w:val="20"/>
                <w:szCs w:val="20"/>
                <w:lang w:eastAsia="es-ES"/>
              </w:rPr>
              <w:t>288,819,723</w:t>
            </w:r>
          </w:p>
        </w:tc>
      </w:tr>
      <w:tr w:rsidR="00D077F0" w:rsidRPr="00D077F0" w:rsidTr="00D077F0">
        <w:trPr>
          <w:trHeight w:val="255"/>
          <w:jc w:val="center"/>
        </w:trPr>
        <w:tc>
          <w:tcPr>
            <w:tcW w:w="717" w:type="pct"/>
            <w:tcBorders>
              <w:top w:val="single" w:sz="8" w:space="0" w:color="auto"/>
              <w:left w:val="nil"/>
              <w:bottom w:val="nil"/>
              <w:right w:val="nil"/>
            </w:tcBorders>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sz w:val="20"/>
                <w:szCs w:val="20"/>
                <w:lang w:eastAsia="es-ES"/>
              </w:rPr>
            </w:pPr>
            <w:r w:rsidRPr="00D077F0">
              <w:rPr>
                <w:rFonts w:ascii="Times New Roman" w:hAnsi="Times New Roman" w:cs="Times New Roman"/>
                <w:b/>
                <w:bCs/>
                <w:sz w:val="20"/>
                <w:szCs w:val="20"/>
                <w:lang w:eastAsia="es-ES"/>
              </w:rPr>
              <w:t>Total general</w:t>
            </w:r>
          </w:p>
        </w:tc>
        <w:tc>
          <w:tcPr>
            <w:tcW w:w="1270" w:type="pct"/>
            <w:tcBorders>
              <w:top w:val="single" w:sz="8" w:space="0" w:color="auto"/>
              <w:left w:val="nil"/>
              <w:bottom w:val="nil"/>
              <w:right w:val="nil"/>
            </w:tcBorders>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sz w:val="20"/>
                <w:szCs w:val="20"/>
                <w:lang w:eastAsia="es-ES"/>
              </w:rPr>
            </w:pPr>
            <w:r w:rsidRPr="00D077F0">
              <w:rPr>
                <w:rFonts w:ascii="Times New Roman" w:hAnsi="Times New Roman" w:cs="Times New Roman"/>
                <w:b/>
                <w:bCs/>
                <w:sz w:val="20"/>
                <w:szCs w:val="20"/>
                <w:lang w:eastAsia="es-ES"/>
              </w:rPr>
              <w:t>59,811</w:t>
            </w:r>
          </w:p>
        </w:tc>
        <w:tc>
          <w:tcPr>
            <w:tcW w:w="816" w:type="pct"/>
            <w:tcBorders>
              <w:top w:val="single" w:sz="8" w:space="0" w:color="auto"/>
              <w:left w:val="nil"/>
              <w:bottom w:val="nil"/>
              <w:right w:val="nil"/>
            </w:tcBorders>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sz w:val="20"/>
                <w:szCs w:val="20"/>
                <w:lang w:eastAsia="es-ES"/>
              </w:rPr>
            </w:pPr>
            <w:r w:rsidRPr="00D077F0">
              <w:rPr>
                <w:rFonts w:ascii="Times New Roman" w:hAnsi="Times New Roman" w:cs="Times New Roman"/>
                <w:b/>
                <w:bCs/>
                <w:sz w:val="20"/>
                <w:szCs w:val="20"/>
                <w:lang w:eastAsia="es-ES"/>
              </w:rPr>
              <w:t>35,551,551</w:t>
            </w:r>
          </w:p>
        </w:tc>
        <w:tc>
          <w:tcPr>
            <w:tcW w:w="1215" w:type="pct"/>
            <w:tcBorders>
              <w:top w:val="single" w:sz="8" w:space="0" w:color="auto"/>
              <w:left w:val="nil"/>
              <w:bottom w:val="nil"/>
              <w:right w:val="nil"/>
            </w:tcBorders>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sz w:val="20"/>
                <w:szCs w:val="20"/>
                <w:lang w:eastAsia="es-ES"/>
              </w:rPr>
            </w:pPr>
            <w:r w:rsidRPr="00D077F0">
              <w:rPr>
                <w:rFonts w:ascii="Times New Roman" w:hAnsi="Times New Roman" w:cs="Times New Roman"/>
                <w:b/>
                <w:bCs/>
                <w:sz w:val="20"/>
                <w:szCs w:val="20"/>
                <w:lang w:eastAsia="es-ES"/>
              </w:rPr>
              <w:t>194,090,829,358</w:t>
            </w:r>
          </w:p>
        </w:tc>
        <w:tc>
          <w:tcPr>
            <w:tcW w:w="982" w:type="pct"/>
            <w:tcBorders>
              <w:top w:val="single" w:sz="8" w:space="0" w:color="auto"/>
              <w:left w:val="nil"/>
              <w:bottom w:val="nil"/>
              <w:right w:val="nil"/>
            </w:tcBorders>
            <w:noWrap/>
            <w:tcMar>
              <w:top w:w="0" w:type="dxa"/>
              <w:left w:w="70" w:type="dxa"/>
              <w:bottom w:w="0" w:type="dxa"/>
              <w:right w:w="70" w:type="dxa"/>
            </w:tcMar>
            <w:vAlign w:val="center"/>
            <w:hideMark/>
          </w:tcPr>
          <w:p w:rsidR="00D077F0" w:rsidRPr="00D077F0" w:rsidRDefault="00D077F0" w:rsidP="00D077F0">
            <w:pPr>
              <w:jc w:val="center"/>
              <w:rPr>
                <w:rFonts w:ascii="Times New Roman" w:hAnsi="Times New Roman" w:cs="Times New Roman"/>
                <w:b/>
                <w:bCs/>
                <w:sz w:val="20"/>
                <w:szCs w:val="20"/>
                <w:lang w:eastAsia="es-ES"/>
              </w:rPr>
            </w:pPr>
            <w:r w:rsidRPr="00D077F0">
              <w:rPr>
                <w:rFonts w:ascii="Times New Roman" w:hAnsi="Times New Roman" w:cs="Times New Roman"/>
                <w:b/>
                <w:bCs/>
                <w:sz w:val="20"/>
                <w:szCs w:val="20"/>
                <w:lang w:eastAsia="es-ES"/>
              </w:rPr>
              <w:t>1,221,903,825</w:t>
            </w:r>
          </w:p>
        </w:tc>
      </w:tr>
    </w:tbl>
    <w:p w:rsidR="00AD2259" w:rsidRPr="00BB231B" w:rsidRDefault="00AD2259" w:rsidP="00C27BE7">
      <w:pPr>
        <w:pStyle w:val="Textoindependiente"/>
        <w:jc w:val="both"/>
        <w:rPr>
          <w:b w:val="0"/>
          <w:lang w:val="es-ES"/>
        </w:rPr>
      </w:pPr>
    </w:p>
    <w:p w:rsidR="00B21B66" w:rsidRPr="00BB231B" w:rsidRDefault="00B21B66" w:rsidP="00C27BE7">
      <w:pPr>
        <w:pStyle w:val="Textoindependiente"/>
        <w:jc w:val="both"/>
        <w:rPr>
          <w:b w:val="0"/>
          <w:lang w:val="es-ES"/>
        </w:rPr>
      </w:pPr>
    </w:p>
    <w:p w:rsidR="00B21B66" w:rsidRPr="00BB231B" w:rsidRDefault="0017535D" w:rsidP="0017535D">
      <w:pPr>
        <w:pStyle w:val="Textoindependiente"/>
        <w:jc w:val="center"/>
        <w:rPr>
          <w:b w:val="0"/>
          <w:lang w:val="es-ES"/>
        </w:rPr>
      </w:pPr>
      <w:r w:rsidRPr="00BB231B">
        <w:rPr>
          <w:b w:val="0"/>
          <w:noProof/>
          <w:lang w:val="es-US" w:eastAsia="es-US"/>
        </w:rPr>
        <w:drawing>
          <wp:inline distT="0" distB="0" distL="0" distR="0" wp14:anchorId="0E83BB80" wp14:editId="6EBCDE3C">
            <wp:extent cx="4298315" cy="2468880"/>
            <wp:effectExtent l="0" t="0" r="6985" b="762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98315" cy="2468880"/>
                    </a:xfrm>
                    <a:prstGeom prst="rect">
                      <a:avLst/>
                    </a:prstGeom>
                    <a:noFill/>
                  </pic:spPr>
                </pic:pic>
              </a:graphicData>
            </a:graphic>
          </wp:inline>
        </w:drawing>
      </w:r>
    </w:p>
    <w:p w:rsidR="009014CC" w:rsidRPr="00BB231B" w:rsidRDefault="009014CC" w:rsidP="00027232">
      <w:pPr>
        <w:pStyle w:val="Prrafodelista"/>
        <w:ind w:left="720" w:firstLine="0"/>
        <w:rPr>
          <w:rFonts w:ascii="Times New Roman" w:hAnsi="Times New Roman" w:cs="Times New Roman"/>
          <w:color w:val="auto"/>
          <w:sz w:val="24"/>
          <w:szCs w:val="24"/>
          <w:highlight w:val="yellow"/>
          <w:shd w:val="clear" w:color="auto" w:fill="FFFFFF"/>
        </w:rPr>
      </w:pPr>
    </w:p>
    <w:p w:rsidR="00E34F0F" w:rsidRPr="00BB231B" w:rsidRDefault="002230AA" w:rsidP="0013776D">
      <w:pPr>
        <w:pStyle w:val="Prrafodelista"/>
        <w:numPr>
          <w:ilvl w:val="0"/>
          <w:numId w:val="37"/>
        </w:numPr>
        <w:spacing w:line="480" w:lineRule="auto"/>
        <w:rPr>
          <w:rFonts w:ascii="Times New Roman" w:eastAsia="Times New Roman" w:hAnsi="Times New Roman" w:cs="Times New Roman"/>
          <w:lang w:eastAsia="es-ES"/>
        </w:rPr>
      </w:pPr>
      <w:r w:rsidRPr="00BB231B">
        <w:rPr>
          <w:rFonts w:ascii="Times New Roman" w:hAnsi="Times New Roman" w:cs="Times New Roman"/>
          <w:color w:val="auto"/>
          <w:sz w:val="24"/>
          <w:szCs w:val="24"/>
        </w:rPr>
        <w:t xml:space="preserve">Como parte del Control y de velar por los recursos del Estado, la CGR realizó las siguientes </w:t>
      </w:r>
      <w:r w:rsidR="00027232" w:rsidRPr="00BB231B">
        <w:rPr>
          <w:rFonts w:ascii="Times New Roman" w:hAnsi="Times New Roman" w:cs="Times New Roman"/>
          <w:color w:val="auto"/>
          <w:sz w:val="24"/>
          <w:szCs w:val="24"/>
        </w:rPr>
        <w:t xml:space="preserve"> operaciones: </w:t>
      </w:r>
      <w:r w:rsidR="00860B1D" w:rsidRPr="00BB231B">
        <w:rPr>
          <w:rFonts w:ascii="Times New Roman" w:hAnsi="Times New Roman" w:cs="Times New Roman"/>
          <w:color w:val="auto"/>
          <w:sz w:val="24"/>
          <w:szCs w:val="24"/>
        </w:rPr>
        <w:t xml:space="preserve">Revisamos y validamos  Trescientos </w:t>
      </w:r>
      <w:r w:rsidR="00860B1D" w:rsidRPr="00BB231B">
        <w:rPr>
          <w:rFonts w:ascii="Times New Roman" w:hAnsi="Times New Roman" w:cs="Times New Roman"/>
          <w:color w:val="auto"/>
          <w:sz w:val="24"/>
          <w:szCs w:val="24"/>
        </w:rPr>
        <w:lastRenderedPageBreak/>
        <w:t xml:space="preserve">Cincuenta y Nueve Mil Trescientos Dieciocho (359,318) órdenes de pago, </w:t>
      </w:r>
      <w:r w:rsidR="00AD2259" w:rsidRPr="00BB231B">
        <w:rPr>
          <w:rFonts w:ascii="Times New Roman" w:hAnsi="Times New Roman" w:cs="Times New Roman"/>
          <w:color w:val="auto"/>
          <w:sz w:val="24"/>
          <w:szCs w:val="24"/>
        </w:rPr>
        <w:t>con la siguiente distribución</w:t>
      </w:r>
      <w:r w:rsidR="00860B1D" w:rsidRPr="00BB231B">
        <w:rPr>
          <w:rFonts w:ascii="Times New Roman" w:hAnsi="Times New Roman" w:cs="Times New Roman"/>
          <w:color w:val="auto"/>
          <w:sz w:val="24"/>
          <w:szCs w:val="24"/>
        </w:rPr>
        <w:t xml:space="preserve">: Mediante libramientos; 102,268 (ciento dos mil doscientos sesenta y ocho), Contratos Procesados; Cincuenta y </w:t>
      </w:r>
      <w:r w:rsidR="00D93A10">
        <w:rPr>
          <w:rFonts w:ascii="Times New Roman" w:hAnsi="Times New Roman" w:cs="Times New Roman"/>
          <w:color w:val="auto"/>
          <w:sz w:val="24"/>
          <w:szCs w:val="24"/>
        </w:rPr>
        <w:t>Nueve</w:t>
      </w:r>
      <w:r w:rsidR="00860B1D" w:rsidRPr="00BB231B">
        <w:rPr>
          <w:rFonts w:ascii="Times New Roman" w:hAnsi="Times New Roman" w:cs="Times New Roman"/>
          <w:color w:val="auto"/>
          <w:sz w:val="24"/>
          <w:szCs w:val="24"/>
        </w:rPr>
        <w:t xml:space="preserve"> Mil </w:t>
      </w:r>
      <w:r w:rsidR="00D93A10">
        <w:rPr>
          <w:rFonts w:ascii="Times New Roman" w:hAnsi="Times New Roman" w:cs="Times New Roman"/>
          <w:color w:val="auto"/>
          <w:sz w:val="24"/>
          <w:szCs w:val="24"/>
        </w:rPr>
        <w:t>Ochocientos Once</w:t>
      </w:r>
      <w:r w:rsidR="00860B1D" w:rsidRPr="00BB231B">
        <w:rPr>
          <w:rFonts w:ascii="Times New Roman" w:hAnsi="Times New Roman" w:cs="Times New Roman"/>
          <w:color w:val="auto"/>
          <w:sz w:val="24"/>
          <w:szCs w:val="24"/>
        </w:rPr>
        <w:t xml:space="preserve"> (</w:t>
      </w:r>
      <w:r w:rsidR="00D93A10">
        <w:rPr>
          <w:rFonts w:ascii="Times New Roman" w:hAnsi="Times New Roman" w:cs="Times New Roman"/>
          <w:color w:val="auto"/>
          <w:sz w:val="24"/>
          <w:szCs w:val="24"/>
        </w:rPr>
        <w:t>59,811</w:t>
      </w:r>
      <w:r w:rsidR="00860B1D" w:rsidRPr="00BB231B">
        <w:rPr>
          <w:rFonts w:ascii="Times New Roman" w:hAnsi="Times New Roman" w:cs="Times New Roman"/>
          <w:color w:val="auto"/>
          <w:sz w:val="24"/>
          <w:szCs w:val="24"/>
        </w:rPr>
        <w:t>), Cheques; Ciento Veinticuatro Mil Novecientos Ocho (124,908); Transferencias; Cincuenta y Un Mil Veinticuatro (51,024); Anticipos; Dos Mil Ochocientos Treinta y Seis (2,836); Nóminas Procesadas; Diecinueve Mil Trescientos Cuarenta y Se</w:t>
      </w:r>
      <w:r w:rsidR="005F7AF7" w:rsidRPr="00BB231B">
        <w:rPr>
          <w:rFonts w:ascii="Times New Roman" w:hAnsi="Times New Roman" w:cs="Times New Roman"/>
          <w:color w:val="auto"/>
          <w:sz w:val="24"/>
          <w:szCs w:val="24"/>
        </w:rPr>
        <w:t>is (19,346), remitidos por las instituciones g</w:t>
      </w:r>
      <w:r w:rsidR="00860B1D" w:rsidRPr="00BB231B">
        <w:rPr>
          <w:rFonts w:ascii="Times New Roman" w:hAnsi="Times New Roman" w:cs="Times New Roman"/>
          <w:color w:val="auto"/>
          <w:sz w:val="24"/>
          <w:szCs w:val="24"/>
        </w:rPr>
        <w:t>ubernamentales  a la SEDE Central de la  CGR, para fines de análisis y aprobación</w:t>
      </w:r>
      <w:r w:rsidR="00860B1D" w:rsidRPr="00BB231B">
        <w:rPr>
          <w:rFonts w:ascii="Times New Roman" w:hAnsi="Times New Roman" w:cs="Times New Roman"/>
          <w:color w:val="auto"/>
        </w:rPr>
        <w:t>.</w:t>
      </w:r>
      <w:r w:rsidR="00533BDA" w:rsidRPr="00BB231B">
        <w:rPr>
          <w:rFonts w:ascii="Times New Roman" w:eastAsia="Times New Roman" w:hAnsi="Times New Roman" w:cs="Times New Roman"/>
          <w:lang w:eastAsia="es-ES"/>
        </w:rPr>
        <w:t xml:space="preserve"> </w:t>
      </w:r>
    </w:p>
    <w:p w:rsidR="00664253" w:rsidRPr="00BB231B" w:rsidRDefault="002230AA" w:rsidP="0013776D">
      <w:pPr>
        <w:pStyle w:val="Textoindependiente"/>
        <w:numPr>
          <w:ilvl w:val="0"/>
          <w:numId w:val="37"/>
        </w:numPr>
        <w:spacing w:line="480" w:lineRule="auto"/>
        <w:jc w:val="both"/>
        <w:rPr>
          <w:rFonts w:eastAsiaTheme="minorEastAsia"/>
          <w:b w:val="0"/>
          <w:bCs w:val="0"/>
          <w:lang w:val="es-ES" w:eastAsia="en-US"/>
        </w:rPr>
      </w:pPr>
      <w:r w:rsidRPr="00BB231B">
        <w:rPr>
          <w:rFonts w:eastAsiaTheme="minorEastAsia"/>
          <w:b w:val="0"/>
          <w:bCs w:val="0"/>
          <w:lang w:val="es-ES" w:eastAsia="en-US"/>
        </w:rPr>
        <w:t>En este año fueron consolidadas tres (3) Unidades de Auditoría Gubernamental en una sola, conformando el INTRAN</w:t>
      </w:r>
      <w:r w:rsidR="005663ED" w:rsidRPr="00BB231B">
        <w:rPr>
          <w:rFonts w:eastAsiaTheme="minorEastAsia"/>
          <w:b w:val="0"/>
          <w:bCs w:val="0"/>
          <w:lang w:val="es-ES" w:eastAsia="en-US"/>
        </w:rPr>
        <w:t>T</w:t>
      </w:r>
      <w:r w:rsidR="00655542" w:rsidRPr="00BB231B">
        <w:rPr>
          <w:rFonts w:eastAsiaTheme="minorEastAsia"/>
          <w:b w:val="0"/>
          <w:bCs w:val="0"/>
          <w:lang w:val="es-ES" w:eastAsia="en-US"/>
        </w:rPr>
        <w:t xml:space="preserve"> </w:t>
      </w:r>
      <w:r w:rsidR="00894133" w:rsidRPr="00BB231B">
        <w:rPr>
          <w:rFonts w:eastAsiaTheme="minorEastAsia"/>
          <w:b w:val="0"/>
          <w:bCs w:val="0"/>
          <w:lang w:val="es-ES" w:eastAsia="en-US"/>
        </w:rPr>
        <w:t>(la</w:t>
      </w:r>
      <w:r w:rsidRPr="00BB231B">
        <w:rPr>
          <w:rFonts w:eastAsiaTheme="minorEastAsia"/>
          <w:b w:val="0"/>
          <w:bCs w:val="0"/>
          <w:lang w:val="es-ES" w:eastAsia="en-US"/>
        </w:rPr>
        <w:t xml:space="preserve"> UAI del Fondo para el Desarrollo del Transporte -FONDET, Oficina Técnica de Transporte Terrestre-OTTT,  y Consejo de Administración y Regulación de </w:t>
      </w:r>
      <w:r w:rsidR="00894133" w:rsidRPr="00BB231B">
        <w:rPr>
          <w:rFonts w:eastAsiaTheme="minorEastAsia"/>
          <w:b w:val="0"/>
          <w:bCs w:val="0"/>
          <w:lang w:val="es-ES" w:eastAsia="en-US"/>
        </w:rPr>
        <w:t>Taxis)</w:t>
      </w:r>
      <w:r w:rsidRPr="00BB231B">
        <w:rPr>
          <w:rFonts w:eastAsiaTheme="minorEastAsia"/>
          <w:b w:val="0"/>
          <w:bCs w:val="0"/>
          <w:lang w:val="es-ES" w:eastAsia="en-US"/>
        </w:rPr>
        <w:t xml:space="preserve">. </w:t>
      </w:r>
    </w:p>
    <w:p w:rsidR="00664253" w:rsidRPr="00BB231B" w:rsidRDefault="000E49A6" w:rsidP="0013776D">
      <w:pPr>
        <w:pStyle w:val="Textoindependiente"/>
        <w:numPr>
          <w:ilvl w:val="0"/>
          <w:numId w:val="37"/>
        </w:numPr>
        <w:spacing w:line="480" w:lineRule="auto"/>
        <w:jc w:val="both"/>
        <w:rPr>
          <w:rFonts w:eastAsiaTheme="minorEastAsia"/>
          <w:b w:val="0"/>
          <w:bCs w:val="0"/>
          <w:lang w:val="es-ES" w:eastAsia="en-US"/>
        </w:rPr>
      </w:pPr>
      <w:r w:rsidRPr="00BB231B">
        <w:rPr>
          <w:rFonts w:eastAsiaTheme="minorEastAsia"/>
          <w:bCs w:val="0"/>
          <w:lang w:val="es-ES" w:eastAsia="en-US"/>
        </w:rPr>
        <w:t xml:space="preserve">Fueron abiertas </w:t>
      </w:r>
      <w:r w:rsidR="002230AA" w:rsidRPr="00BB231B">
        <w:rPr>
          <w:rFonts w:eastAsiaTheme="minorEastAsia"/>
          <w:bCs w:val="0"/>
          <w:lang w:val="es-ES" w:eastAsia="en-US"/>
        </w:rPr>
        <w:t>tres (3)</w:t>
      </w:r>
      <w:r w:rsidRPr="00BB231B">
        <w:rPr>
          <w:rFonts w:eastAsiaTheme="minorEastAsia"/>
          <w:bCs w:val="0"/>
          <w:lang w:val="es-ES" w:eastAsia="en-US"/>
        </w:rPr>
        <w:t xml:space="preserve"> nuevas </w:t>
      </w:r>
      <w:r w:rsidR="002230AA" w:rsidRPr="00BB231B">
        <w:rPr>
          <w:rFonts w:eastAsiaTheme="minorEastAsia"/>
          <w:bCs w:val="0"/>
          <w:lang w:val="es-ES" w:eastAsia="en-US"/>
        </w:rPr>
        <w:t xml:space="preserve"> Unidades de Auditoría Gubernamental</w:t>
      </w:r>
      <w:r w:rsidR="00664253" w:rsidRPr="00BB231B">
        <w:rPr>
          <w:rFonts w:eastAsiaTheme="minorEastAsia"/>
          <w:b w:val="0"/>
          <w:bCs w:val="0"/>
          <w:lang w:val="es-ES" w:eastAsia="en-US"/>
        </w:rPr>
        <w:t xml:space="preserve"> para las instituciones</w:t>
      </w:r>
      <w:r w:rsidR="002230AA" w:rsidRPr="00BB231B">
        <w:rPr>
          <w:rFonts w:eastAsiaTheme="minorEastAsia"/>
          <w:b w:val="0"/>
          <w:bCs w:val="0"/>
          <w:lang w:val="es-ES" w:eastAsia="en-US"/>
        </w:rPr>
        <w:t>: Hospital Hugo Mendoza, Instituto Nacional de Tránsito y Transporte Terrestre-INTRAN, Comisión Nacional de Energía-CNE-.</w:t>
      </w:r>
    </w:p>
    <w:p w:rsidR="002230AA" w:rsidRPr="00BB231B" w:rsidRDefault="006231EE" w:rsidP="0013776D">
      <w:pPr>
        <w:pStyle w:val="Textoindependiente"/>
        <w:numPr>
          <w:ilvl w:val="0"/>
          <w:numId w:val="37"/>
        </w:numPr>
        <w:spacing w:line="480" w:lineRule="auto"/>
        <w:jc w:val="both"/>
        <w:rPr>
          <w:rFonts w:eastAsiaTheme="minorEastAsia"/>
          <w:b w:val="0"/>
          <w:bCs w:val="0"/>
          <w:lang w:val="es-ES" w:eastAsia="en-US"/>
        </w:rPr>
      </w:pPr>
      <w:r w:rsidRPr="00BB231B">
        <w:rPr>
          <w:rFonts w:eastAsiaTheme="minorEastAsia"/>
          <w:bCs w:val="0"/>
          <w:lang w:val="es-ES" w:eastAsia="en-US"/>
        </w:rPr>
        <w:t>El</w:t>
      </w:r>
      <w:r w:rsidR="002230AA" w:rsidRPr="00BB231B">
        <w:rPr>
          <w:rFonts w:eastAsiaTheme="minorEastAsia"/>
          <w:bCs w:val="0"/>
          <w:lang w:val="es-ES" w:eastAsia="en-US"/>
        </w:rPr>
        <w:t xml:space="preserve"> equipo de </w:t>
      </w:r>
      <w:r w:rsidR="00525665" w:rsidRPr="00BB231B">
        <w:rPr>
          <w:rFonts w:eastAsiaTheme="minorEastAsia"/>
          <w:bCs w:val="0"/>
          <w:lang w:val="es-ES" w:eastAsia="en-US"/>
        </w:rPr>
        <w:t>Multiplicadores (Capacitadores)</w:t>
      </w:r>
      <w:r w:rsidR="002230AA" w:rsidRPr="00BB231B">
        <w:rPr>
          <w:rFonts w:eastAsiaTheme="minorEastAsia"/>
          <w:bCs w:val="0"/>
          <w:lang w:val="es-ES" w:eastAsia="en-US"/>
        </w:rPr>
        <w:t xml:space="preserve"> realizó cuatrocientos trece (413) visitas a </w:t>
      </w:r>
      <w:r w:rsidRPr="00BB231B">
        <w:rPr>
          <w:rFonts w:eastAsiaTheme="minorEastAsia"/>
          <w:bCs w:val="0"/>
          <w:lang w:val="es-ES" w:eastAsia="en-US"/>
        </w:rPr>
        <w:t>las instituciones</w:t>
      </w:r>
      <w:r w:rsidRPr="00BB231B">
        <w:rPr>
          <w:rFonts w:eastAsiaTheme="minorEastAsia"/>
          <w:b w:val="0"/>
          <w:bCs w:val="0"/>
          <w:lang w:val="es-ES" w:eastAsia="en-US"/>
        </w:rPr>
        <w:t xml:space="preserve"> que poseen </w:t>
      </w:r>
      <w:r w:rsidR="002230AA" w:rsidRPr="00BB231B">
        <w:rPr>
          <w:rFonts w:eastAsiaTheme="minorEastAsia"/>
          <w:b w:val="0"/>
          <w:bCs w:val="0"/>
          <w:lang w:val="es-ES" w:eastAsia="en-US"/>
        </w:rPr>
        <w:t>Unidades de Auditoría</w:t>
      </w:r>
      <w:r w:rsidRPr="00BB231B">
        <w:rPr>
          <w:rFonts w:eastAsiaTheme="minorEastAsia"/>
          <w:b w:val="0"/>
          <w:bCs w:val="0"/>
          <w:lang w:val="es-ES" w:eastAsia="en-US"/>
        </w:rPr>
        <w:t xml:space="preserve"> </w:t>
      </w:r>
      <w:r w:rsidRPr="00BB231B">
        <w:rPr>
          <w:rFonts w:eastAsiaTheme="minorEastAsia"/>
          <w:bCs w:val="0"/>
          <w:lang w:val="es-ES" w:eastAsia="en-US"/>
        </w:rPr>
        <w:t>para dar asesorías</w:t>
      </w:r>
      <w:r w:rsidRPr="00BB231B">
        <w:rPr>
          <w:rFonts w:eastAsiaTheme="minorEastAsia"/>
          <w:b w:val="0"/>
          <w:bCs w:val="0"/>
          <w:lang w:val="es-ES" w:eastAsia="en-US"/>
        </w:rPr>
        <w:t xml:space="preserve"> sobre el cumplimiento de las normas y requisitos de </w:t>
      </w:r>
      <w:r w:rsidRPr="00BB231B">
        <w:rPr>
          <w:rFonts w:eastAsiaTheme="minorEastAsia"/>
          <w:b w:val="0"/>
          <w:bCs w:val="0"/>
          <w:lang w:val="es-ES" w:eastAsia="en-US"/>
        </w:rPr>
        <w:lastRenderedPageBreak/>
        <w:t>los procesos de Órdenes de Pago y Registro de Contratos</w:t>
      </w:r>
      <w:r w:rsidR="00525665" w:rsidRPr="00BB231B">
        <w:rPr>
          <w:rFonts w:eastAsiaTheme="minorEastAsia"/>
          <w:b w:val="0"/>
          <w:bCs w:val="0"/>
          <w:lang w:val="es-ES" w:eastAsia="en-US"/>
        </w:rPr>
        <w:t>, así como el uso correcto del sistema TRE</w:t>
      </w:r>
      <w:r w:rsidR="002230AA" w:rsidRPr="00BB231B">
        <w:rPr>
          <w:rFonts w:eastAsiaTheme="minorEastAsia"/>
          <w:b w:val="0"/>
          <w:bCs w:val="0"/>
          <w:lang w:val="es-ES" w:eastAsia="en-US"/>
        </w:rPr>
        <w:t>, representando un 96% de la meta trazada</w:t>
      </w:r>
      <w:r w:rsidR="00664253" w:rsidRPr="00BB231B">
        <w:rPr>
          <w:rFonts w:eastAsiaTheme="minorEastAsia"/>
          <w:b w:val="0"/>
          <w:bCs w:val="0"/>
          <w:lang w:val="es-ES" w:eastAsia="en-US"/>
        </w:rPr>
        <w:t>.</w:t>
      </w:r>
    </w:p>
    <w:p w:rsidR="006231EE" w:rsidRPr="00BB231B" w:rsidRDefault="00525665" w:rsidP="0013776D">
      <w:pPr>
        <w:pStyle w:val="Textoindependiente"/>
        <w:numPr>
          <w:ilvl w:val="0"/>
          <w:numId w:val="37"/>
        </w:numPr>
        <w:spacing w:line="480" w:lineRule="auto"/>
        <w:jc w:val="both"/>
        <w:rPr>
          <w:rFonts w:eastAsiaTheme="minorEastAsia"/>
          <w:b w:val="0"/>
          <w:bCs w:val="0"/>
          <w:lang w:val="es-ES" w:eastAsia="en-US"/>
        </w:rPr>
      </w:pPr>
      <w:r w:rsidRPr="00BB231B">
        <w:rPr>
          <w:rFonts w:eastAsiaTheme="minorEastAsia"/>
          <w:b w:val="0"/>
          <w:bCs w:val="0"/>
          <w:lang w:val="es-ES" w:eastAsia="en-US"/>
        </w:rPr>
        <w:t xml:space="preserve">Se realizaron además Ochenta </w:t>
      </w:r>
      <w:r w:rsidR="00EC7641" w:rsidRPr="00BB231B">
        <w:rPr>
          <w:rFonts w:eastAsiaTheme="minorEastAsia"/>
          <w:b w:val="0"/>
          <w:bCs w:val="0"/>
          <w:lang w:val="es-ES" w:eastAsia="en-US"/>
        </w:rPr>
        <w:t>(</w:t>
      </w:r>
      <w:r w:rsidRPr="00BB231B">
        <w:rPr>
          <w:rFonts w:eastAsiaTheme="minorEastAsia"/>
          <w:b w:val="0"/>
          <w:bCs w:val="0"/>
          <w:lang w:val="es-ES" w:eastAsia="en-US"/>
        </w:rPr>
        <w:t>80</w:t>
      </w:r>
      <w:r w:rsidR="00EC7641" w:rsidRPr="00BB231B">
        <w:rPr>
          <w:rFonts w:eastAsiaTheme="minorEastAsia"/>
          <w:b w:val="0"/>
          <w:bCs w:val="0"/>
          <w:lang w:val="es-ES" w:eastAsia="en-US"/>
        </w:rPr>
        <w:t>)</w:t>
      </w:r>
      <w:r w:rsidRPr="00BB231B">
        <w:rPr>
          <w:rFonts w:eastAsiaTheme="minorEastAsia"/>
          <w:b w:val="0"/>
          <w:bCs w:val="0"/>
          <w:lang w:val="es-ES" w:eastAsia="en-US"/>
        </w:rPr>
        <w:t xml:space="preserve"> visitas de supervisión a las diferentes Unidades de Auditorías Interna de las instituciones del gobierno central, a los fines de monitorear el comportamiento y el accionar de los Auditores Legales y su Inter-relación con las instituciones, en los cuales están asignados.</w:t>
      </w:r>
    </w:p>
    <w:p w:rsidR="00F13473" w:rsidRPr="00BB231B" w:rsidRDefault="00F13473" w:rsidP="004948FC">
      <w:pPr>
        <w:spacing w:line="480" w:lineRule="auto"/>
        <w:ind w:right="182"/>
        <w:rPr>
          <w:rFonts w:ascii="Times New Roman" w:eastAsia="Gill Sans MT" w:hAnsi="Times New Roman" w:cs="Times New Roman"/>
          <w:b/>
          <w:color w:val="auto"/>
          <w:sz w:val="8"/>
          <w:szCs w:val="24"/>
          <w:lang w:val="es-DO"/>
        </w:rPr>
      </w:pPr>
    </w:p>
    <w:p w:rsidR="00BF3284" w:rsidRPr="00BB231B" w:rsidRDefault="00894133" w:rsidP="004948FC">
      <w:pPr>
        <w:spacing w:line="480" w:lineRule="auto"/>
        <w:ind w:right="182"/>
        <w:rPr>
          <w:rFonts w:ascii="Times New Roman" w:eastAsia="Gill Sans MT" w:hAnsi="Times New Roman" w:cs="Times New Roman"/>
          <w:b/>
          <w:color w:val="auto"/>
          <w:sz w:val="28"/>
          <w:szCs w:val="24"/>
          <w:lang w:val="es-DO"/>
        </w:rPr>
      </w:pPr>
      <w:r w:rsidRPr="00BB231B">
        <w:rPr>
          <w:rFonts w:ascii="Times New Roman" w:eastAsia="Gill Sans MT" w:hAnsi="Times New Roman" w:cs="Times New Roman"/>
          <w:b/>
          <w:color w:val="auto"/>
          <w:sz w:val="28"/>
          <w:szCs w:val="24"/>
          <w:lang w:val="es-DO"/>
        </w:rPr>
        <w:t>Acciones relacionadas a</w:t>
      </w:r>
      <w:r w:rsidR="00BF3284" w:rsidRPr="00BB231B">
        <w:rPr>
          <w:rFonts w:ascii="Times New Roman" w:eastAsia="Gill Sans MT" w:hAnsi="Times New Roman" w:cs="Times New Roman"/>
          <w:b/>
          <w:color w:val="auto"/>
          <w:sz w:val="28"/>
          <w:szCs w:val="24"/>
          <w:lang w:val="es-DO"/>
        </w:rPr>
        <w:t>l tercer Eje Estratégico de la END:</w:t>
      </w:r>
    </w:p>
    <w:p w:rsidR="00BF3284" w:rsidRPr="00BB231B" w:rsidRDefault="00894133" w:rsidP="00720687">
      <w:pPr>
        <w:spacing w:line="480" w:lineRule="auto"/>
        <w:ind w:right="182" w:firstLine="709"/>
        <w:rPr>
          <w:rFonts w:ascii="Times New Roman" w:eastAsia="Gill Sans MT" w:hAnsi="Times New Roman" w:cs="Times New Roman"/>
          <w:color w:val="auto"/>
          <w:sz w:val="8"/>
          <w:szCs w:val="24"/>
          <w:lang w:val="es-DO"/>
        </w:rPr>
      </w:pPr>
      <w:r w:rsidRPr="00BB231B">
        <w:rPr>
          <w:rFonts w:ascii="Times New Roman" w:eastAsia="Gill Sans MT" w:hAnsi="Times New Roman" w:cs="Times New Roman"/>
          <w:color w:val="auto"/>
          <w:sz w:val="24"/>
          <w:szCs w:val="24"/>
          <w:lang w:val="es-DO"/>
        </w:rPr>
        <w:t>Este eje e</w:t>
      </w:r>
      <w:r w:rsidR="00BF3284" w:rsidRPr="00BB231B">
        <w:rPr>
          <w:rFonts w:ascii="Times New Roman" w:eastAsia="Gill Sans MT" w:hAnsi="Times New Roman" w:cs="Times New Roman"/>
          <w:color w:val="auto"/>
          <w:sz w:val="24"/>
          <w:szCs w:val="24"/>
          <w:lang w:val="es-DO"/>
        </w:rPr>
        <w:t xml:space="preserve">stá dirigido a construir y sostener: </w:t>
      </w:r>
      <w:r w:rsidR="00BF3284" w:rsidRPr="00BB231B">
        <w:rPr>
          <w:rFonts w:ascii="Times New Roman" w:eastAsia="Gill Sans MT" w:hAnsi="Times New Roman" w:cs="Times New Roman"/>
          <w:b/>
          <w:color w:val="auto"/>
          <w:sz w:val="24"/>
          <w:szCs w:val="24"/>
          <w:lang w:val="es-DO"/>
        </w:rPr>
        <w:t>“Una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p>
    <w:p w:rsidR="00EC3D7F" w:rsidRPr="00BB231B" w:rsidRDefault="00BF3284" w:rsidP="00852D76">
      <w:pPr>
        <w:spacing w:line="480" w:lineRule="auto"/>
        <w:ind w:right="182" w:firstLine="709"/>
        <w:rPr>
          <w:rFonts w:ascii="Times New Roman" w:eastAsia="Gill Sans MT" w:hAnsi="Times New Roman" w:cs="Times New Roman"/>
          <w:b/>
          <w:color w:val="auto"/>
          <w:sz w:val="24"/>
          <w:szCs w:val="24"/>
          <w:lang w:val="es-DO"/>
        </w:rPr>
      </w:pPr>
      <w:r w:rsidRPr="00BB231B">
        <w:rPr>
          <w:rFonts w:ascii="Times New Roman" w:eastAsia="Gill Sans MT" w:hAnsi="Times New Roman" w:cs="Times New Roman"/>
          <w:color w:val="auto"/>
          <w:sz w:val="24"/>
          <w:szCs w:val="24"/>
          <w:lang w:val="es-DO"/>
        </w:rPr>
        <w:t>La CGR extiende sus recursos de asesoramiento y vigilancia a todos los gobiernos locales o territoriales y a los proyectos nacionales para el crecimiento económico. En este sentido, sus aportes mediante el asesoramiento y vigilancia de los recursos públicos, también se focalizan en los proyectos nacionales y territoriales que están dirigidos al crecimiento de la economía en términos de este eje estratégico y sus objetivos.</w:t>
      </w:r>
    </w:p>
    <w:p w:rsidR="00BF3284" w:rsidRPr="00BB231B" w:rsidRDefault="00894133" w:rsidP="004948FC">
      <w:pPr>
        <w:spacing w:line="480" w:lineRule="auto"/>
        <w:ind w:right="182"/>
        <w:rPr>
          <w:rFonts w:ascii="Times New Roman" w:eastAsia="Gill Sans MT" w:hAnsi="Times New Roman" w:cs="Times New Roman"/>
          <w:b/>
          <w:color w:val="auto"/>
          <w:sz w:val="24"/>
          <w:szCs w:val="24"/>
          <w:lang w:val="es-DO"/>
        </w:rPr>
      </w:pPr>
      <w:r w:rsidRPr="00BB231B">
        <w:rPr>
          <w:rFonts w:ascii="Times New Roman" w:eastAsia="Gill Sans MT" w:hAnsi="Times New Roman" w:cs="Times New Roman"/>
          <w:b/>
          <w:color w:val="auto"/>
          <w:sz w:val="24"/>
          <w:szCs w:val="24"/>
          <w:lang w:val="es-DO"/>
        </w:rPr>
        <w:lastRenderedPageBreak/>
        <w:t xml:space="preserve">1. </w:t>
      </w:r>
      <w:r w:rsidR="00BF3284" w:rsidRPr="00BB231B">
        <w:rPr>
          <w:rFonts w:ascii="Times New Roman" w:eastAsia="Gill Sans MT" w:hAnsi="Times New Roman" w:cs="Times New Roman"/>
          <w:b/>
          <w:color w:val="auto"/>
          <w:sz w:val="24"/>
          <w:szCs w:val="24"/>
          <w:lang w:val="es-DO"/>
        </w:rPr>
        <w:t>Acciones que han sido completadas durante el 2017 con relación a los gobiernos locales (Ayuntamientos):</w:t>
      </w:r>
    </w:p>
    <w:p w:rsidR="00BF3284" w:rsidRPr="00BB231B" w:rsidRDefault="00BF3284" w:rsidP="0013776D">
      <w:pPr>
        <w:pStyle w:val="Prrafodelista"/>
        <w:numPr>
          <w:ilvl w:val="0"/>
          <w:numId w:val="36"/>
        </w:numPr>
        <w:spacing w:line="480" w:lineRule="auto"/>
        <w:ind w:right="182"/>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 xml:space="preserve">Se han analizado y revisado el 89% de los informes de las ejecuciones presupuestarias, y socializado los resultados con los </w:t>
      </w:r>
      <w:proofErr w:type="spellStart"/>
      <w:r w:rsidRPr="00BB231B">
        <w:rPr>
          <w:rFonts w:ascii="Times New Roman" w:eastAsia="Gill Sans MT" w:hAnsi="Times New Roman" w:cs="Times New Roman"/>
          <w:color w:val="auto"/>
          <w:sz w:val="24"/>
          <w:szCs w:val="24"/>
          <w:lang w:val="es-DO"/>
        </w:rPr>
        <w:t>incumbentes</w:t>
      </w:r>
      <w:proofErr w:type="spellEnd"/>
      <w:r w:rsidRPr="00BB231B">
        <w:rPr>
          <w:rFonts w:ascii="Times New Roman" w:eastAsia="Gill Sans MT" w:hAnsi="Times New Roman" w:cs="Times New Roman"/>
          <w:color w:val="auto"/>
          <w:sz w:val="24"/>
          <w:szCs w:val="24"/>
          <w:lang w:val="es-DO"/>
        </w:rPr>
        <w:t xml:space="preserve"> de los ayuntamientos y distritos municipales, informándoles el nivel de cumplimiento con la ley 10-07 y la ley 176-07, en cuanto al uso y destino de los fondos públicos. El total general de las ejecuciones presupuestarias recibidas de las entidades municipales es de 1,121 de las cuales se han analizado 995 al 07 diciembre.</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El SISMAP Municipal es el Sistema de Monitoreo de la Administración Pública orientado a medir el grado de desarrollo de la gestión municipal, en términos de eficiencia, eficacia, calidad y participación en correspondencia con los marcos normativos y procedimentales que inciden en el fortalecimiento de la gestión municipal, a través de una serie de indicadores básicos y sub- indicadores que se derivan de éstos.</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Para su verificación, cada indicador cuenta con una evidencia que permita comprobar su estado. Esta evidencia es aportada en unos casos por el Ayuntamiento y en otros por la institución rectora responsable del indicador en función de las informaciones entregadas a ella por los ayuntamientos en su procedimiento ordinario.</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lastRenderedPageBreak/>
        <w:t>En la actualidad el SISMAP Municipal monitorea en línea, en tiempo real y desde un entorno web los avances en ocho (8) áreas de gestión: recursos humanos, planificación territorial, gestión presupuestaria, compras y contrataciones, acceso a la información pública, calidad del gasto y control interno, ejercicio del presupuesto participativo y las declaraciones juradas de patrimonio de funcionarios/as públicos.</w:t>
      </w:r>
    </w:p>
    <w:p w:rsidR="00EC3D7F" w:rsidRPr="00BB231B" w:rsidRDefault="00B4058F" w:rsidP="00EC3D7F">
      <w:pPr>
        <w:spacing w:line="480" w:lineRule="auto"/>
        <w:ind w:right="182" w:firstLine="709"/>
        <w:rPr>
          <w:rFonts w:ascii="Times New Roman" w:eastAsia="Gill Sans MT" w:hAnsi="Times New Roman" w:cs="Times New Roman"/>
          <w:color w:val="auto"/>
          <w:sz w:val="24"/>
          <w:szCs w:val="24"/>
          <w:lang w:val="es-DO"/>
        </w:rPr>
      </w:pPr>
      <w:r>
        <w:rPr>
          <w:rFonts w:ascii="Times New Roman" w:eastAsia="Gill Sans MT" w:hAnsi="Times New Roman" w:cs="Times New Roman"/>
          <w:color w:val="auto"/>
          <w:sz w:val="24"/>
          <w:szCs w:val="24"/>
          <w:lang w:val="es-DO"/>
        </w:rPr>
        <w:t>A. RACIONALIDAD ADMINISTRATIVA</w:t>
      </w:r>
      <w:r w:rsidR="00EC3D7F" w:rsidRPr="00BB231B">
        <w:rPr>
          <w:rFonts w:ascii="Times New Roman" w:eastAsia="Gill Sans MT" w:hAnsi="Times New Roman" w:cs="Times New Roman"/>
          <w:color w:val="auto"/>
          <w:sz w:val="24"/>
          <w:szCs w:val="24"/>
          <w:lang w:val="es-DO"/>
        </w:rPr>
        <w:t>: Son indicadores que se focalizan en los aspectos orientados al reclutamiento y promoción de recursos humanos sobre la base de méritos; la profesionalización y la relativa previsibilidad de la carrera funcionarial; criterios organizacionales basados en la racionalidad y la división del trabajo para el diseño de las estructuras orgánicas; un conjunto homogéneo y estandarizado de procesos administrativos; y la obligación del registro de los actos de administración basada en evidencias.</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B. CALIDAD EN LA GESTIÓN Y EN LA ASIGNACIÓN DEL GASTO: Remite a la inclusión de herramientas orientadas a introducir el concepto de calidad en los distintos elementos que componen la gestión y en la manera en que se asignan los recursos financieros en los gobiernos locales.</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 xml:space="preserve">C. PARTICIPACIÓN Y CONTROL CIUDADANO: Refiere a los aspectos relacionados con la participación ciudadana como mecanismo para asegurar que las metas de las administraciones públicas reflejen efectivamente las demandas y necesidades reales de la sociedad y que los procesos de gestión de los recursos públicos sean realizados en un marco de transparencia y </w:t>
      </w:r>
      <w:r w:rsidRPr="00BB231B">
        <w:rPr>
          <w:rFonts w:ascii="Times New Roman" w:eastAsia="Gill Sans MT" w:hAnsi="Times New Roman" w:cs="Times New Roman"/>
          <w:color w:val="auto"/>
          <w:sz w:val="24"/>
          <w:szCs w:val="24"/>
          <w:lang w:val="es-DO"/>
        </w:rPr>
        <w:lastRenderedPageBreak/>
        <w:t>responsabilidad, destacando la introducción de herramientas para la rendición de cuentas a la ciudadanía; mecanismos de acceso público a la información y transparencia; y el presupuesto participativo.</w:t>
      </w:r>
    </w:p>
    <w:p w:rsidR="00EC3D7F" w:rsidRPr="00BB231B" w:rsidRDefault="00EC3D7F" w:rsidP="00EC3D7F">
      <w:pPr>
        <w:spacing w:line="480" w:lineRule="auto"/>
        <w:ind w:right="182" w:firstLine="709"/>
        <w:rPr>
          <w:rFonts w:ascii="Times New Roman" w:eastAsia="Gill Sans MT" w:hAnsi="Times New Roman" w:cs="Times New Roman"/>
          <w:color w:val="auto"/>
          <w:szCs w:val="24"/>
        </w:rPr>
      </w:pPr>
      <w:r w:rsidRPr="00BB231B">
        <w:rPr>
          <w:rFonts w:ascii="Times New Roman" w:eastAsia="Gill Sans MT" w:hAnsi="Times New Roman" w:cs="Times New Roman"/>
          <w:color w:val="auto"/>
          <w:szCs w:val="24"/>
        </w:rPr>
        <w:t xml:space="preserve">En ese orden, la Contraloría participa como socio estratégico con el SISMAP MUNICIPAL, en el proyecto PASCAL, para el fortalecimiento de gestión de los ayuntamientos. </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 xml:space="preserve">En cuanto a la carga de evidencia del indicador de organización y gestión calidad del gasto al SISMAP municipal de los ayuntamientos piloto del Programa de Apoyo a la Sociedad Civil y las Autoridades Locales (PASCAL), recibimos un total 169 informes </w:t>
      </w:r>
      <w:r w:rsidR="00B22063" w:rsidRPr="00BB231B">
        <w:rPr>
          <w:rFonts w:ascii="Times New Roman" w:eastAsia="Gill Sans MT" w:hAnsi="Times New Roman" w:cs="Times New Roman"/>
          <w:color w:val="auto"/>
          <w:sz w:val="24"/>
          <w:szCs w:val="24"/>
          <w:lang w:val="es-DO"/>
        </w:rPr>
        <w:t xml:space="preserve">de </w:t>
      </w:r>
      <w:r w:rsidRPr="00BB231B">
        <w:rPr>
          <w:rFonts w:ascii="Times New Roman" w:eastAsia="Gill Sans MT" w:hAnsi="Times New Roman" w:cs="Times New Roman"/>
          <w:color w:val="auto"/>
          <w:sz w:val="24"/>
          <w:szCs w:val="24"/>
          <w:lang w:val="es-DO"/>
        </w:rPr>
        <w:t>ejecuciones presupuestarias con las evidencias requeridas, de las cuales 164 fueron analiz</w:t>
      </w:r>
      <w:r w:rsidR="005F7AF7" w:rsidRPr="00BB231B">
        <w:rPr>
          <w:rFonts w:ascii="Times New Roman" w:eastAsia="Gill Sans MT" w:hAnsi="Times New Roman" w:cs="Times New Roman"/>
          <w:color w:val="auto"/>
          <w:sz w:val="24"/>
          <w:szCs w:val="24"/>
          <w:lang w:val="es-DO"/>
        </w:rPr>
        <w:t xml:space="preserve">adas y cargadas al sistema, representando </w:t>
      </w:r>
      <w:r w:rsidR="00994F54" w:rsidRPr="00BB231B">
        <w:rPr>
          <w:rFonts w:ascii="Times New Roman" w:eastAsia="Gill Sans MT" w:hAnsi="Times New Roman" w:cs="Times New Roman"/>
          <w:color w:val="auto"/>
          <w:sz w:val="24"/>
          <w:szCs w:val="24"/>
          <w:lang w:val="es-DO"/>
        </w:rPr>
        <w:t>esto un</w:t>
      </w:r>
      <w:r w:rsidRPr="00BB231B">
        <w:rPr>
          <w:rFonts w:ascii="Times New Roman" w:eastAsia="Gill Sans MT" w:hAnsi="Times New Roman" w:cs="Times New Roman"/>
          <w:color w:val="auto"/>
          <w:sz w:val="24"/>
          <w:szCs w:val="24"/>
          <w:lang w:val="es-DO"/>
        </w:rPr>
        <w:t xml:space="preserve"> logro de un 97%.</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 xml:space="preserve">En lo referente a </w:t>
      </w:r>
      <w:r w:rsidR="005F7AF7" w:rsidRPr="00BB231B">
        <w:rPr>
          <w:rFonts w:ascii="Times New Roman" w:eastAsia="Gill Sans MT" w:hAnsi="Times New Roman" w:cs="Times New Roman"/>
          <w:color w:val="auto"/>
          <w:sz w:val="24"/>
          <w:szCs w:val="24"/>
          <w:lang w:val="es-DO"/>
        </w:rPr>
        <w:t>acompañamiento a</w:t>
      </w:r>
      <w:r w:rsidRPr="00BB231B">
        <w:rPr>
          <w:rFonts w:ascii="Times New Roman" w:eastAsia="Gill Sans MT" w:hAnsi="Times New Roman" w:cs="Times New Roman"/>
          <w:color w:val="auto"/>
          <w:sz w:val="24"/>
          <w:szCs w:val="24"/>
          <w:lang w:val="es-DO"/>
        </w:rPr>
        <w:t xml:space="preserve"> los Ayuntamientos de nuevo ingreso al SISMAP Municipal, se programaron 35 visitas de campo para el levantamiento </w:t>
      </w:r>
      <w:r w:rsidR="00994F54" w:rsidRPr="00BB231B">
        <w:rPr>
          <w:rFonts w:ascii="Times New Roman" w:eastAsia="Gill Sans MT" w:hAnsi="Times New Roman" w:cs="Times New Roman"/>
          <w:color w:val="auto"/>
          <w:sz w:val="24"/>
          <w:szCs w:val="24"/>
          <w:lang w:val="es-DO"/>
        </w:rPr>
        <w:t xml:space="preserve">de información de ayuntamientos y </w:t>
      </w:r>
      <w:r w:rsidRPr="00BB231B">
        <w:rPr>
          <w:rFonts w:ascii="Times New Roman" w:eastAsia="Gill Sans MT" w:hAnsi="Times New Roman" w:cs="Times New Roman"/>
          <w:color w:val="auto"/>
          <w:sz w:val="24"/>
          <w:szCs w:val="24"/>
          <w:lang w:val="es-DO"/>
        </w:rPr>
        <w:t>juntas de nuevo ingreso de las cuales se han realizado 34,</w:t>
      </w:r>
      <w:r w:rsidR="00994F54" w:rsidRPr="00BB231B">
        <w:rPr>
          <w:rFonts w:ascii="Times New Roman" w:eastAsia="Gill Sans MT" w:hAnsi="Times New Roman" w:cs="Times New Roman"/>
          <w:color w:val="auto"/>
          <w:sz w:val="24"/>
          <w:szCs w:val="24"/>
          <w:lang w:val="es-DO"/>
        </w:rPr>
        <w:t xml:space="preserve"> lo que</w:t>
      </w:r>
      <w:r w:rsidRPr="00BB231B">
        <w:rPr>
          <w:rFonts w:ascii="Times New Roman" w:eastAsia="Gill Sans MT" w:hAnsi="Times New Roman" w:cs="Times New Roman"/>
          <w:color w:val="auto"/>
          <w:sz w:val="24"/>
          <w:szCs w:val="24"/>
          <w:lang w:val="es-DO"/>
        </w:rPr>
        <w:t xml:space="preserve"> representan un</w:t>
      </w:r>
      <w:r w:rsidR="00994F54" w:rsidRPr="00BB231B">
        <w:rPr>
          <w:rFonts w:ascii="Times New Roman" w:eastAsia="Gill Sans MT" w:hAnsi="Times New Roman" w:cs="Times New Roman"/>
          <w:color w:val="auto"/>
          <w:sz w:val="24"/>
          <w:szCs w:val="24"/>
          <w:lang w:val="es-DO"/>
        </w:rPr>
        <w:t xml:space="preserve"> alcance </w:t>
      </w:r>
      <w:r w:rsidR="00720687" w:rsidRPr="00BB231B">
        <w:rPr>
          <w:rFonts w:ascii="Times New Roman" w:eastAsia="Gill Sans MT" w:hAnsi="Times New Roman" w:cs="Times New Roman"/>
          <w:color w:val="auto"/>
          <w:sz w:val="24"/>
          <w:szCs w:val="24"/>
          <w:lang w:val="es-DO"/>
        </w:rPr>
        <w:t>de 97</w:t>
      </w:r>
      <w:r w:rsidRPr="00BB231B">
        <w:rPr>
          <w:rFonts w:ascii="Times New Roman" w:eastAsia="Gill Sans MT" w:hAnsi="Times New Roman" w:cs="Times New Roman"/>
          <w:color w:val="auto"/>
          <w:sz w:val="24"/>
          <w:szCs w:val="24"/>
          <w:lang w:val="es-DO"/>
        </w:rPr>
        <w:t xml:space="preserve"> %. </w:t>
      </w:r>
    </w:p>
    <w:p w:rsidR="00EC3D7F" w:rsidRPr="00BB231B" w:rsidRDefault="00EC3D7F" w:rsidP="00EC3D7F">
      <w:pPr>
        <w:spacing w:line="480" w:lineRule="auto"/>
        <w:ind w:right="182" w:firstLine="709"/>
        <w:rPr>
          <w:rFonts w:ascii="Times New Roman" w:eastAsia="Gill Sans MT" w:hAnsi="Times New Roman" w:cs="Times New Roman"/>
          <w:color w:val="auto"/>
          <w:sz w:val="24"/>
          <w:szCs w:val="24"/>
          <w:lang w:val="es-DO"/>
        </w:rPr>
      </w:pPr>
      <w:r w:rsidRPr="00BB231B">
        <w:rPr>
          <w:rFonts w:ascii="Times New Roman" w:eastAsia="Gill Sans MT" w:hAnsi="Times New Roman" w:cs="Times New Roman"/>
          <w:color w:val="auto"/>
          <w:sz w:val="24"/>
          <w:szCs w:val="24"/>
          <w:lang w:val="es-DO"/>
        </w:rPr>
        <w:t xml:space="preserve">Se programaron 3 Talleres regionales para la capacitación de enlaces municipales de los 96 ayuntamientos en el SISMAP municipal, de los cuales realizamos 3, que representan un 100 %. </w:t>
      </w:r>
    </w:p>
    <w:p w:rsidR="002361DE" w:rsidRPr="00BB231B" w:rsidRDefault="00894133" w:rsidP="00215DC7">
      <w:pPr>
        <w:pStyle w:val="Sinespaciado"/>
        <w:spacing w:line="480" w:lineRule="auto"/>
        <w:jc w:val="both"/>
        <w:rPr>
          <w:rFonts w:ascii="Times New Roman" w:hAnsi="Times New Roman" w:cs="Times New Roman"/>
          <w:b/>
          <w:color w:val="auto"/>
          <w:sz w:val="24"/>
        </w:rPr>
      </w:pPr>
      <w:r w:rsidRPr="00BB231B">
        <w:rPr>
          <w:rFonts w:ascii="Times New Roman" w:hAnsi="Times New Roman" w:cs="Times New Roman"/>
          <w:b/>
          <w:color w:val="auto"/>
          <w:sz w:val="24"/>
        </w:rPr>
        <w:t xml:space="preserve">2. </w:t>
      </w:r>
      <w:r w:rsidR="00C579CB" w:rsidRPr="00BB231B">
        <w:rPr>
          <w:rFonts w:ascii="Times New Roman" w:hAnsi="Times New Roman" w:cs="Times New Roman"/>
          <w:b/>
          <w:color w:val="auto"/>
          <w:sz w:val="24"/>
        </w:rPr>
        <w:t>Acciones de Fortalecimiento en Planeación Estratégica y Auditoría Gubernamental.</w:t>
      </w:r>
    </w:p>
    <w:p w:rsidR="00852D76" w:rsidRPr="00BB231B" w:rsidRDefault="00852D76" w:rsidP="00852D76">
      <w:pPr>
        <w:pStyle w:val="Sinespaciado"/>
        <w:spacing w:line="480" w:lineRule="auto"/>
        <w:ind w:firstLine="709"/>
        <w:jc w:val="both"/>
        <w:rPr>
          <w:rFonts w:ascii="Times New Roman" w:hAnsi="Times New Roman" w:cs="Times New Roman"/>
          <w:b/>
          <w:color w:val="auto"/>
          <w:sz w:val="24"/>
          <w:szCs w:val="24"/>
        </w:rPr>
      </w:pPr>
      <w:r w:rsidRPr="00BB231B">
        <w:rPr>
          <w:rFonts w:ascii="Times New Roman" w:hAnsi="Times New Roman" w:cs="Times New Roman"/>
          <w:color w:val="auto"/>
          <w:sz w:val="24"/>
          <w:szCs w:val="24"/>
        </w:rPr>
        <w:lastRenderedPageBreak/>
        <w:t>En</w:t>
      </w:r>
      <w:r w:rsidR="002361DE" w:rsidRPr="00BB231B">
        <w:rPr>
          <w:rFonts w:ascii="Times New Roman" w:hAnsi="Times New Roman" w:cs="Times New Roman"/>
          <w:color w:val="auto"/>
          <w:sz w:val="24"/>
          <w:szCs w:val="24"/>
        </w:rPr>
        <w:t xml:space="preserve"> Marzo de 2017 la Contraloría General de la República (CGR) suscribió el Contrato IN-CGR-2017-01131 para la prestación de servicios profesionales de asistencia técnica internacional con el objetivo de preparar las potenciales acciones generales, para la actualización de sus Planes Estratégico</w:t>
      </w:r>
      <w:r w:rsidR="00DF550A" w:rsidRPr="00BB231B">
        <w:rPr>
          <w:rFonts w:ascii="Times New Roman" w:hAnsi="Times New Roman" w:cs="Times New Roman"/>
          <w:color w:val="FF0000"/>
          <w:sz w:val="24"/>
          <w:szCs w:val="24"/>
        </w:rPr>
        <w:t>s</w:t>
      </w:r>
      <w:r w:rsidR="002361DE" w:rsidRPr="00BB231B">
        <w:rPr>
          <w:rFonts w:ascii="Times New Roman" w:hAnsi="Times New Roman" w:cs="Times New Roman"/>
          <w:color w:val="auto"/>
          <w:sz w:val="24"/>
          <w:szCs w:val="24"/>
        </w:rPr>
        <w:t xml:space="preserve"> y Operativo</w:t>
      </w:r>
      <w:r w:rsidR="00DF550A" w:rsidRPr="00BB231B">
        <w:rPr>
          <w:rFonts w:ascii="Times New Roman" w:hAnsi="Times New Roman" w:cs="Times New Roman"/>
          <w:color w:val="FF0000"/>
          <w:sz w:val="24"/>
          <w:szCs w:val="24"/>
        </w:rPr>
        <w:t>s</w:t>
      </w:r>
      <w:r w:rsidR="002361DE" w:rsidRPr="00BB231B">
        <w:rPr>
          <w:rFonts w:ascii="Times New Roman" w:hAnsi="Times New Roman" w:cs="Times New Roman"/>
          <w:color w:val="auto"/>
          <w:sz w:val="24"/>
          <w:szCs w:val="24"/>
        </w:rPr>
        <w:t xml:space="preserve">, estructurar una Dirección de Auditoría Interna (DAI) sustentada en las mejores prácticas internacionales, así como otras acciones de mejora y/o fortalecimiento institucional que le permitan elevar la calidad y eficiencia de sus intervenciones.  El programa de la consultoría se centra en cinco ejes: (i) Asistencia en la actualización y/o preparación del Plan Estratégico Institucional (PEI) y el Plan Operativo Anual (POA), (ii) </w:t>
      </w:r>
      <w:r w:rsidR="002361DE" w:rsidRPr="00BB231B">
        <w:rPr>
          <w:rFonts w:ascii="Times New Roman" w:eastAsia="Times New Roman" w:hAnsi="Times New Roman" w:cs="Times New Roman"/>
          <w:color w:val="auto"/>
          <w:sz w:val="24"/>
          <w:szCs w:val="24"/>
          <w:lang w:val="es-ES_tradnl" w:eastAsia="es-ES_tradnl"/>
        </w:rPr>
        <w:t>Apoyo en el fortalecimiento del Sistema de Control Interno Gubernamental</w:t>
      </w:r>
      <w:r w:rsidR="002361DE" w:rsidRPr="00BB231B">
        <w:rPr>
          <w:rFonts w:ascii="Times New Roman" w:hAnsi="Times New Roman" w:cs="Times New Roman"/>
          <w:color w:val="auto"/>
          <w:sz w:val="24"/>
          <w:szCs w:val="24"/>
        </w:rPr>
        <w:t xml:space="preserve">, (iii) Estructura y Organización de la DAI, (iv) Asistencia en la puesta en funcionamiento u operación de la DAI, y (v) </w:t>
      </w:r>
      <w:r w:rsidR="002361DE" w:rsidRPr="00BB231B">
        <w:rPr>
          <w:rFonts w:ascii="Times New Roman" w:eastAsia="Times New Roman" w:hAnsi="Times New Roman" w:cs="Times New Roman"/>
          <w:color w:val="auto"/>
          <w:sz w:val="24"/>
          <w:szCs w:val="24"/>
          <w:lang w:val="es-ES_tradnl" w:eastAsia="es-ES_tradnl"/>
        </w:rPr>
        <w:t>Fortalecimiento del Marco Reglamentario.</w:t>
      </w:r>
    </w:p>
    <w:p w:rsidR="002361DE" w:rsidRPr="00BB231B" w:rsidRDefault="002361DE" w:rsidP="00720687">
      <w:pPr>
        <w:pStyle w:val="Sinespaciado"/>
        <w:spacing w:line="480" w:lineRule="auto"/>
        <w:ind w:firstLine="709"/>
        <w:jc w:val="both"/>
        <w:rPr>
          <w:rFonts w:ascii="Times New Roman" w:hAnsi="Times New Roman" w:cs="Times New Roman"/>
          <w:b/>
          <w:color w:val="auto"/>
          <w:sz w:val="24"/>
          <w:szCs w:val="24"/>
        </w:rPr>
      </w:pPr>
      <w:r w:rsidRPr="00BB231B">
        <w:rPr>
          <w:rFonts w:ascii="Times New Roman" w:hAnsi="Times New Roman" w:cs="Times New Roman"/>
          <w:b/>
          <w:color w:val="auto"/>
          <w:sz w:val="24"/>
          <w:szCs w:val="24"/>
        </w:rPr>
        <w:t>A  continuación se citan los logros alcanzados como parte de esta Asistencia Técnica:</w:t>
      </w:r>
    </w:p>
    <w:p w:rsidR="002361DE" w:rsidRPr="00BB231B" w:rsidRDefault="0047694A"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Elaboración y </w:t>
      </w:r>
      <w:r w:rsidR="002361DE" w:rsidRPr="00BB231B">
        <w:rPr>
          <w:rFonts w:ascii="Times New Roman" w:hAnsi="Times New Roman" w:cs="Times New Roman"/>
          <w:color w:val="auto"/>
          <w:sz w:val="24"/>
          <w:szCs w:val="24"/>
        </w:rPr>
        <w:t>Publicación del Plan Estratégico Institucional (PEI) 2017 – 2020 de la CGR</w:t>
      </w:r>
      <w:r w:rsidRPr="00BB231B">
        <w:rPr>
          <w:rFonts w:ascii="Times New Roman" w:hAnsi="Times New Roman" w:cs="Times New Roman"/>
          <w:color w:val="auto"/>
          <w:sz w:val="24"/>
          <w:szCs w:val="24"/>
        </w:rPr>
        <w:t>.</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Diseño e implementación del Plan Operativo Anual (POA) 2017</w:t>
      </w:r>
      <w:r w:rsidR="0047694A" w:rsidRPr="00BB231B">
        <w:rPr>
          <w:rFonts w:ascii="Times New Roman" w:hAnsi="Times New Roman" w:cs="Times New Roman"/>
          <w:color w:val="auto"/>
          <w:sz w:val="24"/>
          <w:szCs w:val="24"/>
        </w:rPr>
        <w:t>.</w:t>
      </w:r>
    </w:p>
    <w:p w:rsidR="00720687" w:rsidRDefault="002361DE" w:rsidP="005E5142">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720687">
        <w:rPr>
          <w:rFonts w:ascii="Times New Roman" w:hAnsi="Times New Roman" w:cs="Times New Roman"/>
          <w:color w:val="auto"/>
          <w:sz w:val="24"/>
          <w:szCs w:val="24"/>
        </w:rPr>
        <w:t>Diseño e implementación de Indicadores para el Monitore</w:t>
      </w:r>
      <w:r w:rsidR="0047694A" w:rsidRPr="00720687">
        <w:rPr>
          <w:rFonts w:ascii="Times New Roman" w:hAnsi="Times New Roman" w:cs="Times New Roman"/>
          <w:color w:val="auto"/>
          <w:sz w:val="24"/>
          <w:szCs w:val="24"/>
        </w:rPr>
        <w:t>o y Evaluación del PEI y el POA.</w:t>
      </w:r>
    </w:p>
    <w:p w:rsidR="002361DE" w:rsidRPr="00720687" w:rsidRDefault="002361DE" w:rsidP="005E5142">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720687">
        <w:rPr>
          <w:rFonts w:ascii="Times New Roman" w:hAnsi="Times New Roman" w:cs="Times New Roman"/>
          <w:color w:val="auto"/>
          <w:sz w:val="24"/>
          <w:szCs w:val="24"/>
        </w:rPr>
        <w:lastRenderedPageBreak/>
        <w:t>Inducción a más de 1000 servidores públicos sobre  las Normas Básica</w:t>
      </w:r>
      <w:r w:rsidR="0047694A" w:rsidRPr="00720687">
        <w:rPr>
          <w:rFonts w:ascii="Times New Roman" w:hAnsi="Times New Roman" w:cs="Times New Roman"/>
          <w:color w:val="auto"/>
          <w:sz w:val="24"/>
          <w:szCs w:val="24"/>
        </w:rPr>
        <w:t xml:space="preserve">s de </w:t>
      </w:r>
      <w:r w:rsidRPr="00720687">
        <w:rPr>
          <w:rFonts w:ascii="Times New Roman" w:hAnsi="Times New Roman" w:cs="Times New Roman"/>
          <w:color w:val="auto"/>
          <w:sz w:val="24"/>
          <w:szCs w:val="24"/>
        </w:rPr>
        <w:t>Control Interno (NOBACI) con énfasis en el desarrollo de habilidades para aplicar la NOBACI 2 Valoración y Administración de Riesgos</w:t>
      </w:r>
      <w:r w:rsidR="00505687" w:rsidRPr="00720687">
        <w:rPr>
          <w:rFonts w:ascii="Times New Roman" w:hAnsi="Times New Roman" w:cs="Times New Roman"/>
          <w:color w:val="auto"/>
          <w:sz w:val="24"/>
          <w:szCs w:val="24"/>
        </w:rPr>
        <w:t>.</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Diseño de la estructura organizacional y los perfiles del personal profesional para la D</w:t>
      </w:r>
      <w:r w:rsidR="00521002" w:rsidRPr="00BB231B">
        <w:rPr>
          <w:rFonts w:ascii="Times New Roman" w:hAnsi="Times New Roman" w:cs="Times New Roman"/>
          <w:color w:val="auto"/>
          <w:sz w:val="24"/>
          <w:szCs w:val="24"/>
        </w:rPr>
        <w:t xml:space="preserve">irección de </w:t>
      </w:r>
      <w:r w:rsidRPr="00BB231B">
        <w:rPr>
          <w:rFonts w:ascii="Times New Roman" w:hAnsi="Times New Roman" w:cs="Times New Roman"/>
          <w:color w:val="auto"/>
          <w:sz w:val="24"/>
          <w:szCs w:val="24"/>
        </w:rPr>
        <w:t>A</w:t>
      </w:r>
      <w:r w:rsidR="00521002" w:rsidRPr="00BB231B">
        <w:rPr>
          <w:rFonts w:ascii="Times New Roman" w:hAnsi="Times New Roman" w:cs="Times New Roman"/>
          <w:color w:val="auto"/>
          <w:sz w:val="24"/>
          <w:szCs w:val="24"/>
        </w:rPr>
        <w:t xml:space="preserve">uditoría </w:t>
      </w:r>
      <w:r w:rsidRPr="00BB231B">
        <w:rPr>
          <w:rFonts w:ascii="Times New Roman" w:hAnsi="Times New Roman" w:cs="Times New Roman"/>
          <w:color w:val="auto"/>
          <w:sz w:val="24"/>
          <w:szCs w:val="24"/>
        </w:rPr>
        <w:t>I</w:t>
      </w:r>
      <w:r w:rsidR="00521002" w:rsidRPr="00BB231B">
        <w:rPr>
          <w:rFonts w:ascii="Times New Roman" w:hAnsi="Times New Roman" w:cs="Times New Roman"/>
          <w:color w:val="auto"/>
          <w:sz w:val="24"/>
          <w:szCs w:val="24"/>
        </w:rPr>
        <w:t>nterna.</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Diseño del Manual de Funciones de la </w:t>
      </w:r>
      <w:r w:rsidR="0047694A" w:rsidRPr="00BB231B">
        <w:rPr>
          <w:rFonts w:ascii="Times New Roman" w:hAnsi="Times New Roman" w:cs="Times New Roman"/>
          <w:color w:val="auto"/>
          <w:sz w:val="24"/>
          <w:szCs w:val="24"/>
        </w:rPr>
        <w:t>Dirección de Auditoría Interna.</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Diseño del Manual de Auditoría Interna Gubernamental (MAIG)</w:t>
      </w:r>
      <w:r w:rsidR="00505687" w:rsidRPr="00BB231B">
        <w:rPr>
          <w:rFonts w:ascii="Times New Roman" w:hAnsi="Times New Roman" w:cs="Times New Roman"/>
          <w:color w:val="auto"/>
          <w:sz w:val="24"/>
          <w:szCs w:val="24"/>
        </w:rPr>
        <w:t>.</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Diseño de la Guía de Auditoría del Control Interno (ACI)</w:t>
      </w:r>
      <w:r w:rsidR="00505687"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Diseño de la Guía de Auditoría Financiera (AFI)</w:t>
      </w:r>
      <w:r w:rsidR="00505687" w:rsidRPr="00BB231B">
        <w:rPr>
          <w:rFonts w:ascii="Times New Roman" w:hAnsi="Times New Roman" w:cs="Times New Roman"/>
          <w:color w:val="auto"/>
          <w:sz w:val="24"/>
          <w:szCs w:val="24"/>
        </w:rPr>
        <w:t>.</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Planeación, evaluación y selección del personal profesional de la D</w:t>
      </w:r>
      <w:r w:rsidR="00521002" w:rsidRPr="00BB231B">
        <w:rPr>
          <w:rFonts w:ascii="Times New Roman" w:hAnsi="Times New Roman" w:cs="Times New Roman"/>
          <w:color w:val="auto"/>
          <w:sz w:val="24"/>
          <w:szCs w:val="24"/>
        </w:rPr>
        <w:t xml:space="preserve">irección de </w:t>
      </w:r>
      <w:r w:rsidRPr="00BB231B">
        <w:rPr>
          <w:rFonts w:ascii="Times New Roman" w:hAnsi="Times New Roman" w:cs="Times New Roman"/>
          <w:color w:val="auto"/>
          <w:sz w:val="24"/>
          <w:szCs w:val="24"/>
        </w:rPr>
        <w:t>A</w:t>
      </w:r>
      <w:r w:rsidR="00521002" w:rsidRPr="00BB231B">
        <w:rPr>
          <w:rFonts w:ascii="Times New Roman" w:hAnsi="Times New Roman" w:cs="Times New Roman"/>
          <w:color w:val="auto"/>
          <w:sz w:val="24"/>
          <w:szCs w:val="24"/>
        </w:rPr>
        <w:t xml:space="preserve">uditoría </w:t>
      </w:r>
      <w:r w:rsidRPr="00BB231B">
        <w:rPr>
          <w:rFonts w:ascii="Times New Roman" w:hAnsi="Times New Roman" w:cs="Times New Roman"/>
          <w:color w:val="auto"/>
          <w:sz w:val="24"/>
          <w:szCs w:val="24"/>
        </w:rPr>
        <w:t>I</w:t>
      </w:r>
      <w:r w:rsidR="00521002" w:rsidRPr="00BB231B">
        <w:rPr>
          <w:rFonts w:ascii="Times New Roman" w:hAnsi="Times New Roman" w:cs="Times New Roman"/>
          <w:color w:val="auto"/>
          <w:sz w:val="24"/>
          <w:szCs w:val="24"/>
        </w:rPr>
        <w:t>nterna.</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Proyecto de Declaración Técnica sobre Autorización de Órdenes de Pago</w:t>
      </w:r>
      <w:r w:rsidR="00521002" w:rsidRPr="00BB231B">
        <w:rPr>
          <w:rFonts w:ascii="Times New Roman" w:hAnsi="Times New Roman" w:cs="Times New Roman"/>
          <w:color w:val="auto"/>
          <w:sz w:val="24"/>
          <w:szCs w:val="24"/>
        </w:rPr>
        <w:t>.</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color w:val="auto"/>
          <w:sz w:val="24"/>
          <w:szCs w:val="24"/>
        </w:rPr>
      </w:pPr>
      <w:r w:rsidRPr="00BB231B">
        <w:rPr>
          <w:rFonts w:ascii="Times New Roman" w:hAnsi="Times New Roman" w:cs="Times New Roman"/>
          <w:color w:val="auto"/>
          <w:sz w:val="24"/>
          <w:szCs w:val="24"/>
        </w:rPr>
        <w:t>Proyecto de Reglamento para el Registro de Contratos de Compras y Adquisiciones de Bienes, Servicios, Obras y Concesiones</w:t>
      </w:r>
      <w:r w:rsidR="00505687" w:rsidRPr="00BB231B">
        <w:rPr>
          <w:rFonts w:ascii="Times New Roman" w:hAnsi="Times New Roman" w:cs="Times New Roman"/>
          <w:color w:val="auto"/>
          <w:sz w:val="24"/>
          <w:szCs w:val="24"/>
        </w:rPr>
        <w:t>.</w:t>
      </w:r>
    </w:p>
    <w:p w:rsidR="002361DE" w:rsidRPr="00BB231B" w:rsidRDefault="002361DE" w:rsidP="0013776D">
      <w:pPr>
        <w:pStyle w:val="Sinespaciado"/>
        <w:numPr>
          <w:ilvl w:val="0"/>
          <w:numId w:val="42"/>
        </w:numPr>
        <w:suppressAutoHyphens w:val="0"/>
        <w:spacing w:line="480" w:lineRule="auto"/>
        <w:jc w:val="both"/>
        <w:rPr>
          <w:rFonts w:ascii="Times New Roman" w:hAnsi="Times New Roman" w:cs="Times New Roman"/>
          <w:sz w:val="24"/>
          <w:szCs w:val="24"/>
        </w:rPr>
      </w:pPr>
      <w:r w:rsidRPr="00BB231B">
        <w:rPr>
          <w:rFonts w:ascii="Times New Roman" w:hAnsi="Times New Roman" w:cs="Times New Roman"/>
          <w:color w:val="auto"/>
          <w:sz w:val="24"/>
          <w:szCs w:val="24"/>
        </w:rPr>
        <w:t xml:space="preserve">Proyecto de Declaración Técnica sobre los Principios del </w:t>
      </w:r>
      <w:r w:rsidR="0047694A" w:rsidRPr="00BB231B">
        <w:rPr>
          <w:rFonts w:ascii="Times New Roman" w:hAnsi="Times New Roman" w:cs="Times New Roman"/>
          <w:color w:val="auto"/>
          <w:sz w:val="24"/>
          <w:szCs w:val="24"/>
        </w:rPr>
        <w:t>Sistema Nacional de Control Interno (</w:t>
      </w:r>
      <w:r w:rsidRPr="00BB231B">
        <w:rPr>
          <w:rFonts w:ascii="Times New Roman" w:hAnsi="Times New Roman" w:cs="Times New Roman"/>
          <w:color w:val="auto"/>
          <w:sz w:val="24"/>
          <w:szCs w:val="24"/>
        </w:rPr>
        <w:t>SINACI</w:t>
      </w:r>
      <w:r w:rsidR="0047694A"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y del proceso de Control Interno</w:t>
      </w:r>
      <w:r w:rsidR="00505687" w:rsidRPr="00BB231B">
        <w:rPr>
          <w:rFonts w:ascii="Times New Roman" w:hAnsi="Times New Roman" w:cs="Times New Roman"/>
          <w:color w:val="auto"/>
          <w:sz w:val="24"/>
          <w:szCs w:val="24"/>
        </w:rPr>
        <w:t>.</w:t>
      </w:r>
    </w:p>
    <w:p w:rsidR="00954155" w:rsidRPr="00BB231B" w:rsidRDefault="00954155" w:rsidP="004948FC">
      <w:pPr>
        <w:tabs>
          <w:tab w:val="center" w:pos="5085"/>
          <w:tab w:val="right" w:pos="9810"/>
        </w:tabs>
        <w:spacing w:line="480" w:lineRule="auto"/>
        <w:rPr>
          <w:rFonts w:ascii="Times New Roman" w:hAnsi="Times New Roman" w:cs="Times New Roman"/>
          <w:b/>
          <w:color w:val="auto"/>
          <w:sz w:val="30"/>
          <w:szCs w:val="36"/>
        </w:rPr>
      </w:pPr>
      <w:r w:rsidRPr="00BB231B">
        <w:rPr>
          <w:rFonts w:ascii="Times New Roman" w:hAnsi="Times New Roman" w:cs="Times New Roman"/>
          <w:b/>
          <w:color w:val="auto"/>
          <w:sz w:val="28"/>
          <w:szCs w:val="36"/>
        </w:rPr>
        <w:t xml:space="preserve">Investigaciones Especiales </w:t>
      </w:r>
      <w:r w:rsidR="004B2B7C" w:rsidRPr="00BB231B">
        <w:rPr>
          <w:rFonts w:ascii="Times New Roman" w:hAnsi="Times New Roman" w:cs="Times New Roman"/>
          <w:b/>
          <w:color w:val="auto"/>
          <w:sz w:val="28"/>
          <w:szCs w:val="36"/>
        </w:rPr>
        <w:t xml:space="preserve"> Realizadas en el </w:t>
      </w:r>
      <w:r w:rsidRPr="00BB231B">
        <w:rPr>
          <w:rFonts w:ascii="Times New Roman" w:hAnsi="Times New Roman" w:cs="Times New Roman"/>
          <w:b/>
          <w:color w:val="auto"/>
          <w:sz w:val="28"/>
          <w:szCs w:val="36"/>
        </w:rPr>
        <w:t>2017</w:t>
      </w:r>
      <w:r w:rsidRPr="00BB231B">
        <w:rPr>
          <w:rFonts w:ascii="Times New Roman" w:hAnsi="Times New Roman" w:cs="Times New Roman"/>
          <w:b/>
          <w:color w:val="auto"/>
          <w:sz w:val="30"/>
          <w:szCs w:val="36"/>
        </w:rPr>
        <w:tab/>
      </w:r>
    </w:p>
    <w:p w:rsidR="00954155" w:rsidRPr="00BB231B" w:rsidRDefault="00156A03" w:rsidP="008366A9">
      <w:pPr>
        <w:widowControl w:val="0"/>
        <w:suppressAutoHyphens w:val="0"/>
        <w:overflowPunct w:val="0"/>
        <w:adjustRightInd w:val="0"/>
        <w:spacing w:before="0" w:after="0"/>
        <w:rPr>
          <w:rFonts w:ascii="Times New Roman" w:hAnsi="Times New Roman" w:cs="Times New Roman"/>
          <w:lang w:val="es-MX"/>
        </w:rPr>
      </w:pPr>
      <w:r w:rsidRPr="00BB231B">
        <w:rPr>
          <w:rFonts w:ascii="Times New Roman" w:hAnsi="Times New Roman" w:cs="Times New Roman"/>
          <w:b/>
          <w:color w:val="auto"/>
          <w:lang w:val="es-MX"/>
        </w:rPr>
        <w:t xml:space="preserve">1. </w:t>
      </w:r>
      <w:r w:rsidR="00954155" w:rsidRPr="00BB231B">
        <w:rPr>
          <w:rFonts w:ascii="Times New Roman" w:hAnsi="Times New Roman" w:cs="Times New Roman"/>
          <w:b/>
          <w:color w:val="auto"/>
          <w:lang w:val="es-MX"/>
        </w:rPr>
        <w:t>I</w:t>
      </w:r>
      <w:r w:rsidR="00954155" w:rsidRPr="00BB231B">
        <w:rPr>
          <w:rFonts w:ascii="Times New Roman" w:hAnsi="Times New Roman" w:cs="Times New Roman"/>
          <w:b/>
          <w:color w:val="auto"/>
          <w:sz w:val="20"/>
          <w:szCs w:val="20"/>
          <w:lang w:val="es-MX"/>
        </w:rPr>
        <w:t>NVENTARIO DE LOS TERRENOS QUE ESTÉN A NOMBRE DE LOS INGENIOS AZUCAREROS PROPIEDAD DEL CONSEJO DEL ESTATAL DEL AZÚCAR, QUE SE HAYAN REALIZADO EN EL PERIODO 2000-2016</w:t>
      </w:r>
      <w:r w:rsidR="00954155" w:rsidRPr="00BB231B">
        <w:rPr>
          <w:rFonts w:ascii="Times New Roman" w:hAnsi="Times New Roman" w:cs="Times New Roman"/>
          <w:lang w:val="es-MX"/>
        </w:rPr>
        <w:t xml:space="preserve">.       </w:t>
      </w:r>
    </w:p>
    <w:p w:rsidR="00954155" w:rsidRPr="00BB231B" w:rsidRDefault="00954155" w:rsidP="00852D76">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 xml:space="preserve">El Decreto No.268-16, artículo No.8, instruye a la Contraloría General de la República a auditar el inventario de los terrenos que estén a nombre de los ingenios azucareros propiedad del Consejo Estatal de Azúcar, así como las </w:t>
      </w:r>
      <w:r w:rsidRPr="00BB231B">
        <w:rPr>
          <w:rFonts w:ascii="Times New Roman" w:hAnsi="Times New Roman" w:cs="Times New Roman"/>
          <w:color w:val="auto"/>
          <w:sz w:val="24"/>
        </w:rPr>
        <w:lastRenderedPageBreak/>
        <w:t>asignaciones, cesiones en usufructo, arrendamientos, permutas, donaciones y ventas temporales o definitivas según corresponda, que se hayan realizado en el periodo 2000-2016.</w:t>
      </w:r>
    </w:p>
    <w:p w:rsidR="00954155" w:rsidRPr="00BB231B" w:rsidRDefault="009D4840" w:rsidP="00852D76">
      <w:pPr>
        <w:spacing w:line="480" w:lineRule="auto"/>
        <w:ind w:firstLine="709"/>
        <w:rPr>
          <w:rFonts w:ascii="Times New Roman" w:hAnsi="Times New Roman" w:cs="Times New Roman"/>
          <w:color w:val="auto"/>
          <w:sz w:val="24"/>
        </w:rPr>
      </w:pPr>
      <w:r w:rsidRPr="00BB231B">
        <w:rPr>
          <w:rFonts w:ascii="Times New Roman" w:hAnsi="Times New Roman" w:cs="Times New Roman"/>
          <w:color w:val="auto"/>
          <w:sz w:val="24"/>
        </w:rPr>
        <w:t xml:space="preserve">A la fecha se han completado </w:t>
      </w:r>
      <w:r w:rsidR="00EF3674" w:rsidRPr="00BB231B">
        <w:rPr>
          <w:rFonts w:ascii="Times New Roman" w:hAnsi="Times New Roman" w:cs="Times New Roman"/>
          <w:color w:val="auto"/>
          <w:sz w:val="24"/>
        </w:rPr>
        <w:t>28,047</w:t>
      </w:r>
      <w:r w:rsidR="00954155" w:rsidRPr="00BB231B">
        <w:rPr>
          <w:rFonts w:ascii="Times New Roman" w:hAnsi="Times New Roman" w:cs="Times New Roman"/>
          <w:color w:val="auto"/>
          <w:sz w:val="24"/>
        </w:rPr>
        <w:t xml:space="preserve"> expedientes auditados correspondientes a la modalidad de Ventas de los ingenios Río Haina, Amistad, Porvenir, Monte Llano, </w:t>
      </w:r>
      <w:proofErr w:type="spellStart"/>
      <w:r w:rsidR="00954155" w:rsidRPr="00BB231B">
        <w:rPr>
          <w:rFonts w:ascii="Times New Roman" w:hAnsi="Times New Roman" w:cs="Times New Roman"/>
          <w:color w:val="auto"/>
          <w:sz w:val="24"/>
        </w:rPr>
        <w:t>Quisqueya</w:t>
      </w:r>
      <w:proofErr w:type="spellEnd"/>
      <w:r w:rsidR="00954155" w:rsidRPr="00BB231B">
        <w:rPr>
          <w:rFonts w:ascii="Times New Roman" w:hAnsi="Times New Roman" w:cs="Times New Roman"/>
          <w:color w:val="auto"/>
          <w:sz w:val="24"/>
        </w:rPr>
        <w:t xml:space="preserve">, Santa Fe, </w:t>
      </w:r>
      <w:proofErr w:type="spellStart"/>
      <w:r w:rsidR="00954155" w:rsidRPr="00BB231B">
        <w:rPr>
          <w:rFonts w:ascii="Times New Roman" w:hAnsi="Times New Roman" w:cs="Times New Roman"/>
          <w:color w:val="auto"/>
          <w:sz w:val="24"/>
        </w:rPr>
        <w:t>Catarey</w:t>
      </w:r>
      <w:proofErr w:type="spellEnd"/>
      <w:r w:rsidR="00954155" w:rsidRPr="00BB231B">
        <w:rPr>
          <w:rFonts w:ascii="Times New Roman" w:hAnsi="Times New Roman" w:cs="Times New Roman"/>
          <w:color w:val="auto"/>
          <w:sz w:val="24"/>
        </w:rPr>
        <w:t xml:space="preserve">, Boca Chica, Consuelo, Barahona, Esperanza y Ozama, los mismos fueron son suministrados por el CEA y analizados y cargados a la matriz de registro de </w:t>
      </w:r>
      <w:r w:rsidR="00734AD0" w:rsidRPr="00BB231B">
        <w:rPr>
          <w:rFonts w:ascii="Times New Roman" w:hAnsi="Times New Roman" w:cs="Times New Roman"/>
          <w:color w:val="auto"/>
          <w:sz w:val="24"/>
        </w:rPr>
        <w:t>expedientes</w:t>
      </w:r>
      <w:r w:rsidR="00954155" w:rsidRPr="00BB231B">
        <w:rPr>
          <w:rFonts w:ascii="Times New Roman" w:hAnsi="Times New Roman" w:cs="Times New Roman"/>
          <w:color w:val="auto"/>
          <w:sz w:val="24"/>
        </w:rPr>
        <w:t xml:space="preserve"> por la Comisión Evaluadora de los Terrenos pertenecientes a los ingenios propiedad del CEA.</w:t>
      </w:r>
    </w:p>
    <w:p w:rsidR="00954155" w:rsidRPr="00BB231B" w:rsidRDefault="00954155" w:rsidP="00720687">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t>Las observaciones realizadas en la auditoría técnica responden a los aspectos técnicos que comprende el Programa general de auditoría y se basa principalmente en:</w:t>
      </w:r>
    </w:p>
    <w:p w:rsidR="00954155" w:rsidRPr="00BB231B" w:rsidRDefault="00954155" w:rsidP="0013776D">
      <w:pPr>
        <w:pStyle w:val="Prrafodelista"/>
        <w:numPr>
          <w:ilvl w:val="0"/>
          <w:numId w:val="38"/>
        </w:numPr>
        <w:suppressAutoHyphens w:val="0"/>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Verificación de la documentación técnica necesaria para  un expediente de ventas</w:t>
      </w:r>
      <w:r w:rsidR="00C227F1" w:rsidRPr="00BB231B">
        <w:rPr>
          <w:rFonts w:ascii="Times New Roman" w:hAnsi="Times New Roman" w:cs="Times New Roman"/>
          <w:color w:val="auto"/>
          <w:sz w:val="24"/>
          <w:szCs w:val="24"/>
        </w:rPr>
        <w:t>.</w:t>
      </w:r>
    </w:p>
    <w:p w:rsidR="00954155" w:rsidRPr="00BB231B" w:rsidRDefault="00954155" w:rsidP="0013776D">
      <w:pPr>
        <w:pStyle w:val="Prrafodelista"/>
        <w:numPr>
          <w:ilvl w:val="0"/>
          <w:numId w:val="38"/>
        </w:numPr>
        <w:suppressAutoHyphens w:val="0"/>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Aplicación de pruebas de cumplimientos técnicos con pruebas sustantivas.</w:t>
      </w:r>
    </w:p>
    <w:p w:rsidR="00954155" w:rsidRPr="00BB231B" w:rsidRDefault="00335D55" w:rsidP="00720687">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Para </w:t>
      </w:r>
      <w:r w:rsidR="00C227F1" w:rsidRPr="00BB231B">
        <w:rPr>
          <w:rFonts w:ascii="Times New Roman" w:hAnsi="Times New Roman" w:cs="Times New Roman"/>
          <w:color w:val="auto"/>
          <w:sz w:val="24"/>
          <w:szCs w:val="24"/>
        </w:rPr>
        <w:t>aplicar dicha auditorí</w:t>
      </w:r>
      <w:r w:rsidR="00954155" w:rsidRPr="00BB231B">
        <w:rPr>
          <w:rFonts w:ascii="Times New Roman" w:hAnsi="Times New Roman" w:cs="Times New Roman"/>
          <w:color w:val="auto"/>
          <w:sz w:val="24"/>
          <w:szCs w:val="24"/>
        </w:rPr>
        <w:t>a</w:t>
      </w:r>
      <w:r w:rsidRPr="00BB231B">
        <w:rPr>
          <w:rFonts w:ascii="Times New Roman" w:hAnsi="Times New Roman" w:cs="Times New Roman"/>
          <w:color w:val="auto"/>
          <w:sz w:val="24"/>
          <w:szCs w:val="24"/>
        </w:rPr>
        <w:t xml:space="preserve"> se consideran 5 documentos bases</w:t>
      </w:r>
      <w:r w:rsidR="00954155" w:rsidRPr="00BB231B">
        <w:rPr>
          <w:rFonts w:ascii="Times New Roman" w:hAnsi="Times New Roman" w:cs="Times New Roman"/>
          <w:color w:val="auto"/>
          <w:sz w:val="24"/>
          <w:szCs w:val="24"/>
        </w:rPr>
        <w:t xml:space="preserve">, y que </w:t>
      </w:r>
      <w:r w:rsidRPr="00BB231B">
        <w:rPr>
          <w:rFonts w:ascii="Times New Roman" w:hAnsi="Times New Roman" w:cs="Times New Roman"/>
          <w:color w:val="auto"/>
          <w:sz w:val="24"/>
          <w:szCs w:val="24"/>
        </w:rPr>
        <w:t>son</w:t>
      </w:r>
      <w:r w:rsidR="00954155" w:rsidRPr="00BB231B">
        <w:rPr>
          <w:rFonts w:ascii="Times New Roman" w:hAnsi="Times New Roman" w:cs="Times New Roman"/>
          <w:color w:val="auto"/>
          <w:sz w:val="24"/>
          <w:szCs w:val="24"/>
        </w:rPr>
        <w:t xml:space="preserve"> de suma importancia para dar respuesta al </w:t>
      </w:r>
      <w:r w:rsidRPr="00BB231B">
        <w:rPr>
          <w:rFonts w:ascii="Times New Roman" w:hAnsi="Times New Roman" w:cs="Times New Roman"/>
          <w:color w:val="auto"/>
          <w:sz w:val="24"/>
          <w:szCs w:val="24"/>
        </w:rPr>
        <w:t xml:space="preserve">cumplimiento del Decreto 268-16. </w:t>
      </w:r>
      <w:r w:rsidR="00954155" w:rsidRPr="00BB231B">
        <w:rPr>
          <w:rFonts w:ascii="Times New Roman" w:hAnsi="Times New Roman" w:cs="Times New Roman"/>
          <w:color w:val="auto"/>
          <w:sz w:val="24"/>
          <w:szCs w:val="24"/>
        </w:rPr>
        <w:t>La matriz técnica y las pruebas aplicadas a la documentación mostrada en los expedientes de los diferentes ingenios que componen el CEA incluyen principalmente los siguientes documentos:</w:t>
      </w:r>
    </w:p>
    <w:p w:rsidR="00954155" w:rsidRPr="00BB231B" w:rsidRDefault="00954155" w:rsidP="0013776D">
      <w:pPr>
        <w:pStyle w:val="Prrafodelista"/>
        <w:numPr>
          <w:ilvl w:val="0"/>
          <w:numId w:val="39"/>
        </w:numPr>
        <w:suppressAutoHyphens w:val="0"/>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Estado</w:t>
      </w:r>
      <w:r w:rsidR="009A4E56" w:rsidRPr="00BB231B">
        <w:rPr>
          <w:rFonts w:ascii="Times New Roman" w:hAnsi="Times New Roman" w:cs="Times New Roman"/>
          <w:color w:val="auto"/>
          <w:sz w:val="24"/>
          <w:szCs w:val="24"/>
        </w:rPr>
        <w:t>s</w:t>
      </w:r>
      <w:r w:rsidRPr="00BB231B">
        <w:rPr>
          <w:rFonts w:ascii="Times New Roman" w:hAnsi="Times New Roman" w:cs="Times New Roman"/>
          <w:color w:val="auto"/>
          <w:sz w:val="24"/>
          <w:szCs w:val="24"/>
        </w:rPr>
        <w:t xml:space="preserve"> Financiero</w:t>
      </w:r>
      <w:r w:rsidR="009A4E56" w:rsidRPr="00BB231B">
        <w:rPr>
          <w:rFonts w:ascii="Times New Roman" w:hAnsi="Times New Roman" w:cs="Times New Roman"/>
          <w:color w:val="auto"/>
          <w:sz w:val="24"/>
          <w:szCs w:val="24"/>
        </w:rPr>
        <w:t>s</w:t>
      </w:r>
    </w:p>
    <w:p w:rsidR="00954155" w:rsidRPr="00BB231B" w:rsidRDefault="00954155" w:rsidP="0013776D">
      <w:pPr>
        <w:pStyle w:val="Prrafodelista"/>
        <w:numPr>
          <w:ilvl w:val="0"/>
          <w:numId w:val="39"/>
        </w:numPr>
        <w:suppressAutoHyphens w:val="0"/>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Planos Catastrales</w:t>
      </w:r>
    </w:p>
    <w:p w:rsidR="00954155" w:rsidRPr="00BB231B" w:rsidRDefault="00954155" w:rsidP="0013776D">
      <w:pPr>
        <w:pStyle w:val="Prrafodelista"/>
        <w:numPr>
          <w:ilvl w:val="0"/>
          <w:numId w:val="39"/>
        </w:numPr>
        <w:suppressAutoHyphens w:val="0"/>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Tasación P</w:t>
      </w:r>
      <w:r w:rsidR="009A4E56" w:rsidRPr="00BB231B">
        <w:rPr>
          <w:rFonts w:ascii="Times New Roman" w:hAnsi="Times New Roman" w:cs="Times New Roman"/>
          <w:color w:val="auto"/>
          <w:sz w:val="24"/>
          <w:szCs w:val="24"/>
        </w:rPr>
        <w:t>ú</w:t>
      </w:r>
      <w:r w:rsidRPr="00BB231B">
        <w:rPr>
          <w:rFonts w:ascii="Times New Roman" w:hAnsi="Times New Roman" w:cs="Times New Roman"/>
          <w:color w:val="auto"/>
          <w:sz w:val="24"/>
          <w:szCs w:val="24"/>
        </w:rPr>
        <w:t>blica emitida por la Dirección General de Catastro</w:t>
      </w:r>
    </w:p>
    <w:p w:rsidR="004D2328" w:rsidRDefault="00954155" w:rsidP="00F91AB8">
      <w:pPr>
        <w:pStyle w:val="Prrafodelista"/>
        <w:numPr>
          <w:ilvl w:val="0"/>
          <w:numId w:val="39"/>
        </w:numPr>
        <w:suppressAutoHyphens w:val="0"/>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Tasación Privada</w:t>
      </w:r>
    </w:p>
    <w:p w:rsidR="001C6324" w:rsidRDefault="001C6324" w:rsidP="00F91AB8">
      <w:pPr>
        <w:pStyle w:val="Prrafodelista"/>
        <w:numPr>
          <w:ilvl w:val="0"/>
          <w:numId w:val="39"/>
        </w:numPr>
        <w:suppressAutoHyphens w:val="0"/>
        <w:spacing w:before="0"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Resolución de venta</w:t>
      </w:r>
    </w:p>
    <w:tbl>
      <w:tblPr>
        <w:tblStyle w:val="Tabladecuadrcula4-nfasis12"/>
        <w:tblpPr w:leftFromText="141" w:rightFromText="141" w:vertAnchor="text" w:horzAnchor="margin" w:tblpY="487"/>
        <w:tblW w:w="0" w:type="auto"/>
        <w:tblLook w:val="04A0" w:firstRow="1" w:lastRow="0" w:firstColumn="1" w:lastColumn="0" w:noHBand="0" w:noVBand="1"/>
      </w:tblPr>
      <w:tblGrid>
        <w:gridCol w:w="3030"/>
        <w:gridCol w:w="3953"/>
      </w:tblGrid>
      <w:tr w:rsidR="00720687" w:rsidRPr="00BB231B" w:rsidTr="0072068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color w:val="FFFFFF" w:themeColor="background1"/>
                <w:sz w:val="24"/>
                <w:szCs w:val="24"/>
                <w:lang w:val="es-ES"/>
              </w:rPr>
            </w:pPr>
            <w:r w:rsidRPr="00BB231B">
              <w:rPr>
                <w:rFonts w:ascii="Times New Roman" w:hAnsi="Times New Roman"/>
                <w:color w:val="FFFFFF" w:themeColor="background1"/>
                <w:sz w:val="24"/>
                <w:szCs w:val="24"/>
                <w:lang w:val="es-ES"/>
              </w:rPr>
              <w:t>INGENIO</w:t>
            </w:r>
          </w:p>
        </w:tc>
        <w:tc>
          <w:tcPr>
            <w:tcW w:w="3953" w:type="dxa"/>
          </w:tcPr>
          <w:p w:rsidR="00720687" w:rsidRPr="00BB231B" w:rsidRDefault="00720687" w:rsidP="0072068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4"/>
                <w:szCs w:val="24"/>
                <w:lang w:val="es-ES"/>
              </w:rPr>
            </w:pPr>
            <w:r w:rsidRPr="00BB231B">
              <w:rPr>
                <w:rFonts w:ascii="Times New Roman" w:hAnsi="Times New Roman"/>
                <w:color w:val="FFFFFF" w:themeColor="background1"/>
                <w:sz w:val="24"/>
                <w:szCs w:val="24"/>
                <w:lang w:val="es-ES"/>
              </w:rPr>
              <w:t>EXPEDIENTES ANALIZADOS</w:t>
            </w:r>
          </w:p>
        </w:tc>
      </w:tr>
      <w:tr w:rsidR="00720687" w:rsidRPr="00BB231B" w:rsidTr="007206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Río Haina</w:t>
            </w:r>
          </w:p>
        </w:tc>
        <w:tc>
          <w:tcPr>
            <w:tcW w:w="3953" w:type="dxa"/>
          </w:tcPr>
          <w:p w:rsidR="00720687" w:rsidRPr="00BB231B" w:rsidRDefault="00720687" w:rsidP="0072068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13261</w:t>
            </w:r>
          </w:p>
        </w:tc>
      </w:tr>
      <w:tr w:rsidR="00720687" w:rsidRPr="00BB231B" w:rsidTr="00720687">
        <w:trPr>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Ozama</w:t>
            </w:r>
          </w:p>
        </w:tc>
        <w:tc>
          <w:tcPr>
            <w:tcW w:w="3953" w:type="dxa"/>
          </w:tcPr>
          <w:p w:rsidR="00720687" w:rsidRPr="00BB231B" w:rsidRDefault="00720687" w:rsidP="0072068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8501</w:t>
            </w:r>
          </w:p>
        </w:tc>
      </w:tr>
      <w:tr w:rsidR="00720687" w:rsidRPr="00BB231B" w:rsidTr="007206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Porvenir</w:t>
            </w:r>
          </w:p>
        </w:tc>
        <w:tc>
          <w:tcPr>
            <w:tcW w:w="3953" w:type="dxa"/>
          </w:tcPr>
          <w:p w:rsidR="00720687" w:rsidRPr="00BB231B" w:rsidRDefault="00720687" w:rsidP="0072068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650</w:t>
            </w:r>
          </w:p>
        </w:tc>
      </w:tr>
      <w:tr w:rsidR="00720687" w:rsidRPr="00BB231B" w:rsidTr="00720687">
        <w:trPr>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Amistad</w:t>
            </w:r>
          </w:p>
        </w:tc>
        <w:tc>
          <w:tcPr>
            <w:tcW w:w="3953" w:type="dxa"/>
          </w:tcPr>
          <w:p w:rsidR="00720687" w:rsidRPr="00BB231B" w:rsidRDefault="00720687" w:rsidP="0072068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115</w:t>
            </w:r>
          </w:p>
        </w:tc>
      </w:tr>
      <w:tr w:rsidR="00720687" w:rsidRPr="00BB231B" w:rsidTr="007206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Monte Llano</w:t>
            </w:r>
          </w:p>
        </w:tc>
        <w:tc>
          <w:tcPr>
            <w:tcW w:w="3953" w:type="dxa"/>
          </w:tcPr>
          <w:p w:rsidR="00720687" w:rsidRPr="00BB231B" w:rsidRDefault="00720687" w:rsidP="0072068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150</w:t>
            </w:r>
          </w:p>
        </w:tc>
      </w:tr>
      <w:tr w:rsidR="00720687" w:rsidRPr="00BB231B" w:rsidTr="00720687">
        <w:trPr>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proofErr w:type="spellStart"/>
            <w:r w:rsidRPr="00BB231B">
              <w:rPr>
                <w:rFonts w:ascii="Times New Roman" w:hAnsi="Times New Roman"/>
                <w:b w:val="0"/>
                <w:color w:val="auto"/>
                <w:sz w:val="24"/>
                <w:szCs w:val="24"/>
                <w:lang w:val="es-ES"/>
              </w:rPr>
              <w:t>Quisqueya</w:t>
            </w:r>
            <w:proofErr w:type="spellEnd"/>
          </w:p>
        </w:tc>
        <w:tc>
          <w:tcPr>
            <w:tcW w:w="3953" w:type="dxa"/>
          </w:tcPr>
          <w:p w:rsidR="00720687" w:rsidRPr="00BB231B" w:rsidRDefault="00720687" w:rsidP="0072068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54</w:t>
            </w:r>
          </w:p>
        </w:tc>
      </w:tr>
      <w:tr w:rsidR="00720687" w:rsidRPr="00BB231B" w:rsidTr="007206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Santa Fe</w:t>
            </w:r>
          </w:p>
        </w:tc>
        <w:tc>
          <w:tcPr>
            <w:tcW w:w="3953" w:type="dxa"/>
          </w:tcPr>
          <w:p w:rsidR="00720687" w:rsidRPr="00BB231B" w:rsidRDefault="00720687" w:rsidP="0072068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672</w:t>
            </w:r>
          </w:p>
        </w:tc>
      </w:tr>
      <w:tr w:rsidR="00720687" w:rsidRPr="00BB231B" w:rsidTr="00720687">
        <w:trPr>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proofErr w:type="spellStart"/>
            <w:r w:rsidRPr="00BB231B">
              <w:rPr>
                <w:rFonts w:ascii="Times New Roman" w:hAnsi="Times New Roman"/>
                <w:b w:val="0"/>
                <w:color w:val="auto"/>
                <w:sz w:val="24"/>
                <w:szCs w:val="24"/>
                <w:lang w:val="es-ES"/>
              </w:rPr>
              <w:t>Catarey</w:t>
            </w:r>
            <w:proofErr w:type="spellEnd"/>
          </w:p>
        </w:tc>
        <w:tc>
          <w:tcPr>
            <w:tcW w:w="3953" w:type="dxa"/>
          </w:tcPr>
          <w:p w:rsidR="00720687" w:rsidRPr="00BB231B" w:rsidRDefault="00720687" w:rsidP="0072068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90</w:t>
            </w:r>
          </w:p>
        </w:tc>
      </w:tr>
      <w:tr w:rsidR="00720687" w:rsidRPr="00BB231B" w:rsidTr="007206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Boca Chica</w:t>
            </w:r>
          </w:p>
        </w:tc>
        <w:tc>
          <w:tcPr>
            <w:tcW w:w="3953" w:type="dxa"/>
          </w:tcPr>
          <w:p w:rsidR="00720687" w:rsidRPr="00BB231B" w:rsidRDefault="00720687" w:rsidP="0072068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3954</w:t>
            </w:r>
          </w:p>
        </w:tc>
      </w:tr>
      <w:tr w:rsidR="00720687" w:rsidRPr="00BB231B" w:rsidTr="00720687">
        <w:trPr>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Consuelo</w:t>
            </w:r>
          </w:p>
        </w:tc>
        <w:tc>
          <w:tcPr>
            <w:tcW w:w="3953" w:type="dxa"/>
          </w:tcPr>
          <w:p w:rsidR="00720687" w:rsidRPr="00BB231B" w:rsidRDefault="00720687" w:rsidP="0072068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450</w:t>
            </w:r>
          </w:p>
        </w:tc>
      </w:tr>
      <w:tr w:rsidR="00720687" w:rsidRPr="00BB231B" w:rsidTr="007206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Barahona</w:t>
            </w:r>
          </w:p>
        </w:tc>
        <w:tc>
          <w:tcPr>
            <w:tcW w:w="3953" w:type="dxa"/>
          </w:tcPr>
          <w:p w:rsidR="00720687" w:rsidRPr="00BB231B" w:rsidRDefault="00720687" w:rsidP="0072068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150</w:t>
            </w:r>
          </w:p>
        </w:tc>
      </w:tr>
      <w:tr w:rsidR="00720687" w:rsidRPr="00BB231B" w:rsidTr="00720687">
        <w:trPr>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Esperanza</w:t>
            </w:r>
          </w:p>
        </w:tc>
        <w:tc>
          <w:tcPr>
            <w:tcW w:w="3953" w:type="dxa"/>
          </w:tcPr>
          <w:p w:rsidR="00720687" w:rsidRPr="00BB231B" w:rsidRDefault="00720687" w:rsidP="0072068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0</w:t>
            </w:r>
          </w:p>
        </w:tc>
      </w:tr>
      <w:tr w:rsidR="00720687" w:rsidRPr="00BB231B" w:rsidTr="0072068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30" w:type="dxa"/>
          </w:tcPr>
          <w:p w:rsidR="00720687" w:rsidRPr="00BB231B" w:rsidRDefault="00720687" w:rsidP="00720687">
            <w:pPr>
              <w:spacing w:line="480" w:lineRule="auto"/>
              <w:jc w:val="center"/>
              <w:rPr>
                <w:rFonts w:ascii="Times New Roman" w:hAnsi="Times New Roman"/>
                <w:b w:val="0"/>
                <w:color w:val="auto"/>
                <w:sz w:val="24"/>
                <w:szCs w:val="24"/>
                <w:lang w:val="es-ES"/>
              </w:rPr>
            </w:pPr>
            <w:r w:rsidRPr="00BB231B">
              <w:rPr>
                <w:rFonts w:ascii="Times New Roman" w:hAnsi="Times New Roman"/>
                <w:b w:val="0"/>
                <w:color w:val="auto"/>
                <w:sz w:val="24"/>
                <w:szCs w:val="24"/>
                <w:lang w:val="es-ES"/>
              </w:rPr>
              <w:t xml:space="preserve">Total </w:t>
            </w:r>
          </w:p>
        </w:tc>
        <w:tc>
          <w:tcPr>
            <w:tcW w:w="3953" w:type="dxa"/>
          </w:tcPr>
          <w:p w:rsidR="00720687" w:rsidRPr="00BB231B" w:rsidRDefault="00720687" w:rsidP="0072068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val="es-ES"/>
              </w:rPr>
            </w:pPr>
            <w:r w:rsidRPr="00BB231B">
              <w:rPr>
                <w:rFonts w:ascii="Times New Roman" w:hAnsi="Times New Roman"/>
                <w:color w:val="auto"/>
                <w:sz w:val="24"/>
                <w:szCs w:val="24"/>
                <w:lang w:val="es-ES"/>
              </w:rPr>
              <w:t>28047</w:t>
            </w:r>
          </w:p>
        </w:tc>
      </w:tr>
    </w:tbl>
    <w:p w:rsidR="00720687" w:rsidRPr="00BB231B" w:rsidRDefault="00720687" w:rsidP="00720687">
      <w:pPr>
        <w:pStyle w:val="Prrafodelista"/>
        <w:suppressAutoHyphens w:val="0"/>
        <w:spacing w:before="0" w:after="0" w:line="480" w:lineRule="auto"/>
        <w:ind w:left="720" w:firstLine="0"/>
        <w:rPr>
          <w:rFonts w:ascii="Times New Roman" w:hAnsi="Times New Roman" w:cs="Times New Roman"/>
          <w:color w:val="auto"/>
          <w:sz w:val="24"/>
          <w:szCs w:val="24"/>
        </w:rPr>
      </w:pPr>
    </w:p>
    <w:p w:rsidR="00EF3674" w:rsidRPr="001C6324" w:rsidRDefault="00B47966" w:rsidP="001C6324">
      <w:pPr>
        <w:suppressAutoHyphens w:val="0"/>
        <w:spacing w:before="0" w:after="0" w:line="480" w:lineRule="auto"/>
        <w:ind w:left="360"/>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132861" w:rsidRPr="00BB231B" w:rsidRDefault="00132861" w:rsidP="004948FC">
      <w:pPr>
        <w:suppressAutoHyphens w:val="0"/>
        <w:spacing w:before="0" w:after="0" w:line="480" w:lineRule="auto"/>
        <w:rPr>
          <w:rFonts w:ascii="Times New Roman" w:hAnsi="Times New Roman" w:cs="Times New Roman"/>
          <w:color w:val="auto"/>
          <w:sz w:val="24"/>
        </w:rPr>
      </w:pPr>
    </w:p>
    <w:p w:rsidR="004D2328" w:rsidRPr="00BB231B" w:rsidRDefault="004D2328" w:rsidP="004948FC">
      <w:pPr>
        <w:suppressAutoHyphens w:val="0"/>
        <w:spacing w:before="0" w:after="0" w:line="480" w:lineRule="auto"/>
        <w:rPr>
          <w:rFonts w:ascii="Times New Roman" w:hAnsi="Times New Roman" w:cs="Times New Roman"/>
          <w:color w:val="auto"/>
          <w:sz w:val="24"/>
        </w:rPr>
      </w:pPr>
    </w:p>
    <w:p w:rsidR="004D2328" w:rsidRPr="00BB231B" w:rsidRDefault="004D2328" w:rsidP="004948FC">
      <w:pPr>
        <w:suppressAutoHyphens w:val="0"/>
        <w:spacing w:before="0" w:after="0" w:line="480" w:lineRule="auto"/>
        <w:rPr>
          <w:rFonts w:ascii="Times New Roman" w:hAnsi="Times New Roman" w:cs="Times New Roman"/>
          <w:color w:val="auto"/>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B47966" w:rsidRDefault="00B47966" w:rsidP="004948FC">
      <w:pPr>
        <w:pStyle w:val="Prrafodelista"/>
        <w:suppressAutoHyphens w:val="0"/>
        <w:spacing w:before="0" w:after="0" w:line="480" w:lineRule="auto"/>
        <w:ind w:left="0" w:firstLine="0"/>
        <w:jc w:val="left"/>
        <w:rPr>
          <w:rFonts w:ascii="Times New Roman" w:hAnsi="Times New Roman" w:cs="Times New Roman"/>
          <w:b/>
          <w:color w:val="auto"/>
          <w:kern w:val="28"/>
          <w:sz w:val="24"/>
        </w:rPr>
      </w:pPr>
    </w:p>
    <w:p w:rsidR="00954155" w:rsidRPr="00BB231B" w:rsidRDefault="00156A03" w:rsidP="004948FC">
      <w:pPr>
        <w:pStyle w:val="Prrafodelista"/>
        <w:suppressAutoHyphens w:val="0"/>
        <w:spacing w:before="0" w:after="0" w:line="480" w:lineRule="auto"/>
        <w:ind w:left="0" w:firstLine="0"/>
        <w:jc w:val="left"/>
        <w:rPr>
          <w:rFonts w:ascii="Times New Roman" w:hAnsi="Times New Roman" w:cs="Times New Roman"/>
          <w:b/>
          <w:color w:val="auto"/>
          <w:sz w:val="24"/>
        </w:rPr>
      </w:pPr>
      <w:r w:rsidRPr="00BB231B">
        <w:rPr>
          <w:rFonts w:ascii="Times New Roman" w:hAnsi="Times New Roman" w:cs="Times New Roman"/>
          <w:b/>
          <w:color w:val="auto"/>
          <w:kern w:val="28"/>
          <w:sz w:val="24"/>
        </w:rPr>
        <w:t xml:space="preserve">2. </w:t>
      </w:r>
      <w:r w:rsidR="00954155" w:rsidRPr="00BB231B">
        <w:rPr>
          <w:rFonts w:ascii="Times New Roman" w:hAnsi="Times New Roman" w:cs="Times New Roman"/>
          <w:b/>
          <w:color w:val="auto"/>
          <w:kern w:val="28"/>
          <w:sz w:val="24"/>
        </w:rPr>
        <w:t>INSTITUTO NACIONAL DE RECURSOS HIDRAULICOS (INDRHI)</w:t>
      </w:r>
    </w:p>
    <w:p w:rsidR="00954155" w:rsidRPr="00BB231B" w:rsidRDefault="00954155" w:rsidP="004D2328">
      <w:pPr>
        <w:spacing w:line="480" w:lineRule="auto"/>
        <w:ind w:firstLine="709"/>
        <w:rPr>
          <w:rFonts w:ascii="Times New Roman" w:hAnsi="Times New Roman" w:cs="Times New Roman"/>
          <w:b/>
          <w:color w:val="auto"/>
          <w:kern w:val="28"/>
          <w:sz w:val="24"/>
          <w:szCs w:val="24"/>
        </w:rPr>
      </w:pPr>
      <w:r w:rsidRPr="00BB231B">
        <w:rPr>
          <w:rFonts w:ascii="Times New Roman" w:hAnsi="Times New Roman" w:cs="Times New Roman"/>
          <w:color w:val="auto"/>
          <w:kern w:val="28"/>
          <w:sz w:val="24"/>
          <w:szCs w:val="24"/>
        </w:rPr>
        <w:t>Revisión especial aplicada al proyecto</w:t>
      </w:r>
      <w:r w:rsidRPr="00BB231B">
        <w:rPr>
          <w:rFonts w:ascii="Times New Roman" w:hAnsi="Times New Roman" w:cs="Times New Roman"/>
          <w:b/>
          <w:color w:val="auto"/>
          <w:kern w:val="28"/>
          <w:sz w:val="24"/>
          <w:szCs w:val="24"/>
        </w:rPr>
        <w:t xml:space="preserve"> “ESTUDIOS, DISEÑOS, CONSTRUCCION Y GESTION DEL FINANCIAMIENTO DEL PROYECTO MULTIPLE DE PRESA MONTEGRANDE Y REHABILITACION Y COMPLEMENTACION DE LA PRESA DE SABANA YEGUA”</w:t>
      </w:r>
    </w:p>
    <w:p w:rsidR="00156A03" w:rsidRPr="00BB231B" w:rsidRDefault="00156A03" w:rsidP="004948FC">
      <w:pPr>
        <w:spacing w:line="480" w:lineRule="auto"/>
        <w:rPr>
          <w:rFonts w:ascii="Times New Roman" w:hAnsi="Times New Roman" w:cs="Times New Roman"/>
          <w:color w:val="auto"/>
        </w:rPr>
      </w:pPr>
      <w:r w:rsidRPr="00BB231B">
        <w:rPr>
          <w:rFonts w:ascii="Times New Roman" w:hAnsi="Times New Roman" w:cs="Times New Roman"/>
          <w:b/>
          <w:color w:val="auto"/>
          <w:kern w:val="28"/>
        </w:rPr>
        <w:t xml:space="preserve">3. </w:t>
      </w:r>
      <w:r w:rsidRPr="00BB231B">
        <w:rPr>
          <w:rFonts w:ascii="Times New Roman" w:hAnsi="Times New Roman" w:cs="Times New Roman"/>
          <w:b/>
          <w:color w:val="auto"/>
          <w:kern w:val="28"/>
          <w:sz w:val="28"/>
        </w:rPr>
        <w:t>Otras Auditorias Especiales realizadas:</w:t>
      </w:r>
    </w:p>
    <w:p w:rsidR="00156A03" w:rsidRPr="00BB231B" w:rsidRDefault="00156A03" w:rsidP="0013776D">
      <w:pPr>
        <w:pStyle w:val="Prrafodelista"/>
        <w:numPr>
          <w:ilvl w:val="0"/>
          <w:numId w:val="41"/>
        </w:numPr>
        <w:suppressAutoHyphens w:val="0"/>
        <w:spacing w:before="0" w:after="0" w:line="480" w:lineRule="auto"/>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El 05 de enero del año 2017, Evaluación al cumplimiento de la Norma de Cierre Fiscal y revisión al Estado de Recaudación e Inversión de las Rentas (ERIR), correspondiente al periodo enero-diciembre 2016.</w:t>
      </w:r>
    </w:p>
    <w:p w:rsidR="00156A03"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El 27 de marzo del 2017, se observó la entrega de cheques en compañía del Ministerio Administrativo de la Presidencia en la ciudad de Puerto Plata, de prestaciones laborales por desahucio y otros derechos adquiridos por trabajadores de la Autoridad Portuaria Dominicana.</w:t>
      </w:r>
    </w:p>
    <w:p w:rsidR="00156A03" w:rsidRPr="00BB231B" w:rsidRDefault="00156A03" w:rsidP="0013776D">
      <w:pPr>
        <w:pStyle w:val="Prrafodelista"/>
        <w:numPr>
          <w:ilvl w:val="0"/>
          <w:numId w:val="41"/>
        </w:numPr>
        <w:suppressAutoHyphens w:val="0"/>
        <w:spacing w:before="0" w:after="0" w:line="480" w:lineRule="auto"/>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El 31 de mayo del año 2017, Evaluación al cumplimiento de la Norma de Cierre Fiscal y revisión al Estado de Recaudación e Inversión de las Rentas (ERIR), correspondiente al periodo enero-junio 2017. </w:t>
      </w:r>
    </w:p>
    <w:p w:rsidR="00156A03"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 xml:space="preserve">Se emitieron doscientos noventa y siete (297) reportes para certificación de No Objeción para permiso de viajes de los funcionarios a nuestra Consultoría Jurídica.  </w:t>
      </w:r>
    </w:p>
    <w:p w:rsidR="00156A03"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Se realizaron cuatro</w:t>
      </w:r>
      <w:r w:rsidRPr="00BB231B">
        <w:rPr>
          <w:rFonts w:ascii="Times New Roman" w:hAnsi="Times New Roman" w:cs="Times New Roman"/>
          <w:b/>
          <w:color w:val="auto"/>
          <w:sz w:val="24"/>
          <w:szCs w:val="24"/>
        </w:rPr>
        <w:t xml:space="preserve"> </w:t>
      </w:r>
      <w:r w:rsidRPr="00BB231B">
        <w:rPr>
          <w:rFonts w:ascii="Times New Roman" w:hAnsi="Times New Roman" w:cs="Times New Roman"/>
          <w:color w:val="auto"/>
          <w:sz w:val="24"/>
          <w:szCs w:val="24"/>
        </w:rPr>
        <w:t>(4) procesos de acompañamiento a las cárceles con la Dirección</w:t>
      </w:r>
      <w:r w:rsidRPr="00BB231B">
        <w:rPr>
          <w:rFonts w:ascii="Times New Roman" w:hAnsi="Times New Roman" w:cs="Times New Roman"/>
          <w:b/>
          <w:color w:val="auto"/>
          <w:sz w:val="24"/>
          <w:szCs w:val="24"/>
        </w:rPr>
        <w:t xml:space="preserve"> </w:t>
      </w:r>
      <w:r w:rsidRPr="00BB231B">
        <w:rPr>
          <w:rFonts w:ascii="Times New Roman" w:hAnsi="Times New Roman" w:cs="Times New Roman"/>
          <w:color w:val="auto"/>
          <w:sz w:val="24"/>
          <w:szCs w:val="24"/>
        </w:rPr>
        <w:t xml:space="preserve">General de Programas Especiales de la Presidencia (DIGEPEP), para los pagos a los alfabetizadores privados de libertad, del Plan </w:t>
      </w:r>
      <w:proofErr w:type="spellStart"/>
      <w:r w:rsidRPr="00BB231B">
        <w:rPr>
          <w:rFonts w:ascii="Times New Roman" w:hAnsi="Times New Roman" w:cs="Times New Roman"/>
          <w:color w:val="auto"/>
          <w:sz w:val="24"/>
          <w:szCs w:val="24"/>
        </w:rPr>
        <w:t>Quisqueya</w:t>
      </w:r>
      <w:proofErr w:type="spellEnd"/>
      <w:r w:rsidRPr="00BB231B">
        <w:rPr>
          <w:rFonts w:ascii="Times New Roman" w:hAnsi="Times New Roman" w:cs="Times New Roman"/>
          <w:color w:val="auto"/>
          <w:sz w:val="24"/>
          <w:szCs w:val="24"/>
        </w:rPr>
        <w:t xml:space="preserve"> Aprende Contigo.</w:t>
      </w:r>
    </w:p>
    <w:p w:rsidR="00156A03"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Se realizaron veinte (20) Seguimientos a las Observaciones y Recomendaciones contenidas en los Informes emitidos por</w:t>
      </w:r>
      <w:r w:rsidR="008626DF" w:rsidRPr="00BB231B">
        <w:rPr>
          <w:rFonts w:ascii="Times New Roman" w:hAnsi="Times New Roman" w:cs="Times New Roman"/>
          <w:color w:val="auto"/>
          <w:sz w:val="24"/>
          <w:szCs w:val="24"/>
        </w:rPr>
        <w:t xml:space="preserve"> la Cámara de Cuentas de la Repú</w:t>
      </w:r>
      <w:r w:rsidRPr="00BB231B">
        <w:rPr>
          <w:rFonts w:ascii="Times New Roman" w:hAnsi="Times New Roman" w:cs="Times New Roman"/>
          <w:color w:val="auto"/>
          <w:sz w:val="24"/>
          <w:szCs w:val="24"/>
        </w:rPr>
        <w:t>blica Dominicana</w:t>
      </w:r>
      <w:r w:rsidR="00D227ED" w:rsidRPr="00BB231B">
        <w:rPr>
          <w:rFonts w:ascii="Times New Roman" w:hAnsi="Times New Roman" w:cs="Times New Roman"/>
          <w:color w:val="auto"/>
          <w:sz w:val="24"/>
          <w:szCs w:val="24"/>
        </w:rPr>
        <w:t>.</w:t>
      </w:r>
    </w:p>
    <w:p w:rsidR="00D227ED" w:rsidRPr="00BB231B" w:rsidRDefault="00D227ED" w:rsidP="00D227ED">
      <w:pPr>
        <w:pStyle w:val="Prrafodelista"/>
        <w:rPr>
          <w:rFonts w:ascii="Times New Roman" w:hAnsi="Times New Roman" w:cs="Times New Roman"/>
          <w:color w:val="auto"/>
          <w:sz w:val="8"/>
          <w:szCs w:val="24"/>
        </w:rPr>
      </w:pPr>
    </w:p>
    <w:p w:rsidR="008366A9"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Se realizaron dieciocho (18) procesos de observación de subastas en la Caja de Ahorros y Créditos de Obreros del Monte de Piedad</w:t>
      </w:r>
      <w:r w:rsidR="008366A9" w:rsidRPr="00BB231B">
        <w:rPr>
          <w:rFonts w:ascii="Times New Roman" w:hAnsi="Times New Roman" w:cs="Times New Roman"/>
          <w:color w:val="auto"/>
          <w:sz w:val="24"/>
          <w:szCs w:val="24"/>
        </w:rPr>
        <w:t>.</w:t>
      </w:r>
    </w:p>
    <w:p w:rsidR="008366A9" w:rsidRPr="00BB231B" w:rsidRDefault="008366A9" w:rsidP="008366A9">
      <w:pPr>
        <w:pStyle w:val="Prrafodelista"/>
        <w:rPr>
          <w:rFonts w:ascii="Times New Roman" w:hAnsi="Times New Roman" w:cs="Times New Roman"/>
          <w:color w:val="auto"/>
          <w:sz w:val="8"/>
          <w:szCs w:val="24"/>
        </w:rPr>
      </w:pPr>
    </w:p>
    <w:p w:rsidR="00156A03" w:rsidRPr="00BB231B" w:rsidRDefault="00AD3F34"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Se participó en veintiún</w:t>
      </w:r>
      <w:r w:rsidR="00156A03" w:rsidRPr="00BB231B">
        <w:rPr>
          <w:rFonts w:ascii="Times New Roman" w:hAnsi="Times New Roman" w:cs="Times New Roman"/>
          <w:color w:val="auto"/>
          <w:sz w:val="24"/>
          <w:szCs w:val="24"/>
        </w:rPr>
        <w:t xml:space="preserve"> (21) procesos de producción de las Especies Timbradas de la Tesorería Nacional, para la impresión de sellos para documentos, estampillas para cigarrillos, alcoholes y fósforos de la Dirección General (DGII),  y de sellos postales y suvenires para el Instituto Postal Dominicano (INPOSDOM</w:t>
      </w:r>
      <w:r w:rsidR="00176E0B" w:rsidRPr="00BB231B">
        <w:rPr>
          <w:rFonts w:ascii="Times New Roman" w:hAnsi="Times New Roman" w:cs="Times New Roman"/>
          <w:color w:val="auto"/>
          <w:sz w:val="24"/>
          <w:szCs w:val="24"/>
        </w:rPr>
        <w:t>).</w:t>
      </w:r>
    </w:p>
    <w:p w:rsidR="00156A03"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Se realizaron ocho</w:t>
      </w:r>
      <w:r w:rsidRPr="00BB231B">
        <w:rPr>
          <w:rFonts w:ascii="Times New Roman" w:hAnsi="Times New Roman" w:cs="Times New Roman"/>
          <w:b/>
          <w:color w:val="auto"/>
          <w:sz w:val="24"/>
          <w:szCs w:val="24"/>
        </w:rPr>
        <w:t xml:space="preserve"> </w:t>
      </w:r>
      <w:r w:rsidRPr="00BB231B">
        <w:rPr>
          <w:rFonts w:ascii="Times New Roman" w:hAnsi="Times New Roman" w:cs="Times New Roman"/>
          <w:color w:val="auto"/>
          <w:sz w:val="24"/>
          <w:szCs w:val="24"/>
        </w:rPr>
        <w:t>(8) procesos de observación en las entregas de las Tarjetas de los Program</w:t>
      </w:r>
      <w:r w:rsidR="00161653" w:rsidRPr="00BB231B">
        <w:rPr>
          <w:rFonts w:ascii="Times New Roman" w:hAnsi="Times New Roman" w:cs="Times New Roman"/>
          <w:color w:val="auto"/>
          <w:sz w:val="24"/>
          <w:szCs w:val="24"/>
        </w:rPr>
        <w:t>as de Subsidios Sociales ADESS.</w:t>
      </w:r>
    </w:p>
    <w:p w:rsidR="00161653" w:rsidRPr="00BB231B" w:rsidRDefault="00161653" w:rsidP="00161653">
      <w:pPr>
        <w:pStyle w:val="Prrafodelista"/>
        <w:suppressAutoHyphens w:val="0"/>
        <w:spacing w:before="0" w:after="200" w:line="480" w:lineRule="auto"/>
        <w:ind w:left="720" w:firstLine="0"/>
        <w:rPr>
          <w:rFonts w:ascii="Times New Roman" w:hAnsi="Times New Roman" w:cs="Times New Roman"/>
          <w:color w:val="auto"/>
          <w:sz w:val="8"/>
          <w:szCs w:val="24"/>
        </w:rPr>
      </w:pPr>
    </w:p>
    <w:p w:rsidR="00156A03"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Se realizaron siete</w:t>
      </w:r>
      <w:r w:rsidRPr="00BB231B">
        <w:rPr>
          <w:rFonts w:ascii="Times New Roman" w:hAnsi="Times New Roman" w:cs="Times New Roman"/>
          <w:b/>
          <w:color w:val="auto"/>
          <w:sz w:val="24"/>
          <w:szCs w:val="24"/>
        </w:rPr>
        <w:t xml:space="preserve"> </w:t>
      </w:r>
      <w:r w:rsidRPr="00BB231B">
        <w:rPr>
          <w:rFonts w:ascii="Times New Roman" w:hAnsi="Times New Roman" w:cs="Times New Roman"/>
          <w:color w:val="auto"/>
          <w:sz w:val="24"/>
          <w:szCs w:val="24"/>
        </w:rPr>
        <w:t xml:space="preserve">(7) procesos de observación a solicitud de las instituciones, cuatro (4) de Descargo de Mobiliario y Equipos inservibles </w:t>
      </w:r>
      <w:r w:rsidRPr="00BB231B">
        <w:rPr>
          <w:rFonts w:ascii="Times New Roman" w:hAnsi="Times New Roman" w:cs="Times New Roman"/>
          <w:color w:val="auto"/>
          <w:sz w:val="24"/>
          <w:szCs w:val="24"/>
        </w:rPr>
        <w:lastRenderedPageBreak/>
        <w:t xml:space="preserve">y dos (2) de Toma de Inventarios de Activos Fijos, los que se detallan  a continuación: </w:t>
      </w:r>
    </w:p>
    <w:p w:rsidR="00156A03" w:rsidRPr="00BB231B" w:rsidRDefault="00156A03" w:rsidP="0013776D">
      <w:pPr>
        <w:pStyle w:val="Prrafodelista"/>
        <w:numPr>
          <w:ilvl w:val="0"/>
          <w:numId w:val="40"/>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Descargo Activos Fijos en Administradora de Subsidios Sociales (ADESS)</w:t>
      </w:r>
    </w:p>
    <w:p w:rsidR="00156A03" w:rsidRPr="00BB231B" w:rsidRDefault="00156A03" w:rsidP="0013776D">
      <w:pPr>
        <w:pStyle w:val="Prrafodelista"/>
        <w:numPr>
          <w:ilvl w:val="0"/>
          <w:numId w:val="40"/>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Descargo  Activos Fijos en la Corporación del Acueducto y Alcantarillado de Santo Domingo (CAASD)</w:t>
      </w:r>
    </w:p>
    <w:p w:rsidR="00156A03" w:rsidRPr="00BB231B" w:rsidRDefault="00156A03" w:rsidP="0013776D">
      <w:pPr>
        <w:pStyle w:val="Prrafodelista"/>
        <w:numPr>
          <w:ilvl w:val="0"/>
          <w:numId w:val="40"/>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Descargo Activos Fijos en el Ministerio Administrativo de la Presidencia </w:t>
      </w:r>
    </w:p>
    <w:p w:rsidR="00156A03" w:rsidRPr="00BB231B" w:rsidRDefault="00156A03" w:rsidP="0013776D">
      <w:pPr>
        <w:pStyle w:val="Prrafodelista"/>
        <w:numPr>
          <w:ilvl w:val="0"/>
          <w:numId w:val="40"/>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Descargo Activos Fijos en el Instituto Nacional de Atención a la Primera Infancia</w:t>
      </w:r>
    </w:p>
    <w:p w:rsidR="00156A03" w:rsidRPr="00BB231B" w:rsidRDefault="00156A03" w:rsidP="0013776D">
      <w:pPr>
        <w:pStyle w:val="Prrafodelista"/>
        <w:numPr>
          <w:ilvl w:val="0"/>
          <w:numId w:val="40"/>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Toma de Inventario Activos Fijos en Autoridad Metropolitana de Transporte (AMET)</w:t>
      </w:r>
    </w:p>
    <w:p w:rsidR="00156A03" w:rsidRPr="00BB231B" w:rsidRDefault="00156A03" w:rsidP="0013776D">
      <w:pPr>
        <w:pStyle w:val="Prrafodelista"/>
        <w:numPr>
          <w:ilvl w:val="0"/>
          <w:numId w:val="40"/>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Toma de Inventario Activos Fijos en el Ministerio de Interior y Policía (MIP)</w:t>
      </w:r>
      <w:r w:rsidR="00161653" w:rsidRPr="00BB231B">
        <w:rPr>
          <w:rFonts w:ascii="Times New Roman" w:hAnsi="Times New Roman" w:cs="Times New Roman"/>
          <w:color w:val="auto"/>
          <w:sz w:val="24"/>
          <w:szCs w:val="24"/>
        </w:rPr>
        <w:t>.</w:t>
      </w:r>
    </w:p>
    <w:p w:rsidR="00161653" w:rsidRPr="00BB231B" w:rsidRDefault="00161653" w:rsidP="00161653">
      <w:pPr>
        <w:pStyle w:val="Prrafodelista"/>
        <w:suppressAutoHyphens w:val="0"/>
        <w:spacing w:before="0" w:after="200" w:line="480" w:lineRule="auto"/>
        <w:ind w:left="1440" w:firstLine="0"/>
        <w:jc w:val="left"/>
        <w:rPr>
          <w:rFonts w:ascii="Times New Roman" w:hAnsi="Times New Roman" w:cs="Times New Roman"/>
          <w:color w:val="auto"/>
          <w:sz w:val="24"/>
          <w:szCs w:val="24"/>
        </w:rPr>
      </w:pPr>
    </w:p>
    <w:p w:rsidR="00156A03" w:rsidRPr="00BB231B" w:rsidRDefault="00156A0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Durante el año 2017 se elaboraron ocho (8) informes con un total de </w:t>
      </w:r>
      <w:r w:rsidRPr="00BB231B">
        <w:rPr>
          <w:rFonts w:ascii="Times New Roman" w:hAnsi="Times New Roman" w:cs="Times New Roman"/>
          <w:b/>
          <w:color w:val="auto"/>
          <w:sz w:val="24"/>
          <w:szCs w:val="24"/>
        </w:rPr>
        <w:t>887</w:t>
      </w:r>
      <w:r w:rsidRPr="00BB231B">
        <w:rPr>
          <w:rFonts w:ascii="Times New Roman" w:hAnsi="Times New Roman" w:cs="Times New Roman"/>
          <w:color w:val="auto"/>
          <w:sz w:val="24"/>
          <w:szCs w:val="24"/>
        </w:rPr>
        <w:t xml:space="preserve"> pensionados y jubilados fallecidos equivalentes al monto de </w:t>
      </w:r>
      <w:r w:rsidRPr="00BB231B">
        <w:rPr>
          <w:rFonts w:ascii="Times New Roman" w:hAnsi="Times New Roman" w:cs="Times New Roman"/>
          <w:b/>
          <w:color w:val="auto"/>
          <w:sz w:val="24"/>
          <w:szCs w:val="24"/>
        </w:rPr>
        <w:t>RD$6,180,882.08</w:t>
      </w:r>
      <w:r w:rsidRPr="00BB231B">
        <w:rPr>
          <w:rFonts w:ascii="Times New Roman" w:hAnsi="Times New Roman" w:cs="Times New Roman"/>
          <w:color w:val="auto"/>
          <w:sz w:val="24"/>
          <w:szCs w:val="24"/>
        </w:rPr>
        <w:t xml:space="preserve">, </w:t>
      </w:r>
      <w:r w:rsidR="00187A70" w:rsidRPr="00BB231B">
        <w:rPr>
          <w:rFonts w:ascii="Times New Roman" w:hAnsi="Times New Roman" w:cs="Times New Roman"/>
          <w:color w:val="auto"/>
          <w:sz w:val="24"/>
          <w:szCs w:val="24"/>
        </w:rPr>
        <w:t>recomendando</w:t>
      </w:r>
      <w:r w:rsidRPr="00BB231B">
        <w:rPr>
          <w:rFonts w:ascii="Times New Roman" w:hAnsi="Times New Roman" w:cs="Times New Roman"/>
          <w:color w:val="auto"/>
          <w:sz w:val="24"/>
          <w:szCs w:val="24"/>
        </w:rPr>
        <w:t xml:space="preserve"> su exclusión a la Dirección General de Jubilaci</w:t>
      </w:r>
      <w:r w:rsidR="00187A70" w:rsidRPr="00BB231B">
        <w:rPr>
          <w:rFonts w:ascii="Times New Roman" w:hAnsi="Times New Roman" w:cs="Times New Roman"/>
          <w:color w:val="auto"/>
          <w:sz w:val="24"/>
          <w:szCs w:val="24"/>
        </w:rPr>
        <w:t>ones y Pensiones del Estado, com</w:t>
      </w:r>
      <w:r w:rsidRPr="00BB231B">
        <w:rPr>
          <w:rFonts w:ascii="Times New Roman" w:hAnsi="Times New Roman" w:cs="Times New Roman"/>
          <w:color w:val="auto"/>
          <w:sz w:val="24"/>
          <w:szCs w:val="24"/>
        </w:rPr>
        <w:t>o se detalla a continuación:</w:t>
      </w:r>
    </w:p>
    <w:tbl>
      <w:tblPr>
        <w:tblStyle w:val="Tablaconcuadrcula"/>
        <w:tblW w:w="0" w:type="auto"/>
        <w:jc w:val="center"/>
        <w:tblLook w:val="04A0" w:firstRow="1" w:lastRow="0" w:firstColumn="1" w:lastColumn="0" w:noHBand="0" w:noVBand="1"/>
      </w:tblPr>
      <w:tblGrid>
        <w:gridCol w:w="1985"/>
        <w:gridCol w:w="1842"/>
        <w:gridCol w:w="1842"/>
      </w:tblGrid>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b/>
                <w:color w:val="auto"/>
                <w:sz w:val="24"/>
                <w:szCs w:val="24"/>
              </w:rPr>
            </w:pPr>
            <w:r w:rsidRPr="00BB231B">
              <w:rPr>
                <w:rFonts w:ascii="Times New Roman" w:hAnsi="Times New Roman" w:cs="Times New Roman"/>
                <w:b/>
                <w:color w:val="auto"/>
                <w:sz w:val="24"/>
                <w:szCs w:val="24"/>
              </w:rPr>
              <w:t>Año 2017</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b/>
                <w:color w:val="auto"/>
                <w:sz w:val="24"/>
                <w:szCs w:val="24"/>
              </w:rPr>
            </w:pPr>
            <w:r w:rsidRPr="00BB231B">
              <w:rPr>
                <w:rFonts w:ascii="Times New Roman" w:hAnsi="Times New Roman" w:cs="Times New Roman"/>
                <w:b/>
                <w:color w:val="auto"/>
                <w:sz w:val="24"/>
                <w:szCs w:val="24"/>
              </w:rPr>
              <w:t>Cantidad</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b/>
                <w:color w:val="auto"/>
                <w:sz w:val="24"/>
                <w:szCs w:val="24"/>
              </w:rPr>
            </w:pPr>
            <w:r w:rsidRPr="00BB231B">
              <w:rPr>
                <w:rFonts w:ascii="Times New Roman" w:hAnsi="Times New Roman" w:cs="Times New Roman"/>
                <w:b/>
                <w:color w:val="auto"/>
                <w:sz w:val="24"/>
                <w:szCs w:val="24"/>
              </w:rPr>
              <w:t>Monto RD$</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16 de enero</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130</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778,161.91</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16 de febrero</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50</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434,885.08</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05 de abril</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210</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1,305,191.25</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17 de abril</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50</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391,710.34</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02 de mayo</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50</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449,155.92</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03 de julio</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130</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932,075.46</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27 de julio</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217</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1,332,165.09</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30 de noviembre</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color w:val="auto"/>
                <w:sz w:val="24"/>
                <w:szCs w:val="24"/>
              </w:rPr>
            </w:pPr>
            <w:r w:rsidRPr="00BB231B">
              <w:rPr>
                <w:rFonts w:ascii="Times New Roman" w:hAnsi="Times New Roman" w:cs="Times New Roman"/>
                <w:color w:val="auto"/>
                <w:sz w:val="24"/>
                <w:szCs w:val="24"/>
              </w:rPr>
              <w:t>50</w:t>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color w:val="auto"/>
                <w:sz w:val="24"/>
                <w:szCs w:val="24"/>
              </w:rPr>
            </w:pPr>
            <w:r w:rsidRPr="00BB231B">
              <w:rPr>
                <w:rFonts w:ascii="Times New Roman" w:hAnsi="Times New Roman" w:cs="Times New Roman"/>
                <w:color w:val="auto"/>
                <w:sz w:val="24"/>
                <w:szCs w:val="24"/>
              </w:rPr>
              <w:t>557,537.03</w:t>
            </w:r>
          </w:p>
        </w:tc>
      </w:tr>
      <w:tr w:rsidR="00187A70" w:rsidRPr="00BB231B" w:rsidTr="0051027A">
        <w:trPr>
          <w:jc w:val="center"/>
        </w:trPr>
        <w:tc>
          <w:tcPr>
            <w:tcW w:w="1985" w:type="dxa"/>
          </w:tcPr>
          <w:p w:rsidR="00156A03" w:rsidRPr="00BB231B" w:rsidRDefault="00156A03" w:rsidP="004948FC">
            <w:pPr>
              <w:pStyle w:val="Prrafodelista"/>
              <w:spacing w:line="480" w:lineRule="auto"/>
              <w:ind w:left="0"/>
              <w:jc w:val="center"/>
              <w:rPr>
                <w:rFonts w:ascii="Times New Roman" w:hAnsi="Times New Roman" w:cs="Times New Roman"/>
                <w:b/>
                <w:color w:val="auto"/>
                <w:sz w:val="24"/>
                <w:szCs w:val="24"/>
              </w:rPr>
            </w:pPr>
            <w:r w:rsidRPr="00BB231B">
              <w:rPr>
                <w:rFonts w:ascii="Times New Roman" w:hAnsi="Times New Roman" w:cs="Times New Roman"/>
                <w:b/>
                <w:color w:val="auto"/>
                <w:sz w:val="24"/>
                <w:szCs w:val="24"/>
              </w:rPr>
              <w:t>Total</w:t>
            </w:r>
          </w:p>
        </w:tc>
        <w:tc>
          <w:tcPr>
            <w:tcW w:w="1842" w:type="dxa"/>
          </w:tcPr>
          <w:p w:rsidR="00156A03" w:rsidRPr="00BB231B" w:rsidRDefault="00156A03" w:rsidP="004948FC">
            <w:pPr>
              <w:pStyle w:val="Prrafodelista"/>
              <w:spacing w:line="480" w:lineRule="auto"/>
              <w:ind w:left="0"/>
              <w:jc w:val="center"/>
              <w:rPr>
                <w:rFonts w:ascii="Times New Roman" w:hAnsi="Times New Roman" w:cs="Times New Roman"/>
                <w:b/>
                <w:color w:val="auto"/>
                <w:sz w:val="24"/>
                <w:szCs w:val="24"/>
              </w:rPr>
            </w:pPr>
            <w:r w:rsidRPr="00BB231B">
              <w:rPr>
                <w:rFonts w:ascii="Times New Roman" w:hAnsi="Times New Roman" w:cs="Times New Roman"/>
                <w:b/>
                <w:color w:val="auto"/>
                <w:sz w:val="24"/>
                <w:szCs w:val="24"/>
              </w:rPr>
              <w:fldChar w:fldCharType="begin"/>
            </w:r>
            <w:r w:rsidRPr="00BB231B">
              <w:rPr>
                <w:rFonts w:ascii="Times New Roman" w:hAnsi="Times New Roman" w:cs="Times New Roman"/>
                <w:b/>
                <w:color w:val="auto"/>
                <w:sz w:val="24"/>
                <w:szCs w:val="24"/>
              </w:rPr>
              <w:instrText xml:space="preserve"> =SUM(ABOVE) </w:instrText>
            </w:r>
            <w:r w:rsidRPr="00BB231B">
              <w:rPr>
                <w:rFonts w:ascii="Times New Roman" w:hAnsi="Times New Roman" w:cs="Times New Roman"/>
                <w:b/>
                <w:color w:val="auto"/>
                <w:sz w:val="24"/>
                <w:szCs w:val="24"/>
              </w:rPr>
              <w:fldChar w:fldCharType="end"/>
            </w:r>
            <w:r w:rsidRPr="00BB231B">
              <w:rPr>
                <w:rFonts w:ascii="Times New Roman" w:hAnsi="Times New Roman" w:cs="Times New Roman"/>
                <w:b/>
                <w:color w:val="auto"/>
                <w:sz w:val="24"/>
                <w:szCs w:val="24"/>
              </w:rPr>
              <w:fldChar w:fldCharType="begin"/>
            </w:r>
            <w:r w:rsidRPr="00BB231B">
              <w:rPr>
                <w:rFonts w:ascii="Times New Roman" w:hAnsi="Times New Roman" w:cs="Times New Roman"/>
                <w:b/>
                <w:color w:val="auto"/>
                <w:sz w:val="24"/>
                <w:szCs w:val="24"/>
              </w:rPr>
              <w:instrText xml:space="preserve"> =SUM(ABOVE) </w:instrText>
            </w:r>
            <w:r w:rsidRPr="00BB231B">
              <w:rPr>
                <w:rFonts w:ascii="Times New Roman" w:hAnsi="Times New Roman" w:cs="Times New Roman"/>
                <w:b/>
                <w:color w:val="auto"/>
                <w:sz w:val="24"/>
                <w:szCs w:val="24"/>
              </w:rPr>
              <w:fldChar w:fldCharType="separate"/>
            </w:r>
            <w:r w:rsidRPr="00BB231B">
              <w:rPr>
                <w:rFonts w:ascii="Times New Roman" w:hAnsi="Times New Roman" w:cs="Times New Roman"/>
                <w:b/>
                <w:noProof/>
                <w:color w:val="auto"/>
                <w:sz w:val="24"/>
                <w:szCs w:val="24"/>
              </w:rPr>
              <w:t>887</w:t>
            </w:r>
            <w:r w:rsidRPr="00BB231B">
              <w:rPr>
                <w:rFonts w:ascii="Times New Roman" w:hAnsi="Times New Roman" w:cs="Times New Roman"/>
                <w:b/>
                <w:color w:val="auto"/>
                <w:sz w:val="24"/>
                <w:szCs w:val="24"/>
              </w:rPr>
              <w:fldChar w:fldCharType="end"/>
            </w:r>
          </w:p>
        </w:tc>
        <w:tc>
          <w:tcPr>
            <w:tcW w:w="1842" w:type="dxa"/>
          </w:tcPr>
          <w:p w:rsidR="00156A03" w:rsidRPr="00BB231B" w:rsidRDefault="00156A03" w:rsidP="004948FC">
            <w:pPr>
              <w:pStyle w:val="Prrafodelista"/>
              <w:spacing w:line="480" w:lineRule="auto"/>
              <w:ind w:left="0"/>
              <w:jc w:val="right"/>
              <w:rPr>
                <w:rFonts w:ascii="Times New Roman" w:hAnsi="Times New Roman" w:cs="Times New Roman"/>
                <w:b/>
                <w:color w:val="auto"/>
                <w:sz w:val="24"/>
                <w:szCs w:val="24"/>
              </w:rPr>
            </w:pPr>
            <w:r w:rsidRPr="00BB231B">
              <w:rPr>
                <w:rFonts w:ascii="Times New Roman" w:hAnsi="Times New Roman" w:cs="Times New Roman"/>
                <w:b/>
                <w:color w:val="auto"/>
                <w:sz w:val="24"/>
                <w:szCs w:val="24"/>
              </w:rPr>
              <w:fldChar w:fldCharType="begin"/>
            </w:r>
            <w:r w:rsidRPr="00BB231B">
              <w:rPr>
                <w:rFonts w:ascii="Times New Roman" w:hAnsi="Times New Roman" w:cs="Times New Roman"/>
                <w:b/>
                <w:color w:val="auto"/>
                <w:sz w:val="24"/>
                <w:szCs w:val="24"/>
              </w:rPr>
              <w:instrText xml:space="preserve"> =SUM(ABOVE) </w:instrText>
            </w:r>
            <w:r w:rsidRPr="00BB231B">
              <w:rPr>
                <w:rFonts w:ascii="Times New Roman" w:hAnsi="Times New Roman" w:cs="Times New Roman"/>
                <w:b/>
                <w:color w:val="auto"/>
                <w:sz w:val="24"/>
                <w:szCs w:val="24"/>
              </w:rPr>
              <w:fldChar w:fldCharType="separate"/>
            </w:r>
            <w:r w:rsidRPr="00BB231B">
              <w:rPr>
                <w:rFonts w:ascii="Times New Roman" w:hAnsi="Times New Roman" w:cs="Times New Roman"/>
                <w:b/>
                <w:noProof/>
                <w:color w:val="auto"/>
                <w:sz w:val="24"/>
                <w:szCs w:val="24"/>
              </w:rPr>
              <w:t>6,180,882.08</w:t>
            </w:r>
            <w:r w:rsidRPr="00BB231B">
              <w:rPr>
                <w:rFonts w:ascii="Times New Roman" w:hAnsi="Times New Roman" w:cs="Times New Roman"/>
                <w:b/>
                <w:color w:val="auto"/>
                <w:sz w:val="24"/>
                <w:szCs w:val="24"/>
              </w:rPr>
              <w:fldChar w:fldCharType="end"/>
            </w:r>
          </w:p>
        </w:tc>
      </w:tr>
    </w:tbl>
    <w:p w:rsidR="00AA329E" w:rsidRPr="00BB231B" w:rsidRDefault="00AA329E" w:rsidP="00AA329E">
      <w:pPr>
        <w:pStyle w:val="Textoindependiente"/>
        <w:spacing w:line="480" w:lineRule="auto"/>
        <w:ind w:right="818"/>
        <w:jc w:val="both"/>
        <w:rPr>
          <w:sz w:val="28"/>
        </w:rPr>
      </w:pPr>
      <w:bookmarkStart w:id="33" w:name="_Toc488412825"/>
      <w:bookmarkStart w:id="34" w:name="_Toc500858016"/>
      <w:bookmarkStart w:id="35" w:name="_Toc500858166"/>
      <w:bookmarkStart w:id="36" w:name="_Toc500858680"/>
      <w:bookmarkStart w:id="37" w:name="_Toc500918592"/>
      <w:bookmarkEnd w:id="29"/>
      <w:r w:rsidRPr="00BB231B">
        <w:rPr>
          <w:sz w:val="28"/>
        </w:rPr>
        <w:t xml:space="preserve">Acciones de aspectos Jurídicos </w:t>
      </w:r>
      <w:proofErr w:type="gramStart"/>
      <w:r w:rsidRPr="00BB231B">
        <w:rPr>
          <w:sz w:val="28"/>
        </w:rPr>
        <w:t>realizadas</w:t>
      </w:r>
      <w:proofErr w:type="gramEnd"/>
      <w:r w:rsidRPr="00BB231B">
        <w:rPr>
          <w:sz w:val="28"/>
        </w:rPr>
        <w:t xml:space="preserve"> por la CGR:</w:t>
      </w:r>
    </w:p>
    <w:p w:rsidR="00AA329E" w:rsidRPr="00BB231B" w:rsidRDefault="00AA329E" w:rsidP="00AA329E">
      <w:pPr>
        <w:pStyle w:val="Normal-blanco"/>
        <w:numPr>
          <w:ilvl w:val="0"/>
          <w:numId w:val="55"/>
        </w:numPr>
        <w:spacing w:before="0" w:after="0" w:line="480" w:lineRule="auto"/>
        <w:ind w:right="199"/>
        <w:rPr>
          <w:rStyle w:val="nfasissutil"/>
          <w:rFonts w:ascii="Times New Roman" w:hAnsi="Times New Roman" w:cs="Times New Roman"/>
          <w:color w:val="auto"/>
          <w:sz w:val="24"/>
        </w:rPr>
      </w:pPr>
      <w:r w:rsidRPr="00BB231B">
        <w:rPr>
          <w:rStyle w:val="nfasissutil"/>
          <w:rFonts w:ascii="Times New Roman" w:hAnsi="Times New Roman" w:cs="Times New Roman"/>
          <w:b/>
          <w:color w:val="auto"/>
          <w:sz w:val="24"/>
        </w:rPr>
        <w:t>353 Certificaciones de No Objeción:</w:t>
      </w:r>
      <w:r w:rsidRPr="00BB231B">
        <w:rPr>
          <w:rStyle w:val="nfasissutil"/>
          <w:rFonts w:ascii="Times New Roman" w:hAnsi="Times New Roman" w:cs="Times New Roman"/>
          <w:color w:val="auto"/>
          <w:sz w:val="24"/>
        </w:rPr>
        <w:t xml:space="preserve"> Permiso otorgado  por la Contraloría General para que los funcionarios o empleados de la Administración Pública y de las Instituciones Autónomas del Estado que manejan fondos del Estado, puedan viajar al exterior, previa autorización del Ministerio Administrativo de la Presidencia.</w:t>
      </w:r>
    </w:p>
    <w:p w:rsidR="00AA329E" w:rsidRPr="00BB231B" w:rsidRDefault="00AA329E" w:rsidP="00AA329E">
      <w:pPr>
        <w:pStyle w:val="Normal-blanco"/>
        <w:numPr>
          <w:ilvl w:val="0"/>
          <w:numId w:val="55"/>
        </w:numPr>
        <w:spacing w:before="0" w:after="0" w:line="480" w:lineRule="auto"/>
        <w:ind w:right="199"/>
        <w:rPr>
          <w:rStyle w:val="nfasissutil"/>
          <w:rFonts w:ascii="Times New Roman" w:hAnsi="Times New Roman" w:cs="Times New Roman"/>
          <w:color w:val="auto"/>
          <w:sz w:val="24"/>
        </w:rPr>
      </w:pPr>
      <w:r w:rsidRPr="00BB231B">
        <w:rPr>
          <w:rStyle w:val="nfasissutil"/>
          <w:rFonts w:ascii="Times New Roman" w:hAnsi="Times New Roman" w:cs="Times New Roman"/>
          <w:b/>
          <w:color w:val="auto"/>
          <w:sz w:val="24"/>
        </w:rPr>
        <w:t>639 Análisis Actos de Alguacil:</w:t>
      </w:r>
      <w:r w:rsidRPr="00BB231B">
        <w:rPr>
          <w:rStyle w:val="nfasissutil"/>
          <w:rFonts w:ascii="Times New Roman" w:hAnsi="Times New Roman" w:cs="Times New Roman"/>
          <w:color w:val="auto"/>
          <w:sz w:val="24"/>
        </w:rPr>
        <w:t xml:space="preserve"> Consiste en analizar los aspectos legales de los documentos anexos, a los fines de redactar un informe final.</w:t>
      </w:r>
    </w:p>
    <w:p w:rsidR="00AA329E" w:rsidRPr="00BB231B" w:rsidRDefault="00AA329E" w:rsidP="00AA329E">
      <w:pPr>
        <w:pStyle w:val="Normal-blanco"/>
        <w:numPr>
          <w:ilvl w:val="0"/>
          <w:numId w:val="55"/>
        </w:numPr>
        <w:spacing w:before="0" w:after="0" w:line="480" w:lineRule="auto"/>
        <w:ind w:right="199"/>
        <w:rPr>
          <w:rStyle w:val="nfasissutil"/>
          <w:rFonts w:ascii="Times New Roman" w:hAnsi="Times New Roman" w:cs="Times New Roman"/>
          <w:color w:val="auto"/>
          <w:sz w:val="24"/>
          <w:lang w:val="es-DO"/>
        </w:rPr>
      </w:pPr>
      <w:r w:rsidRPr="00BB231B">
        <w:rPr>
          <w:rStyle w:val="nfasissutil"/>
          <w:rFonts w:ascii="Times New Roman" w:hAnsi="Times New Roman" w:cs="Times New Roman"/>
          <w:b/>
          <w:color w:val="auto"/>
          <w:sz w:val="24"/>
          <w:lang w:val="es-DO"/>
        </w:rPr>
        <w:t>40 Opiniones Legales Interna y Externa:</w:t>
      </w:r>
      <w:r w:rsidRPr="00BB231B">
        <w:rPr>
          <w:rStyle w:val="nfasissutil"/>
          <w:rFonts w:ascii="Times New Roman" w:hAnsi="Times New Roman" w:cs="Times New Roman"/>
          <w:color w:val="auto"/>
          <w:sz w:val="24"/>
          <w:lang w:val="es-DO"/>
        </w:rPr>
        <w:t xml:space="preserve"> su finalidad es dar respuestas a un determinado requerimiento, acogiéndonos a las leyes vigentes. </w:t>
      </w:r>
    </w:p>
    <w:p w:rsidR="00460E0C" w:rsidRPr="00BB231B" w:rsidRDefault="005D5CF3" w:rsidP="008366A9">
      <w:pPr>
        <w:pStyle w:val="Normal-blanco"/>
        <w:spacing w:before="0" w:after="0"/>
        <w:ind w:right="199"/>
        <w:outlineLvl w:val="2"/>
        <w:rPr>
          <w:rStyle w:val="nfasissutil"/>
          <w:rFonts w:ascii="Times New Roman" w:hAnsi="Times New Roman" w:cs="Times New Roman"/>
          <w:b/>
          <w:color w:val="000000" w:themeColor="text1"/>
          <w:sz w:val="28"/>
          <w:lang w:val="es-DO"/>
        </w:rPr>
      </w:pPr>
      <w:r w:rsidRPr="00BB231B">
        <w:rPr>
          <w:rStyle w:val="nfasissutil"/>
          <w:rFonts w:ascii="Times New Roman" w:hAnsi="Times New Roman" w:cs="Times New Roman"/>
          <w:b/>
          <w:color w:val="000000" w:themeColor="text1"/>
          <w:sz w:val="28"/>
          <w:lang w:val="es-DO"/>
        </w:rPr>
        <w:t>Acciones para d</w:t>
      </w:r>
      <w:r w:rsidR="00460E0C" w:rsidRPr="00BB231B">
        <w:rPr>
          <w:rStyle w:val="nfasissutil"/>
          <w:rFonts w:ascii="Times New Roman" w:hAnsi="Times New Roman" w:cs="Times New Roman"/>
          <w:b/>
          <w:color w:val="000000" w:themeColor="text1"/>
          <w:sz w:val="28"/>
          <w:lang w:val="es-DO"/>
        </w:rPr>
        <w:t>irigir la organización desarrollando su misión</w:t>
      </w:r>
      <w:r w:rsidR="00A04174" w:rsidRPr="00BB231B">
        <w:rPr>
          <w:rStyle w:val="nfasissutil"/>
          <w:rFonts w:ascii="Times New Roman" w:hAnsi="Times New Roman" w:cs="Times New Roman"/>
          <w:b/>
          <w:color w:val="000000" w:themeColor="text1"/>
          <w:sz w:val="28"/>
          <w:lang w:val="es-DO"/>
        </w:rPr>
        <w:t>,</w:t>
      </w:r>
      <w:r w:rsidR="00460E0C" w:rsidRPr="00BB231B">
        <w:rPr>
          <w:rStyle w:val="nfasissutil"/>
          <w:rFonts w:ascii="Times New Roman" w:hAnsi="Times New Roman" w:cs="Times New Roman"/>
          <w:b/>
          <w:color w:val="000000" w:themeColor="text1"/>
          <w:sz w:val="28"/>
          <w:lang w:val="es-DO"/>
        </w:rPr>
        <w:t xml:space="preserve"> visión y valores.</w:t>
      </w:r>
      <w:bookmarkEnd w:id="33"/>
      <w:bookmarkEnd w:id="34"/>
      <w:bookmarkEnd w:id="35"/>
      <w:bookmarkEnd w:id="36"/>
      <w:bookmarkEnd w:id="37"/>
    </w:p>
    <w:p w:rsidR="005D5CF3" w:rsidRPr="00BB231B" w:rsidRDefault="005D5CF3" w:rsidP="004948FC">
      <w:pPr>
        <w:pStyle w:val="Prrafodelista"/>
        <w:suppressAutoHyphens w:val="0"/>
        <w:spacing w:before="0" w:after="200" w:line="480" w:lineRule="auto"/>
        <w:ind w:left="720" w:firstLine="0"/>
        <w:rPr>
          <w:rFonts w:ascii="Times New Roman" w:hAnsi="Times New Roman" w:cs="Times New Roman"/>
          <w:color w:val="auto"/>
          <w:sz w:val="24"/>
          <w:szCs w:val="24"/>
        </w:rPr>
      </w:pPr>
    </w:p>
    <w:p w:rsidR="00DE69DE" w:rsidRPr="00BB231B" w:rsidRDefault="005D5CF3" w:rsidP="0013776D">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Se coordinó </w:t>
      </w:r>
      <w:r w:rsidR="00C72415" w:rsidRPr="00BB231B">
        <w:rPr>
          <w:rFonts w:ascii="Times New Roman" w:hAnsi="Times New Roman" w:cs="Times New Roman"/>
          <w:color w:val="auto"/>
          <w:sz w:val="24"/>
          <w:szCs w:val="24"/>
        </w:rPr>
        <w:t xml:space="preserve"> actividad </w:t>
      </w:r>
      <w:r w:rsidRPr="00BB231B">
        <w:rPr>
          <w:rFonts w:ascii="Times New Roman" w:hAnsi="Times New Roman" w:cs="Times New Roman"/>
          <w:color w:val="auto"/>
          <w:sz w:val="24"/>
          <w:szCs w:val="24"/>
        </w:rPr>
        <w:t xml:space="preserve">para el </w:t>
      </w:r>
      <w:r w:rsidR="00DE69DE" w:rsidRPr="00BB231B">
        <w:rPr>
          <w:rFonts w:ascii="Times New Roman" w:hAnsi="Times New Roman" w:cs="Times New Roman"/>
          <w:color w:val="auto"/>
          <w:sz w:val="24"/>
          <w:szCs w:val="24"/>
        </w:rPr>
        <w:t xml:space="preserve"> fortalecimiento</w:t>
      </w:r>
      <w:r w:rsidRPr="00BB231B">
        <w:rPr>
          <w:rFonts w:ascii="Times New Roman" w:hAnsi="Times New Roman" w:cs="Times New Roman"/>
          <w:color w:val="auto"/>
          <w:sz w:val="24"/>
          <w:szCs w:val="24"/>
        </w:rPr>
        <w:t xml:space="preserve"> de los valores</w:t>
      </w:r>
      <w:r w:rsidR="00C25FE5" w:rsidRPr="00BB231B">
        <w:rPr>
          <w:rFonts w:ascii="Times New Roman" w:hAnsi="Times New Roman" w:cs="Times New Roman"/>
          <w:color w:val="auto"/>
          <w:sz w:val="24"/>
          <w:szCs w:val="24"/>
        </w:rPr>
        <w:t xml:space="preserve">. </w:t>
      </w:r>
      <w:r w:rsidR="008A6E74" w:rsidRPr="00BB231B">
        <w:rPr>
          <w:rFonts w:ascii="Times New Roman" w:hAnsi="Times New Roman" w:cs="Times New Roman"/>
          <w:color w:val="auto"/>
          <w:sz w:val="24"/>
          <w:szCs w:val="24"/>
        </w:rPr>
        <w:t>S</w:t>
      </w:r>
      <w:r w:rsidR="00DE69DE" w:rsidRPr="00BB231B">
        <w:rPr>
          <w:rFonts w:ascii="Times New Roman" w:hAnsi="Times New Roman" w:cs="Times New Roman"/>
          <w:color w:val="auto"/>
          <w:sz w:val="24"/>
          <w:szCs w:val="24"/>
        </w:rPr>
        <w:t xml:space="preserve">e </w:t>
      </w:r>
      <w:r w:rsidR="00C72415" w:rsidRPr="00BB231B">
        <w:rPr>
          <w:rFonts w:ascii="Times New Roman" w:hAnsi="Times New Roman" w:cs="Times New Roman"/>
          <w:color w:val="auto"/>
          <w:sz w:val="24"/>
          <w:szCs w:val="24"/>
        </w:rPr>
        <w:t>contó</w:t>
      </w:r>
      <w:r w:rsidR="00244D40" w:rsidRPr="00BB231B">
        <w:rPr>
          <w:rFonts w:ascii="Times New Roman" w:hAnsi="Times New Roman" w:cs="Times New Roman"/>
          <w:color w:val="auto"/>
          <w:sz w:val="24"/>
          <w:szCs w:val="24"/>
        </w:rPr>
        <w:t xml:space="preserve"> </w:t>
      </w:r>
      <w:r w:rsidR="00C25FE5" w:rsidRPr="00BB231B">
        <w:rPr>
          <w:rFonts w:ascii="Times New Roman" w:hAnsi="Times New Roman" w:cs="Times New Roman"/>
          <w:color w:val="auto"/>
          <w:sz w:val="24"/>
          <w:szCs w:val="24"/>
        </w:rPr>
        <w:t xml:space="preserve">con </w:t>
      </w:r>
      <w:r w:rsidR="00DE69DE" w:rsidRPr="00BB231B">
        <w:rPr>
          <w:rFonts w:ascii="Times New Roman" w:hAnsi="Times New Roman" w:cs="Times New Roman"/>
          <w:color w:val="auto"/>
          <w:sz w:val="24"/>
          <w:szCs w:val="24"/>
        </w:rPr>
        <w:t xml:space="preserve">el apoyo </w:t>
      </w:r>
      <w:r w:rsidR="00244D40" w:rsidRPr="00BB231B">
        <w:rPr>
          <w:rFonts w:ascii="Times New Roman" w:hAnsi="Times New Roman" w:cs="Times New Roman"/>
          <w:color w:val="auto"/>
          <w:sz w:val="24"/>
          <w:szCs w:val="24"/>
        </w:rPr>
        <w:t xml:space="preserve">y participación </w:t>
      </w:r>
      <w:r w:rsidR="00DE69DE" w:rsidRPr="00BB231B">
        <w:rPr>
          <w:rFonts w:ascii="Times New Roman" w:hAnsi="Times New Roman" w:cs="Times New Roman"/>
          <w:color w:val="auto"/>
          <w:sz w:val="24"/>
          <w:szCs w:val="24"/>
        </w:rPr>
        <w:t>de la Dirección General de Ética e Integridad Gubernamental (DIGEIG)</w:t>
      </w:r>
      <w:r w:rsidR="009272C6" w:rsidRPr="00BB231B">
        <w:rPr>
          <w:rFonts w:ascii="Times New Roman" w:hAnsi="Times New Roman" w:cs="Times New Roman"/>
          <w:color w:val="auto"/>
          <w:sz w:val="24"/>
          <w:szCs w:val="24"/>
        </w:rPr>
        <w:t>.</w:t>
      </w:r>
      <w:r w:rsidR="00521135" w:rsidRPr="00BB231B">
        <w:rPr>
          <w:rFonts w:ascii="Times New Roman" w:hAnsi="Times New Roman" w:cs="Times New Roman"/>
          <w:color w:val="auto"/>
          <w:sz w:val="24"/>
          <w:szCs w:val="24"/>
        </w:rPr>
        <w:t xml:space="preserve"> La misma f</w:t>
      </w:r>
      <w:r w:rsidR="00244D40" w:rsidRPr="00BB231B">
        <w:rPr>
          <w:rFonts w:ascii="Times New Roman" w:hAnsi="Times New Roman" w:cs="Times New Roman"/>
          <w:color w:val="auto"/>
          <w:sz w:val="24"/>
          <w:szCs w:val="24"/>
        </w:rPr>
        <w:t xml:space="preserve">ue realizada </w:t>
      </w:r>
      <w:r w:rsidR="00DE69DE" w:rsidRPr="00BB231B">
        <w:rPr>
          <w:rFonts w:ascii="Times New Roman" w:hAnsi="Times New Roman" w:cs="Times New Roman"/>
          <w:color w:val="auto"/>
          <w:sz w:val="24"/>
          <w:szCs w:val="24"/>
        </w:rPr>
        <w:t xml:space="preserve">en el Auditorio </w:t>
      </w:r>
      <w:r w:rsidR="00C25FE5" w:rsidRPr="00BB231B">
        <w:rPr>
          <w:rFonts w:ascii="Times New Roman" w:hAnsi="Times New Roman" w:cs="Times New Roman"/>
          <w:color w:val="auto"/>
          <w:sz w:val="24"/>
          <w:szCs w:val="24"/>
        </w:rPr>
        <w:t>del Banco</w:t>
      </w:r>
      <w:r w:rsidR="00DE69DE" w:rsidRPr="00BB231B">
        <w:rPr>
          <w:rFonts w:ascii="Times New Roman" w:hAnsi="Times New Roman" w:cs="Times New Roman"/>
          <w:color w:val="auto"/>
          <w:sz w:val="24"/>
          <w:szCs w:val="24"/>
        </w:rPr>
        <w:t xml:space="preserve"> Central con </w:t>
      </w:r>
      <w:r w:rsidR="00244D40" w:rsidRPr="00BB231B">
        <w:rPr>
          <w:rFonts w:ascii="Times New Roman" w:hAnsi="Times New Roman" w:cs="Times New Roman"/>
          <w:color w:val="auto"/>
          <w:sz w:val="24"/>
          <w:szCs w:val="24"/>
        </w:rPr>
        <w:t>l</w:t>
      </w:r>
      <w:r w:rsidR="00DE69DE" w:rsidRPr="00BB231B">
        <w:rPr>
          <w:rFonts w:ascii="Times New Roman" w:hAnsi="Times New Roman" w:cs="Times New Roman"/>
          <w:color w:val="auto"/>
          <w:sz w:val="24"/>
          <w:szCs w:val="24"/>
        </w:rPr>
        <w:t xml:space="preserve">os colaboradores de la CGR a fin de promover los </w:t>
      </w:r>
      <w:r w:rsidR="00DE69DE" w:rsidRPr="00BB231B">
        <w:rPr>
          <w:rFonts w:ascii="Times New Roman" w:hAnsi="Times New Roman" w:cs="Times New Roman"/>
          <w:color w:val="auto"/>
          <w:sz w:val="24"/>
          <w:szCs w:val="24"/>
        </w:rPr>
        <w:lastRenderedPageBreak/>
        <w:t>valores</w:t>
      </w:r>
      <w:r w:rsidR="00521135" w:rsidRPr="00BB231B">
        <w:rPr>
          <w:rFonts w:ascii="Times New Roman" w:hAnsi="Times New Roman" w:cs="Times New Roman"/>
          <w:color w:val="auto"/>
          <w:sz w:val="24"/>
          <w:szCs w:val="24"/>
        </w:rPr>
        <w:t xml:space="preserve"> éticos consignados en nuestro Código de Ética</w:t>
      </w:r>
      <w:r w:rsidR="00DE69DE" w:rsidRPr="00BB231B">
        <w:rPr>
          <w:rFonts w:ascii="Times New Roman" w:hAnsi="Times New Roman" w:cs="Times New Roman"/>
          <w:color w:val="auto"/>
          <w:sz w:val="24"/>
          <w:szCs w:val="24"/>
        </w:rPr>
        <w:t xml:space="preserve"> y </w:t>
      </w:r>
      <w:r w:rsidR="00966D42" w:rsidRPr="00BB231B">
        <w:rPr>
          <w:rFonts w:ascii="Times New Roman" w:hAnsi="Times New Roman" w:cs="Times New Roman"/>
          <w:color w:val="auto"/>
          <w:sz w:val="24"/>
          <w:szCs w:val="24"/>
        </w:rPr>
        <w:t>alineada</w:t>
      </w:r>
      <w:r w:rsidR="00DE69DE" w:rsidRPr="00BB231B">
        <w:rPr>
          <w:rFonts w:ascii="Times New Roman" w:hAnsi="Times New Roman" w:cs="Times New Roman"/>
          <w:color w:val="auto"/>
          <w:sz w:val="24"/>
          <w:szCs w:val="24"/>
        </w:rPr>
        <w:t xml:space="preserve"> a la misión Institucional.</w:t>
      </w:r>
    </w:p>
    <w:p w:rsidR="0011170A" w:rsidRDefault="0011170A" w:rsidP="0011170A">
      <w:pPr>
        <w:suppressAutoHyphens w:val="0"/>
        <w:spacing w:before="0" w:after="200" w:line="480" w:lineRule="auto"/>
        <w:rPr>
          <w:rFonts w:ascii="Times New Roman" w:hAnsi="Times New Roman" w:cs="Times New Roman"/>
          <w:color w:val="auto"/>
          <w:sz w:val="24"/>
          <w:szCs w:val="24"/>
        </w:rPr>
      </w:pPr>
    </w:p>
    <w:p w:rsidR="00B37292" w:rsidRDefault="00B37292" w:rsidP="0011170A">
      <w:pPr>
        <w:suppressAutoHyphens w:val="0"/>
        <w:spacing w:before="0" w:after="200" w:line="480" w:lineRule="auto"/>
        <w:rPr>
          <w:rFonts w:ascii="Times New Roman" w:hAnsi="Times New Roman" w:cs="Times New Roman"/>
          <w:color w:val="auto"/>
          <w:sz w:val="24"/>
          <w:szCs w:val="24"/>
        </w:rPr>
      </w:pPr>
    </w:p>
    <w:p w:rsidR="00B37292" w:rsidRPr="00BB231B" w:rsidRDefault="00B37292" w:rsidP="0011170A">
      <w:pPr>
        <w:suppressAutoHyphens w:val="0"/>
        <w:spacing w:before="0" w:after="200" w:line="480" w:lineRule="auto"/>
        <w:rPr>
          <w:rFonts w:ascii="Times New Roman" w:hAnsi="Times New Roman" w:cs="Times New Roman"/>
          <w:color w:val="auto"/>
          <w:sz w:val="24"/>
          <w:szCs w:val="24"/>
        </w:rPr>
      </w:pPr>
    </w:p>
    <w:p w:rsidR="006D1E63" w:rsidRPr="00BB231B" w:rsidRDefault="00AB3AD7" w:rsidP="0051027A">
      <w:pPr>
        <w:pStyle w:val="Epgrafe"/>
        <w:spacing w:after="0" w:line="480" w:lineRule="auto"/>
        <w:jc w:val="center"/>
        <w:rPr>
          <w:rStyle w:val="nfasissutil"/>
          <w:rFonts w:ascii="Times New Roman" w:hAnsi="Times New Roman" w:cs="Times New Roman"/>
          <w:b/>
          <w:i w:val="0"/>
          <w:color w:val="000000" w:themeColor="text1"/>
          <w:sz w:val="18"/>
        </w:rPr>
      </w:pPr>
      <w:bookmarkStart w:id="38" w:name="_Ref426342575"/>
      <w:r w:rsidRPr="00BB231B">
        <w:rPr>
          <w:rFonts w:ascii="Times New Roman" w:hAnsi="Times New Roman" w:cs="Times New Roman"/>
          <w:b/>
          <w:i w:val="0"/>
          <w:color w:val="000000" w:themeColor="text1"/>
        </w:rPr>
        <w:t>Ilustración</w:t>
      </w:r>
      <w:r w:rsidR="006D1E63" w:rsidRPr="00BB231B">
        <w:rPr>
          <w:rFonts w:ascii="Times New Roman" w:hAnsi="Times New Roman" w:cs="Times New Roman"/>
          <w:b/>
          <w:i w:val="0"/>
          <w:color w:val="000000" w:themeColor="text1"/>
        </w:rPr>
        <w:t xml:space="preserve"> </w:t>
      </w:r>
      <w:bookmarkEnd w:id="38"/>
      <w:r w:rsidR="00205B9E" w:rsidRPr="00BB231B">
        <w:rPr>
          <w:rFonts w:ascii="Times New Roman" w:hAnsi="Times New Roman" w:cs="Times New Roman"/>
          <w:b/>
          <w:i w:val="0"/>
          <w:color w:val="000000" w:themeColor="text1"/>
        </w:rPr>
        <w:t>1</w:t>
      </w:r>
    </w:p>
    <w:p w:rsidR="009712D6" w:rsidRPr="00BB231B" w:rsidRDefault="009712D6" w:rsidP="0051027A">
      <w:pPr>
        <w:pStyle w:val="Normal-blanco"/>
        <w:spacing w:before="0" w:after="0"/>
        <w:ind w:left="1134" w:right="199"/>
        <w:jc w:val="center"/>
        <w:rPr>
          <w:rStyle w:val="nfasissutil"/>
          <w:rFonts w:ascii="Times New Roman" w:hAnsi="Times New Roman" w:cs="Times New Roman"/>
          <w:color w:val="000000" w:themeColor="text1"/>
          <w:sz w:val="20"/>
          <w:lang w:val="es-DO"/>
        </w:rPr>
      </w:pPr>
      <w:r w:rsidRPr="00BB231B">
        <w:rPr>
          <w:rStyle w:val="nfasissutil"/>
          <w:rFonts w:ascii="Times New Roman" w:hAnsi="Times New Roman" w:cs="Times New Roman"/>
          <w:color w:val="000000" w:themeColor="text1"/>
          <w:sz w:val="20"/>
          <w:lang w:val="es-DO"/>
        </w:rPr>
        <w:t>CONTRALORÍA GENERAL DE LA REPÚBLICA: Charla por el Día de la Ética Ciudadana en el auditorio de</w:t>
      </w:r>
      <w:r w:rsidR="00521135" w:rsidRPr="00BB231B">
        <w:rPr>
          <w:rStyle w:val="nfasissutil"/>
          <w:rFonts w:ascii="Times New Roman" w:hAnsi="Times New Roman" w:cs="Times New Roman"/>
          <w:color w:val="000000" w:themeColor="text1"/>
          <w:sz w:val="20"/>
          <w:lang w:val="es-DO"/>
        </w:rPr>
        <w:t>l Banco Central</w:t>
      </w:r>
      <w:r w:rsidR="004D454D" w:rsidRPr="00BB231B">
        <w:rPr>
          <w:rStyle w:val="nfasissutil"/>
          <w:rFonts w:ascii="Times New Roman" w:hAnsi="Times New Roman" w:cs="Times New Roman"/>
          <w:color w:val="000000" w:themeColor="text1"/>
          <w:sz w:val="20"/>
          <w:lang w:val="es-DO"/>
        </w:rPr>
        <w:t>, abril 2017.</w:t>
      </w:r>
    </w:p>
    <w:p w:rsidR="006D1E63" w:rsidRPr="00BB231B" w:rsidRDefault="006D1E63" w:rsidP="0051027A">
      <w:pPr>
        <w:pStyle w:val="Normal-blanco"/>
        <w:spacing w:before="0" w:after="0" w:line="480" w:lineRule="auto"/>
        <w:ind w:left="1134" w:right="199"/>
        <w:jc w:val="center"/>
        <w:rPr>
          <w:rStyle w:val="nfasissutil"/>
          <w:rFonts w:ascii="Times New Roman" w:hAnsi="Times New Roman" w:cs="Times New Roman"/>
          <w:color w:val="000000" w:themeColor="text1"/>
          <w:sz w:val="22"/>
          <w:highlight w:val="yellow"/>
          <w:lang w:val="es-DO"/>
        </w:rPr>
      </w:pPr>
    </w:p>
    <w:p w:rsidR="009712D6" w:rsidRPr="00BB231B" w:rsidRDefault="009712D6" w:rsidP="0051027A">
      <w:pPr>
        <w:pStyle w:val="Normal-blanco"/>
        <w:spacing w:before="0" w:after="0" w:line="480" w:lineRule="auto"/>
        <w:ind w:left="1134" w:right="199"/>
        <w:jc w:val="center"/>
        <w:rPr>
          <w:rStyle w:val="nfasissutil"/>
          <w:rFonts w:ascii="Times New Roman" w:hAnsi="Times New Roman" w:cs="Times New Roman"/>
          <w:color w:val="000000" w:themeColor="text1"/>
          <w:sz w:val="22"/>
          <w:highlight w:val="yellow"/>
          <w:lang w:val="es-DO"/>
        </w:rPr>
      </w:pPr>
    </w:p>
    <w:p w:rsidR="009712D6" w:rsidRPr="00BB231B" w:rsidRDefault="009712D6" w:rsidP="0051027A">
      <w:pPr>
        <w:pStyle w:val="Normal-blanco"/>
        <w:spacing w:before="0" w:after="0" w:line="480" w:lineRule="auto"/>
        <w:ind w:left="1134" w:right="199"/>
        <w:jc w:val="center"/>
        <w:rPr>
          <w:rStyle w:val="nfasissutil"/>
          <w:rFonts w:ascii="Times New Roman" w:hAnsi="Times New Roman" w:cs="Times New Roman"/>
          <w:color w:val="000000" w:themeColor="text1"/>
          <w:sz w:val="22"/>
          <w:highlight w:val="yellow"/>
          <w:lang w:val="es-DO"/>
        </w:rPr>
      </w:pPr>
    </w:p>
    <w:p w:rsidR="009712D6" w:rsidRPr="00BB231B" w:rsidRDefault="009712D6" w:rsidP="0051027A">
      <w:pPr>
        <w:pStyle w:val="Normal-blanco"/>
        <w:spacing w:before="0" w:after="0" w:line="480" w:lineRule="auto"/>
        <w:ind w:left="1134" w:right="199"/>
        <w:jc w:val="center"/>
        <w:rPr>
          <w:rStyle w:val="nfasissutil"/>
          <w:rFonts w:ascii="Times New Roman" w:hAnsi="Times New Roman" w:cs="Times New Roman"/>
          <w:color w:val="000000" w:themeColor="text1"/>
          <w:sz w:val="22"/>
          <w:highlight w:val="yellow"/>
          <w:lang w:val="es-DO"/>
        </w:rPr>
      </w:pPr>
    </w:p>
    <w:p w:rsidR="009712D6" w:rsidRPr="00BB231B" w:rsidRDefault="009712D6" w:rsidP="0051027A">
      <w:pPr>
        <w:pStyle w:val="Normal-blanco"/>
        <w:spacing w:before="0" w:after="0" w:line="480" w:lineRule="auto"/>
        <w:ind w:left="1134" w:right="199"/>
        <w:jc w:val="center"/>
        <w:rPr>
          <w:rStyle w:val="nfasissutil"/>
          <w:rFonts w:ascii="Times New Roman" w:hAnsi="Times New Roman" w:cs="Times New Roman"/>
          <w:color w:val="000000" w:themeColor="text1"/>
          <w:sz w:val="22"/>
          <w:highlight w:val="yellow"/>
          <w:lang w:val="es-DO"/>
        </w:rPr>
      </w:pPr>
    </w:p>
    <w:p w:rsidR="009712D6" w:rsidRPr="00BB231B" w:rsidRDefault="009712D6" w:rsidP="0051027A">
      <w:pPr>
        <w:pStyle w:val="Normal-blanco"/>
        <w:spacing w:before="0" w:after="0" w:line="480" w:lineRule="auto"/>
        <w:ind w:left="1134" w:right="199"/>
        <w:jc w:val="center"/>
        <w:rPr>
          <w:rStyle w:val="nfasissutil"/>
          <w:rFonts w:ascii="Times New Roman" w:hAnsi="Times New Roman" w:cs="Times New Roman"/>
          <w:color w:val="000000" w:themeColor="text1"/>
          <w:sz w:val="22"/>
          <w:highlight w:val="yellow"/>
          <w:lang w:val="es-DO"/>
        </w:rPr>
      </w:pPr>
    </w:p>
    <w:p w:rsidR="002A637A" w:rsidRPr="00BB231B" w:rsidRDefault="002A637A" w:rsidP="0051027A">
      <w:pPr>
        <w:spacing w:before="0" w:after="0" w:line="480" w:lineRule="auto"/>
        <w:ind w:firstLine="709"/>
        <w:jc w:val="center"/>
        <w:rPr>
          <w:rFonts w:ascii="Times New Roman" w:hAnsi="Times New Roman" w:cs="Times New Roman"/>
          <w:b/>
          <w:color w:val="000000" w:themeColor="text1"/>
          <w:lang w:val="es-DO"/>
        </w:rPr>
      </w:pPr>
    </w:p>
    <w:p w:rsidR="002A637A" w:rsidRPr="00BB231B" w:rsidRDefault="008A6E74" w:rsidP="0051027A">
      <w:pPr>
        <w:spacing w:before="0" w:after="0" w:line="480" w:lineRule="auto"/>
        <w:ind w:firstLine="709"/>
        <w:jc w:val="center"/>
        <w:rPr>
          <w:rFonts w:ascii="Times New Roman" w:hAnsi="Times New Roman" w:cs="Times New Roman"/>
          <w:b/>
          <w:color w:val="000000" w:themeColor="text1"/>
          <w:lang w:val="es-DO"/>
        </w:rPr>
      </w:pPr>
      <w:r w:rsidRPr="00BB231B">
        <w:rPr>
          <w:rFonts w:ascii="Times New Roman" w:hAnsi="Times New Roman" w:cs="Times New Roman"/>
          <w:noProof/>
          <w:color w:val="000000" w:themeColor="text1"/>
          <w:lang w:val="es-US" w:eastAsia="es-US"/>
        </w:rPr>
        <w:drawing>
          <wp:anchor distT="0" distB="0" distL="114300" distR="114300" simplePos="0" relativeHeight="251721728" behindDoc="0" locked="0" layoutInCell="1" allowOverlap="1" wp14:anchorId="5EA6A19A" wp14:editId="399269E3">
            <wp:simplePos x="0" y="0"/>
            <wp:positionH relativeFrom="column">
              <wp:posOffset>923925</wp:posOffset>
            </wp:positionH>
            <wp:positionV relativeFrom="paragraph">
              <wp:posOffset>-2152015</wp:posOffset>
            </wp:positionV>
            <wp:extent cx="4246880" cy="2856865"/>
            <wp:effectExtent l="0" t="0" r="1270"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46880" cy="285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637A" w:rsidRPr="00BB231B" w:rsidRDefault="002A637A" w:rsidP="0051027A">
      <w:pPr>
        <w:spacing w:before="0" w:after="0" w:line="480" w:lineRule="auto"/>
        <w:ind w:firstLine="709"/>
        <w:jc w:val="center"/>
        <w:rPr>
          <w:rFonts w:ascii="Times New Roman" w:hAnsi="Times New Roman" w:cs="Times New Roman"/>
          <w:b/>
          <w:color w:val="000000" w:themeColor="text1"/>
          <w:lang w:val="es-DO"/>
        </w:rPr>
      </w:pPr>
    </w:p>
    <w:p w:rsidR="002A637A" w:rsidRPr="00BB231B" w:rsidRDefault="002A637A" w:rsidP="004948FC">
      <w:pPr>
        <w:spacing w:before="0" w:after="0" w:line="480" w:lineRule="auto"/>
        <w:ind w:firstLine="709"/>
        <w:jc w:val="right"/>
        <w:rPr>
          <w:rFonts w:ascii="Times New Roman" w:hAnsi="Times New Roman" w:cs="Times New Roman"/>
          <w:b/>
          <w:color w:val="000000" w:themeColor="text1"/>
          <w:lang w:val="es-DO"/>
        </w:rPr>
      </w:pPr>
    </w:p>
    <w:p w:rsidR="00040207" w:rsidRPr="00BB231B" w:rsidRDefault="00040207" w:rsidP="004948FC">
      <w:pPr>
        <w:spacing w:before="0" w:after="0" w:line="480" w:lineRule="auto"/>
        <w:ind w:firstLine="709"/>
        <w:jc w:val="center"/>
        <w:rPr>
          <w:rFonts w:ascii="Times New Roman" w:hAnsi="Times New Roman" w:cs="Times New Roman"/>
          <w:b/>
          <w:color w:val="000000" w:themeColor="text1"/>
          <w:sz w:val="18"/>
          <w:lang w:val="es-DO"/>
        </w:rPr>
      </w:pPr>
    </w:p>
    <w:p w:rsidR="006D1E63" w:rsidRPr="00BB231B" w:rsidRDefault="006D1E63" w:rsidP="004948FC">
      <w:pPr>
        <w:spacing w:before="0" w:after="0" w:line="480" w:lineRule="auto"/>
        <w:ind w:left="425" w:firstLine="709"/>
        <w:jc w:val="left"/>
        <w:rPr>
          <w:rFonts w:ascii="Times New Roman" w:hAnsi="Times New Roman" w:cs="Times New Roman"/>
          <w:i/>
          <w:color w:val="000000" w:themeColor="text1"/>
          <w:sz w:val="18"/>
          <w:lang w:val="es-DO"/>
        </w:rPr>
      </w:pPr>
      <w:r w:rsidRPr="00BB231B">
        <w:rPr>
          <w:rFonts w:ascii="Times New Roman" w:hAnsi="Times New Roman" w:cs="Times New Roman"/>
          <w:b/>
          <w:color w:val="000000" w:themeColor="text1"/>
          <w:sz w:val="18"/>
          <w:lang w:val="es-DO"/>
        </w:rPr>
        <w:t>Fuente</w:t>
      </w:r>
      <w:r w:rsidRPr="00BB231B">
        <w:rPr>
          <w:rFonts w:ascii="Times New Roman" w:hAnsi="Times New Roman" w:cs="Times New Roman"/>
          <w:color w:val="000000" w:themeColor="text1"/>
          <w:sz w:val="18"/>
          <w:lang w:val="es-DO"/>
        </w:rPr>
        <w:t xml:space="preserve">: </w:t>
      </w:r>
      <w:r w:rsidR="004D454D" w:rsidRPr="00BB231B">
        <w:rPr>
          <w:rFonts w:ascii="Times New Roman" w:hAnsi="Times New Roman" w:cs="Times New Roman"/>
          <w:i/>
          <w:color w:val="000000" w:themeColor="text1"/>
          <w:sz w:val="18"/>
          <w:lang w:val="es-DO"/>
        </w:rPr>
        <w:t>Contraloría General de la República Dominicana</w:t>
      </w:r>
    </w:p>
    <w:p w:rsidR="000D6E85" w:rsidRPr="00B37292" w:rsidRDefault="007D790A" w:rsidP="000D6E85">
      <w:pPr>
        <w:pStyle w:val="Prrafodelista"/>
        <w:numPr>
          <w:ilvl w:val="0"/>
          <w:numId w:val="41"/>
        </w:numPr>
        <w:suppressAutoHyphens w:val="0"/>
        <w:spacing w:before="0" w:after="200" w:line="480" w:lineRule="auto"/>
        <w:rPr>
          <w:rStyle w:val="nfasissutil"/>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La Contraloría, </w:t>
      </w:r>
      <w:r w:rsidR="00D41E2B" w:rsidRPr="00BB231B">
        <w:rPr>
          <w:rFonts w:ascii="Times New Roman" w:hAnsi="Times New Roman" w:cs="Times New Roman"/>
          <w:color w:val="auto"/>
          <w:sz w:val="24"/>
          <w:szCs w:val="24"/>
        </w:rPr>
        <w:t xml:space="preserve">desde </w:t>
      </w:r>
      <w:r w:rsidR="00445512" w:rsidRPr="00BB231B">
        <w:rPr>
          <w:rFonts w:ascii="Times New Roman" w:hAnsi="Times New Roman" w:cs="Times New Roman"/>
          <w:color w:val="auto"/>
          <w:sz w:val="24"/>
          <w:szCs w:val="24"/>
        </w:rPr>
        <w:t xml:space="preserve">el 2015 y hasta el 2017 </w:t>
      </w:r>
      <w:r w:rsidR="00D41E2B" w:rsidRPr="00BB231B">
        <w:rPr>
          <w:rFonts w:ascii="Times New Roman" w:hAnsi="Times New Roman" w:cs="Times New Roman"/>
          <w:color w:val="auto"/>
          <w:sz w:val="24"/>
          <w:szCs w:val="24"/>
        </w:rPr>
        <w:t xml:space="preserve"> </w:t>
      </w:r>
      <w:r w:rsidRPr="00BB231B">
        <w:rPr>
          <w:rFonts w:ascii="Times New Roman" w:hAnsi="Times New Roman" w:cs="Times New Roman"/>
          <w:color w:val="auto"/>
          <w:sz w:val="24"/>
          <w:szCs w:val="24"/>
        </w:rPr>
        <w:t>ha desarrollado</w:t>
      </w:r>
      <w:r w:rsidR="00800C14" w:rsidRPr="00BB231B">
        <w:rPr>
          <w:rFonts w:ascii="Times New Roman" w:hAnsi="Times New Roman" w:cs="Times New Roman"/>
          <w:color w:val="auto"/>
          <w:sz w:val="24"/>
          <w:szCs w:val="24"/>
        </w:rPr>
        <w:t xml:space="preserve"> </w:t>
      </w:r>
      <w:r w:rsidRPr="00BB231B">
        <w:rPr>
          <w:rFonts w:ascii="Times New Roman" w:hAnsi="Times New Roman" w:cs="Times New Roman"/>
          <w:color w:val="auto"/>
          <w:sz w:val="24"/>
          <w:szCs w:val="24"/>
        </w:rPr>
        <w:t xml:space="preserve">un modelo de </w:t>
      </w:r>
      <w:r w:rsidR="009745DA" w:rsidRPr="00BB231B">
        <w:rPr>
          <w:rFonts w:ascii="Times New Roman" w:hAnsi="Times New Roman" w:cs="Times New Roman"/>
          <w:color w:val="auto"/>
          <w:sz w:val="24"/>
          <w:szCs w:val="24"/>
        </w:rPr>
        <w:t xml:space="preserve">gestión por procesos, </w:t>
      </w:r>
      <w:r w:rsidR="0033350F" w:rsidRPr="00BB231B">
        <w:rPr>
          <w:rFonts w:ascii="Times New Roman" w:hAnsi="Times New Roman" w:cs="Times New Roman"/>
          <w:color w:val="auto"/>
          <w:sz w:val="24"/>
          <w:szCs w:val="24"/>
        </w:rPr>
        <w:t>sobre la base de la</w:t>
      </w:r>
      <w:r w:rsidR="000A124D" w:rsidRPr="00BB231B">
        <w:rPr>
          <w:rFonts w:ascii="Times New Roman" w:hAnsi="Times New Roman" w:cs="Times New Roman"/>
          <w:color w:val="auto"/>
          <w:sz w:val="24"/>
          <w:szCs w:val="24"/>
        </w:rPr>
        <w:t xml:space="preserve"> implementación de un </w:t>
      </w:r>
      <w:r w:rsidRPr="00BB231B">
        <w:rPr>
          <w:rFonts w:ascii="Times New Roman" w:hAnsi="Times New Roman" w:cs="Times New Roman"/>
          <w:color w:val="auto"/>
          <w:sz w:val="24"/>
          <w:szCs w:val="24"/>
        </w:rPr>
        <w:t>Sistema de</w:t>
      </w:r>
      <w:r w:rsidR="000A124D" w:rsidRPr="00BB231B">
        <w:rPr>
          <w:rFonts w:ascii="Times New Roman" w:hAnsi="Times New Roman" w:cs="Times New Roman"/>
          <w:color w:val="auto"/>
          <w:sz w:val="24"/>
          <w:szCs w:val="24"/>
        </w:rPr>
        <w:t xml:space="preserve"> Gestión de la Calidad, como lo es el Marco Comú</w:t>
      </w:r>
      <w:r w:rsidR="00800C14" w:rsidRPr="00BB231B">
        <w:rPr>
          <w:rFonts w:ascii="Times New Roman" w:hAnsi="Times New Roman" w:cs="Times New Roman"/>
          <w:color w:val="auto"/>
          <w:sz w:val="24"/>
          <w:szCs w:val="24"/>
        </w:rPr>
        <w:t>n de Evaluació</w:t>
      </w:r>
      <w:r w:rsidR="000A124D" w:rsidRPr="00BB231B">
        <w:rPr>
          <w:rFonts w:ascii="Times New Roman" w:hAnsi="Times New Roman" w:cs="Times New Roman"/>
          <w:color w:val="auto"/>
          <w:sz w:val="24"/>
          <w:szCs w:val="24"/>
        </w:rPr>
        <w:t>n (</w:t>
      </w:r>
      <w:proofErr w:type="spellStart"/>
      <w:r w:rsidR="00967F94" w:rsidRPr="00BB231B">
        <w:rPr>
          <w:rFonts w:ascii="Times New Roman" w:hAnsi="Times New Roman" w:cs="Times New Roman"/>
          <w:color w:val="auto"/>
          <w:sz w:val="24"/>
          <w:szCs w:val="24"/>
        </w:rPr>
        <w:t>Common</w:t>
      </w:r>
      <w:proofErr w:type="spellEnd"/>
      <w:r w:rsidR="00967F94" w:rsidRPr="00BB231B">
        <w:rPr>
          <w:rFonts w:ascii="Times New Roman" w:hAnsi="Times New Roman" w:cs="Times New Roman"/>
          <w:color w:val="auto"/>
          <w:sz w:val="24"/>
          <w:szCs w:val="24"/>
        </w:rPr>
        <w:t xml:space="preserve"> </w:t>
      </w:r>
      <w:proofErr w:type="spellStart"/>
      <w:r w:rsidR="00967F94" w:rsidRPr="00BB231B">
        <w:rPr>
          <w:rFonts w:ascii="Times New Roman" w:hAnsi="Times New Roman" w:cs="Times New Roman"/>
          <w:color w:val="auto"/>
          <w:sz w:val="24"/>
          <w:szCs w:val="24"/>
        </w:rPr>
        <w:t>Assessment</w:t>
      </w:r>
      <w:proofErr w:type="spellEnd"/>
      <w:r w:rsidR="00967F94" w:rsidRPr="00BB231B">
        <w:rPr>
          <w:rFonts w:ascii="Times New Roman" w:hAnsi="Times New Roman" w:cs="Times New Roman"/>
          <w:color w:val="auto"/>
          <w:sz w:val="24"/>
          <w:szCs w:val="24"/>
        </w:rPr>
        <w:t xml:space="preserve"> Framework</w:t>
      </w:r>
      <w:r w:rsidR="000A124D" w:rsidRPr="00BB231B">
        <w:rPr>
          <w:rFonts w:ascii="Times New Roman" w:hAnsi="Times New Roman" w:cs="Times New Roman"/>
          <w:color w:val="auto"/>
          <w:sz w:val="24"/>
          <w:szCs w:val="24"/>
        </w:rPr>
        <w:t xml:space="preserve">), </w:t>
      </w:r>
      <w:r w:rsidR="00D65BD1" w:rsidRPr="00BB231B">
        <w:rPr>
          <w:rFonts w:ascii="Times New Roman" w:hAnsi="Times New Roman" w:cs="Times New Roman"/>
          <w:color w:val="auto"/>
          <w:sz w:val="24"/>
          <w:szCs w:val="24"/>
        </w:rPr>
        <w:t xml:space="preserve">que resulta en una metodología de </w:t>
      </w:r>
      <w:r w:rsidR="00D65BD1" w:rsidRPr="00BB231B">
        <w:rPr>
          <w:rFonts w:ascii="Times New Roman" w:hAnsi="Times New Roman" w:cs="Times New Roman"/>
          <w:color w:val="auto"/>
          <w:sz w:val="24"/>
          <w:szCs w:val="24"/>
        </w:rPr>
        <w:lastRenderedPageBreak/>
        <w:t>evaluación para el mejoramiento de la calidad en las administraciones públicas, impactando</w:t>
      </w:r>
      <w:r w:rsidR="009745DA" w:rsidRPr="00BB231B">
        <w:rPr>
          <w:rFonts w:ascii="Times New Roman" w:hAnsi="Times New Roman" w:cs="Times New Roman"/>
          <w:color w:val="auto"/>
          <w:sz w:val="24"/>
          <w:szCs w:val="24"/>
        </w:rPr>
        <w:t xml:space="preserve"> de forma positiva </w:t>
      </w:r>
      <w:r w:rsidR="000A124D" w:rsidRPr="00BB231B">
        <w:rPr>
          <w:rFonts w:ascii="Times New Roman" w:hAnsi="Times New Roman" w:cs="Times New Roman"/>
          <w:color w:val="auto"/>
          <w:sz w:val="24"/>
          <w:szCs w:val="24"/>
        </w:rPr>
        <w:t>en el rendimiento y la mejora continua de los procesos</w:t>
      </w:r>
      <w:r w:rsidR="009745DA" w:rsidRPr="00BB231B">
        <w:rPr>
          <w:rFonts w:ascii="Times New Roman" w:hAnsi="Times New Roman" w:cs="Times New Roman"/>
          <w:color w:val="auto"/>
          <w:sz w:val="24"/>
          <w:szCs w:val="24"/>
        </w:rPr>
        <w:t xml:space="preserve"> y agregando valor a los productos y servicios</w:t>
      </w:r>
      <w:r w:rsidR="000A124D" w:rsidRPr="00BB231B">
        <w:rPr>
          <w:rFonts w:ascii="Times New Roman" w:hAnsi="Times New Roman" w:cs="Times New Roman"/>
          <w:color w:val="auto"/>
          <w:sz w:val="24"/>
          <w:szCs w:val="24"/>
        </w:rPr>
        <w:t xml:space="preserve"> que ofrece al ciudadano cliente.</w:t>
      </w:r>
      <w:r w:rsidR="00445512" w:rsidRPr="00BB231B">
        <w:rPr>
          <w:rFonts w:ascii="Times New Roman" w:hAnsi="Times New Roman" w:cs="Times New Roman"/>
          <w:color w:val="auto"/>
          <w:sz w:val="24"/>
          <w:szCs w:val="24"/>
        </w:rPr>
        <w:t xml:space="preserve"> La CGR ha participado por 3era vez al Concurso al Premio Nacional de la Calidad.</w:t>
      </w:r>
      <w:r w:rsidR="000D6E85" w:rsidRPr="00BB231B">
        <w:rPr>
          <w:rFonts w:ascii="Times New Roman" w:hAnsi="Times New Roman" w:cs="Times New Roman"/>
          <w:color w:val="auto"/>
          <w:sz w:val="24"/>
          <w:szCs w:val="24"/>
        </w:rPr>
        <w:t xml:space="preserve"> En este sentido la institución ha elaborado los siguientes documentos en pro de  la mejora continua y estandarización de lo</w:t>
      </w:r>
      <w:r w:rsidR="003E636F" w:rsidRPr="00BB231B">
        <w:rPr>
          <w:rFonts w:ascii="Times New Roman" w:hAnsi="Times New Roman" w:cs="Times New Roman"/>
          <w:color w:val="auto"/>
          <w:sz w:val="24"/>
          <w:szCs w:val="24"/>
        </w:rPr>
        <w:t>s</w:t>
      </w:r>
      <w:r w:rsidR="000D6E85" w:rsidRPr="00BB231B">
        <w:rPr>
          <w:rFonts w:ascii="Times New Roman" w:hAnsi="Times New Roman" w:cs="Times New Roman"/>
          <w:color w:val="auto"/>
          <w:sz w:val="24"/>
          <w:szCs w:val="24"/>
        </w:rPr>
        <w:t xml:space="preserve"> procesos: </w:t>
      </w:r>
      <w:r w:rsidR="000D6E85" w:rsidRPr="00B37292">
        <w:rPr>
          <w:rStyle w:val="nfasissutil"/>
          <w:rFonts w:ascii="Times New Roman" w:hAnsi="Times New Roman" w:cs="Times New Roman"/>
          <w:bCs/>
          <w:color w:val="auto"/>
          <w:sz w:val="24"/>
          <w:szCs w:val="24"/>
          <w:lang w:val="es-DO"/>
        </w:rPr>
        <w:t>Manual de Procedimientos del Sistema TRE-pagos, Manual de Procedimientos del Sistema TRE-Contratos, Manual de Usuarios TRE-Pagos, Manual de Usuario TRE-Contratos, Autodiagnóstico de las NOBACI, Política de Control Interno para la CGR, Política de Información y Comunicación.</w:t>
      </w:r>
    </w:p>
    <w:p w:rsidR="000D6E85" w:rsidRPr="00BB231B" w:rsidRDefault="000D6E85" w:rsidP="000D6E85">
      <w:pPr>
        <w:pStyle w:val="Prrafodelista"/>
        <w:numPr>
          <w:ilvl w:val="0"/>
          <w:numId w:val="41"/>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Fue conformado un equipo interinstitucional de la Contraloría General de la República y el Ministerio de Administración Pública con el objetivo de revisar la estructura organizativa de la institución.</w:t>
      </w:r>
    </w:p>
    <w:p w:rsidR="00CB4D85" w:rsidRPr="00BB231B" w:rsidRDefault="000D6E85" w:rsidP="00CB4D85">
      <w:pPr>
        <w:pStyle w:val="Prrafodelista"/>
        <w:suppressAutoHyphens w:val="0"/>
        <w:spacing w:before="0" w:after="200" w:line="480" w:lineRule="auto"/>
        <w:ind w:left="720" w:firstLine="0"/>
        <w:rPr>
          <w:rFonts w:ascii="Times New Roman" w:hAnsi="Times New Roman" w:cs="Times New Roman"/>
          <w:color w:val="auto"/>
          <w:sz w:val="24"/>
          <w:szCs w:val="24"/>
        </w:rPr>
      </w:pPr>
      <w:r w:rsidRPr="00BB231B">
        <w:rPr>
          <w:rFonts w:ascii="Times New Roman" w:hAnsi="Times New Roman" w:cs="Times New Roman"/>
          <w:color w:val="auto"/>
          <w:sz w:val="24"/>
          <w:szCs w:val="24"/>
        </w:rPr>
        <w:t>Como una forma de asegurar el cumplimiento de las estrategias y mantener la alineación de la misión, visión y valores, se desarrolló un estudio de la estructura organizativa, evaluando las diferentes áreas y revisando la definición de todas las funciones departamentales. Este esfuerzo sirvió como sustento para la presentación de una propuesta de estructura organizativa revisada y alineada para responder de forma efectiva al logro de las iniciativas estratégicas pautadas y al cumplimiento del rol de la institución.</w:t>
      </w:r>
    </w:p>
    <w:p w:rsidR="00CB4D85" w:rsidRPr="00BB231B" w:rsidRDefault="00B77547" w:rsidP="00CB4D85">
      <w:pPr>
        <w:pStyle w:val="Prrafodelista"/>
        <w:numPr>
          <w:ilvl w:val="0"/>
          <w:numId w:val="57"/>
        </w:numPr>
        <w:suppressAutoHyphens w:val="0"/>
        <w:spacing w:before="0" w:after="200" w:line="480" w:lineRule="auto"/>
        <w:rPr>
          <w:rStyle w:val="nfasissutil"/>
          <w:rFonts w:ascii="Times New Roman" w:hAnsi="Times New Roman" w:cs="Times New Roman"/>
          <w:color w:val="000000" w:themeColor="text1"/>
          <w:sz w:val="24"/>
          <w:lang w:val="es-DO"/>
        </w:rPr>
      </w:pPr>
      <w:r w:rsidRPr="00BB231B">
        <w:rPr>
          <w:rFonts w:ascii="Times New Roman" w:hAnsi="Times New Roman" w:cs="Times New Roman"/>
          <w:color w:val="auto"/>
          <w:sz w:val="24"/>
          <w:szCs w:val="24"/>
        </w:rPr>
        <w:lastRenderedPageBreak/>
        <w:t>Los acuerdos de desempeño, conforma</w:t>
      </w:r>
      <w:r w:rsidR="001415F8" w:rsidRPr="00BB231B">
        <w:rPr>
          <w:rFonts w:ascii="Times New Roman" w:hAnsi="Times New Roman" w:cs="Times New Roman"/>
          <w:color w:val="auto"/>
          <w:sz w:val="24"/>
          <w:szCs w:val="24"/>
        </w:rPr>
        <w:t>n</w:t>
      </w:r>
      <w:r w:rsidRPr="00BB231B">
        <w:rPr>
          <w:rFonts w:ascii="Times New Roman" w:hAnsi="Times New Roman" w:cs="Times New Roman"/>
          <w:color w:val="auto"/>
          <w:sz w:val="24"/>
          <w:szCs w:val="24"/>
        </w:rPr>
        <w:t xml:space="preserve"> otra herramienta complementaria</w:t>
      </w:r>
      <w:r w:rsidR="0083690B" w:rsidRPr="00BB231B">
        <w:rPr>
          <w:rFonts w:ascii="Times New Roman" w:hAnsi="Times New Roman" w:cs="Times New Roman"/>
          <w:color w:val="auto"/>
          <w:sz w:val="24"/>
          <w:szCs w:val="24"/>
        </w:rPr>
        <w:t xml:space="preserve"> al POA</w:t>
      </w:r>
      <w:r w:rsidR="0059270C" w:rsidRPr="00BB231B">
        <w:rPr>
          <w:rFonts w:ascii="Times New Roman" w:hAnsi="Times New Roman" w:cs="Times New Roman"/>
          <w:color w:val="auto"/>
          <w:sz w:val="24"/>
          <w:szCs w:val="24"/>
        </w:rPr>
        <w:t xml:space="preserve">, para la </w:t>
      </w:r>
      <w:r w:rsidR="00C72415" w:rsidRPr="00BB231B">
        <w:rPr>
          <w:rFonts w:ascii="Times New Roman" w:hAnsi="Times New Roman" w:cs="Times New Roman"/>
          <w:color w:val="auto"/>
          <w:sz w:val="24"/>
          <w:szCs w:val="24"/>
        </w:rPr>
        <w:t>consecución</w:t>
      </w:r>
      <w:r w:rsidRPr="00BB231B">
        <w:rPr>
          <w:rFonts w:ascii="Times New Roman" w:hAnsi="Times New Roman" w:cs="Times New Roman"/>
          <w:color w:val="auto"/>
          <w:sz w:val="24"/>
          <w:szCs w:val="24"/>
        </w:rPr>
        <w:t xml:space="preserve"> del </w:t>
      </w:r>
      <w:r w:rsidR="0003607F" w:rsidRPr="00BB231B">
        <w:rPr>
          <w:rFonts w:ascii="Times New Roman" w:hAnsi="Times New Roman" w:cs="Times New Roman"/>
          <w:color w:val="auto"/>
          <w:sz w:val="24"/>
          <w:szCs w:val="24"/>
        </w:rPr>
        <w:t>Plan Estratégico Institucional (</w:t>
      </w:r>
      <w:r w:rsidRPr="00BB231B">
        <w:rPr>
          <w:rFonts w:ascii="Times New Roman" w:hAnsi="Times New Roman" w:cs="Times New Roman"/>
          <w:color w:val="auto"/>
          <w:sz w:val="24"/>
          <w:szCs w:val="24"/>
        </w:rPr>
        <w:t>PEI</w:t>
      </w:r>
      <w:r w:rsidR="0003607F"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2017-2020</w:t>
      </w:r>
      <w:r w:rsidR="00F43DB4" w:rsidRPr="00BB231B">
        <w:rPr>
          <w:rFonts w:ascii="Times New Roman" w:hAnsi="Times New Roman" w:cs="Times New Roman"/>
          <w:color w:val="auto"/>
          <w:sz w:val="24"/>
          <w:szCs w:val="24"/>
        </w:rPr>
        <w:t>. Estos</w:t>
      </w:r>
      <w:r w:rsidR="0083690B" w:rsidRPr="00BB231B">
        <w:rPr>
          <w:rFonts w:ascii="Times New Roman" w:hAnsi="Times New Roman" w:cs="Times New Roman"/>
          <w:color w:val="auto"/>
          <w:sz w:val="24"/>
          <w:szCs w:val="24"/>
        </w:rPr>
        <w:t xml:space="preserve"> acuerdos</w:t>
      </w:r>
      <w:r w:rsidR="00F43DB4" w:rsidRPr="00BB231B">
        <w:rPr>
          <w:rFonts w:ascii="Times New Roman" w:hAnsi="Times New Roman" w:cs="Times New Roman"/>
          <w:color w:val="auto"/>
          <w:sz w:val="24"/>
          <w:szCs w:val="24"/>
        </w:rPr>
        <w:t xml:space="preserve"> establec</w:t>
      </w:r>
      <w:r w:rsidR="0083690B" w:rsidRPr="00BB231B">
        <w:rPr>
          <w:rFonts w:ascii="Times New Roman" w:hAnsi="Times New Roman" w:cs="Times New Roman"/>
          <w:color w:val="auto"/>
          <w:sz w:val="24"/>
          <w:szCs w:val="24"/>
        </w:rPr>
        <w:t>e</w:t>
      </w:r>
      <w:r w:rsidR="00F43DB4" w:rsidRPr="00BB231B">
        <w:rPr>
          <w:rFonts w:ascii="Times New Roman" w:hAnsi="Times New Roman" w:cs="Times New Roman"/>
          <w:color w:val="auto"/>
          <w:sz w:val="24"/>
          <w:szCs w:val="24"/>
        </w:rPr>
        <w:t>n propuestas en donde cada colaborador y directivo se compromete a cumplir</w:t>
      </w:r>
      <w:r w:rsidR="0083690B" w:rsidRPr="00BB231B">
        <w:rPr>
          <w:rFonts w:ascii="Times New Roman" w:hAnsi="Times New Roman" w:cs="Times New Roman"/>
          <w:color w:val="auto"/>
          <w:sz w:val="24"/>
          <w:szCs w:val="24"/>
        </w:rPr>
        <w:t xml:space="preserve"> metas</w:t>
      </w:r>
      <w:r w:rsidR="0083690B" w:rsidRPr="00BB231B">
        <w:rPr>
          <w:rStyle w:val="nfasissutil"/>
          <w:rFonts w:ascii="Times New Roman" w:hAnsi="Times New Roman" w:cs="Times New Roman"/>
          <w:color w:val="000000" w:themeColor="text1"/>
          <w:sz w:val="24"/>
          <w:lang w:val="es-DO"/>
        </w:rPr>
        <w:t xml:space="preserve"> </w:t>
      </w:r>
      <w:r w:rsidR="00C72415" w:rsidRPr="00BB231B">
        <w:rPr>
          <w:rStyle w:val="nfasissutil"/>
          <w:rFonts w:ascii="Times New Roman" w:hAnsi="Times New Roman" w:cs="Times New Roman"/>
          <w:color w:val="000000" w:themeColor="text1"/>
          <w:sz w:val="24"/>
          <w:lang w:val="es-DO"/>
        </w:rPr>
        <w:t>específicas</w:t>
      </w:r>
      <w:r w:rsidR="00F43DB4" w:rsidRPr="00BB231B">
        <w:rPr>
          <w:rStyle w:val="nfasissutil"/>
          <w:rFonts w:ascii="Times New Roman" w:hAnsi="Times New Roman" w:cs="Times New Roman"/>
          <w:color w:val="000000" w:themeColor="text1"/>
          <w:sz w:val="24"/>
          <w:lang w:val="es-DO"/>
        </w:rPr>
        <w:t xml:space="preserve"> </w:t>
      </w:r>
      <w:r w:rsidR="00967F94" w:rsidRPr="00BB231B">
        <w:rPr>
          <w:rStyle w:val="nfasissutil"/>
          <w:rFonts w:ascii="Times New Roman" w:hAnsi="Times New Roman" w:cs="Times New Roman"/>
          <w:color w:val="000000" w:themeColor="text1"/>
          <w:sz w:val="24"/>
          <w:lang w:val="es-DO"/>
        </w:rPr>
        <w:t>alineadas al PEI y a los Planes Operativos Anuales (POA) de su área de trabajo dentro de un año fiscal.</w:t>
      </w:r>
      <w:r w:rsidR="00BE69B3" w:rsidRPr="00BB231B">
        <w:rPr>
          <w:rStyle w:val="nfasissutil"/>
          <w:rFonts w:ascii="Times New Roman" w:hAnsi="Times New Roman" w:cs="Times New Roman"/>
          <w:color w:val="000000" w:themeColor="text1"/>
          <w:sz w:val="24"/>
          <w:lang w:val="es-DO"/>
        </w:rPr>
        <w:t xml:space="preserve"> </w:t>
      </w:r>
      <w:r w:rsidR="00CC7E0D" w:rsidRPr="00BB231B">
        <w:rPr>
          <w:rStyle w:val="nfasissutil"/>
          <w:rFonts w:ascii="Times New Roman" w:hAnsi="Times New Roman" w:cs="Times New Roman"/>
          <w:color w:val="000000" w:themeColor="text1"/>
          <w:sz w:val="24"/>
          <w:lang w:val="es-DO"/>
        </w:rPr>
        <w:t xml:space="preserve">Es importante destacar que los acuerdos de desempeño </w:t>
      </w:r>
      <w:r w:rsidR="00F43DB4" w:rsidRPr="00BB231B">
        <w:rPr>
          <w:rStyle w:val="nfasissutil"/>
          <w:rFonts w:ascii="Times New Roman" w:hAnsi="Times New Roman" w:cs="Times New Roman"/>
          <w:color w:val="000000" w:themeColor="text1"/>
          <w:sz w:val="24"/>
          <w:lang w:val="es-DO"/>
        </w:rPr>
        <w:t>son elaborado</w:t>
      </w:r>
      <w:r w:rsidR="002B6C17" w:rsidRPr="00BB231B">
        <w:rPr>
          <w:rStyle w:val="nfasissutil"/>
          <w:rFonts w:ascii="Times New Roman" w:hAnsi="Times New Roman" w:cs="Times New Roman"/>
          <w:color w:val="000000" w:themeColor="text1"/>
          <w:sz w:val="24"/>
          <w:lang w:val="es-DO"/>
        </w:rPr>
        <w:t>s</w:t>
      </w:r>
      <w:r w:rsidR="00F43DB4" w:rsidRPr="00BB231B">
        <w:rPr>
          <w:rStyle w:val="nfasissutil"/>
          <w:rFonts w:ascii="Times New Roman" w:hAnsi="Times New Roman" w:cs="Times New Roman"/>
          <w:color w:val="000000" w:themeColor="text1"/>
          <w:sz w:val="24"/>
          <w:lang w:val="es-DO"/>
        </w:rPr>
        <w:t xml:space="preserve"> en consenso</w:t>
      </w:r>
      <w:r w:rsidR="00CC7E0D" w:rsidRPr="00BB231B">
        <w:rPr>
          <w:rStyle w:val="nfasissutil"/>
          <w:rFonts w:ascii="Times New Roman" w:hAnsi="Times New Roman" w:cs="Times New Roman"/>
          <w:color w:val="000000" w:themeColor="text1"/>
          <w:sz w:val="24"/>
          <w:lang w:val="es-DO"/>
        </w:rPr>
        <w:t xml:space="preserve"> de los </w:t>
      </w:r>
      <w:r w:rsidR="00C72415" w:rsidRPr="00BB231B">
        <w:rPr>
          <w:rStyle w:val="nfasissutil"/>
          <w:rFonts w:ascii="Times New Roman" w:hAnsi="Times New Roman" w:cs="Times New Roman"/>
          <w:color w:val="000000" w:themeColor="text1"/>
          <w:sz w:val="24"/>
          <w:lang w:val="es-DO"/>
        </w:rPr>
        <w:t>líderes</w:t>
      </w:r>
      <w:r w:rsidR="00CC7E0D" w:rsidRPr="00BB231B">
        <w:rPr>
          <w:rStyle w:val="nfasissutil"/>
          <w:rFonts w:ascii="Times New Roman" w:hAnsi="Times New Roman" w:cs="Times New Roman"/>
          <w:color w:val="000000" w:themeColor="text1"/>
          <w:sz w:val="24"/>
          <w:lang w:val="es-DO"/>
        </w:rPr>
        <w:t xml:space="preserve"> y directivos con cada </w:t>
      </w:r>
      <w:r w:rsidR="0059270C" w:rsidRPr="00BB231B">
        <w:rPr>
          <w:rStyle w:val="nfasissutil"/>
          <w:rFonts w:ascii="Times New Roman" w:hAnsi="Times New Roman" w:cs="Times New Roman"/>
          <w:color w:val="000000" w:themeColor="text1"/>
          <w:sz w:val="24"/>
          <w:lang w:val="es-DO"/>
        </w:rPr>
        <w:t>colaborador</w:t>
      </w:r>
      <w:r w:rsidR="00A9159D" w:rsidRPr="00BB231B">
        <w:rPr>
          <w:rStyle w:val="nfasissutil"/>
          <w:rFonts w:ascii="Times New Roman" w:hAnsi="Times New Roman" w:cs="Times New Roman"/>
          <w:color w:val="000000" w:themeColor="text1"/>
          <w:sz w:val="24"/>
          <w:lang w:val="es-DO"/>
        </w:rPr>
        <w:t>,</w:t>
      </w:r>
      <w:r w:rsidR="00CC7E0D" w:rsidRPr="00BB231B">
        <w:rPr>
          <w:rStyle w:val="nfasissutil"/>
          <w:rFonts w:ascii="Times New Roman" w:hAnsi="Times New Roman" w:cs="Times New Roman"/>
          <w:color w:val="000000" w:themeColor="text1"/>
          <w:sz w:val="24"/>
          <w:lang w:val="es-DO"/>
        </w:rPr>
        <w:t xml:space="preserve"> a fin de </w:t>
      </w:r>
      <w:r w:rsidR="0059270C" w:rsidRPr="00BB231B">
        <w:rPr>
          <w:rStyle w:val="nfasissutil"/>
          <w:rFonts w:ascii="Times New Roman" w:hAnsi="Times New Roman" w:cs="Times New Roman"/>
          <w:color w:val="000000" w:themeColor="text1"/>
          <w:sz w:val="24"/>
          <w:lang w:val="es-DO"/>
        </w:rPr>
        <w:t xml:space="preserve">apelar a su juicio </w:t>
      </w:r>
      <w:r w:rsidR="00C72415" w:rsidRPr="00BB231B">
        <w:rPr>
          <w:rStyle w:val="nfasissutil"/>
          <w:rFonts w:ascii="Times New Roman" w:hAnsi="Times New Roman" w:cs="Times New Roman"/>
          <w:color w:val="000000" w:themeColor="text1"/>
          <w:sz w:val="24"/>
          <w:lang w:val="es-DO"/>
        </w:rPr>
        <w:t>experto para</w:t>
      </w:r>
      <w:r w:rsidR="0059270C" w:rsidRPr="00BB231B">
        <w:rPr>
          <w:rStyle w:val="nfasissutil"/>
          <w:rFonts w:ascii="Times New Roman" w:hAnsi="Times New Roman" w:cs="Times New Roman"/>
          <w:color w:val="000000" w:themeColor="text1"/>
          <w:sz w:val="24"/>
          <w:lang w:val="es-DO"/>
        </w:rPr>
        <w:t xml:space="preserve"> </w:t>
      </w:r>
      <w:r w:rsidR="00E22FB7" w:rsidRPr="00BB231B">
        <w:rPr>
          <w:rStyle w:val="nfasissutil"/>
          <w:rFonts w:ascii="Times New Roman" w:hAnsi="Times New Roman" w:cs="Times New Roman"/>
          <w:color w:val="000000" w:themeColor="text1"/>
          <w:sz w:val="24"/>
          <w:lang w:val="es-DO"/>
        </w:rPr>
        <w:t>orientarlos en que las</w:t>
      </w:r>
      <w:r w:rsidR="0059270C" w:rsidRPr="00BB231B">
        <w:rPr>
          <w:rStyle w:val="nfasissutil"/>
          <w:rFonts w:ascii="Times New Roman" w:hAnsi="Times New Roman" w:cs="Times New Roman"/>
          <w:color w:val="000000" w:themeColor="text1"/>
          <w:sz w:val="24"/>
          <w:lang w:val="es-DO"/>
        </w:rPr>
        <w:t xml:space="preserve"> metas y responsabilidades asignadas se traduzcan en resultados alcanzables.</w:t>
      </w:r>
    </w:p>
    <w:p w:rsidR="00897B5D" w:rsidRPr="00BB231B" w:rsidRDefault="00897B5D" w:rsidP="00CB4D85">
      <w:pPr>
        <w:pStyle w:val="Prrafodelista"/>
        <w:suppressAutoHyphens w:val="0"/>
        <w:spacing w:before="0" w:after="200" w:line="480" w:lineRule="auto"/>
        <w:ind w:left="720" w:firstLine="0"/>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Fue conformado un equipo interinstitucional de la Contraloría General de la República y el Ministerio de Administración Pública con el objetivo de revisar la estructura organizativa de la institución.</w:t>
      </w:r>
    </w:p>
    <w:p w:rsidR="00897B5D" w:rsidRPr="00BB231B" w:rsidRDefault="00897B5D" w:rsidP="007D130D">
      <w:pPr>
        <w:pStyle w:val="Prrafodelista"/>
        <w:numPr>
          <w:ilvl w:val="0"/>
          <w:numId w:val="59"/>
        </w:numPr>
        <w:suppressAutoHyphens w:val="0"/>
        <w:spacing w:before="0" w:after="200" w:line="480" w:lineRule="auto"/>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Como una forma de asegurar el cumplimiento de las estrategias y mantener la alineación de la misión, visión y valores, se desarrolló un estudio de la estructura organizativa, evaluando las diferentes áreas y revisando la definición de todas las funciones departamentales. Este esfuerzo sirvió como sustento para la presentación de una propuesta de estructura organizativa revisada y alineada para responder de forma efectiva al logro de las iniciativas estratégicas pautadas y al cumplimiento del rol de la institución.</w:t>
      </w:r>
    </w:p>
    <w:p w:rsidR="00172829" w:rsidRPr="00BB231B" w:rsidRDefault="00B82D74" w:rsidP="007D130D">
      <w:pPr>
        <w:pStyle w:val="Prrafodelista"/>
        <w:numPr>
          <w:ilvl w:val="0"/>
          <w:numId w:val="59"/>
        </w:numPr>
        <w:suppressAutoHyphens w:val="0"/>
        <w:spacing w:before="0" w:after="200" w:line="480" w:lineRule="auto"/>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Parte de las acciones de la Contralor</w:t>
      </w:r>
      <w:r w:rsidR="008C6654" w:rsidRPr="00BB231B">
        <w:rPr>
          <w:rStyle w:val="nfasissutil"/>
          <w:rFonts w:ascii="Times New Roman" w:hAnsi="Times New Roman" w:cs="Times New Roman"/>
          <w:color w:val="000000" w:themeColor="text1"/>
          <w:sz w:val="24"/>
          <w:lang w:val="es-DO"/>
        </w:rPr>
        <w:t>í</w:t>
      </w:r>
      <w:r w:rsidRPr="00BB231B">
        <w:rPr>
          <w:rStyle w:val="nfasissutil"/>
          <w:rFonts w:ascii="Times New Roman" w:hAnsi="Times New Roman" w:cs="Times New Roman"/>
          <w:color w:val="000000" w:themeColor="text1"/>
          <w:sz w:val="24"/>
          <w:lang w:val="es-DO"/>
        </w:rPr>
        <w:t xml:space="preserve">a, fue la creación y desarrollo de </w:t>
      </w:r>
      <w:r w:rsidR="008C6654" w:rsidRPr="00BB231B">
        <w:rPr>
          <w:rStyle w:val="nfasissutil"/>
          <w:rFonts w:ascii="Times New Roman" w:hAnsi="Times New Roman" w:cs="Times New Roman"/>
          <w:color w:val="000000" w:themeColor="text1"/>
          <w:sz w:val="24"/>
          <w:lang w:val="es-DO"/>
        </w:rPr>
        <w:t>M</w:t>
      </w:r>
      <w:r w:rsidRPr="00BB231B">
        <w:rPr>
          <w:rStyle w:val="nfasissutil"/>
          <w:rFonts w:ascii="Times New Roman" w:hAnsi="Times New Roman" w:cs="Times New Roman"/>
          <w:color w:val="000000" w:themeColor="text1"/>
          <w:sz w:val="24"/>
          <w:lang w:val="es-DO"/>
        </w:rPr>
        <w:t>esa</w:t>
      </w:r>
      <w:r w:rsidR="008C6654" w:rsidRPr="00BB231B">
        <w:rPr>
          <w:rStyle w:val="nfasissutil"/>
          <w:rFonts w:ascii="Times New Roman" w:hAnsi="Times New Roman" w:cs="Times New Roman"/>
          <w:color w:val="000000" w:themeColor="text1"/>
          <w:sz w:val="24"/>
          <w:lang w:val="es-DO"/>
        </w:rPr>
        <w:t>s de T</w:t>
      </w:r>
      <w:r w:rsidRPr="00BB231B">
        <w:rPr>
          <w:rStyle w:val="nfasissutil"/>
          <w:rFonts w:ascii="Times New Roman" w:hAnsi="Times New Roman" w:cs="Times New Roman"/>
          <w:color w:val="000000" w:themeColor="text1"/>
          <w:sz w:val="24"/>
          <w:lang w:val="es-DO"/>
        </w:rPr>
        <w:t>rabajo con distintos grupos de interés, tales como:</w:t>
      </w:r>
      <w:r w:rsidR="00822F5B" w:rsidRPr="00BB231B">
        <w:rPr>
          <w:rStyle w:val="nfasissutil"/>
          <w:rFonts w:ascii="Times New Roman" w:hAnsi="Times New Roman" w:cs="Times New Roman"/>
          <w:color w:val="000000" w:themeColor="text1"/>
          <w:sz w:val="24"/>
          <w:lang w:val="es-DO"/>
        </w:rPr>
        <w:t xml:space="preserve"> Ministerio </w:t>
      </w:r>
      <w:r w:rsidR="00822F5B" w:rsidRPr="00BB231B">
        <w:rPr>
          <w:rStyle w:val="nfasissutil"/>
          <w:rFonts w:ascii="Times New Roman" w:hAnsi="Times New Roman" w:cs="Times New Roman"/>
          <w:color w:val="000000" w:themeColor="text1"/>
          <w:sz w:val="24"/>
          <w:lang w:val="es-DO"/>
        </w:rPr>
        <w:lastRenderedPageBreak/>
        <w:t xml:space="preserve">de Hacienda (MH), Tesorería Nacional (TN), </w:t>
      </w:r>
      <w:r w:rsidRPr="00BB231B">
        <w:rPr>
          <w:rStyle w:val="nfasissutil"/>
          <w:rFonts w:ascii="Times New Roman" w:hAnsi="Times New Roman" w:cs="Times New Roman"/>
          <w:color w:val="000000" w:themeColor="text1"/>
          <w:sz w:val="24"/>
          <w:lang w:val="es-DO"/>
        </w:rPr>
        <w:t>Dirección General de Contrataciones Públicas (DGCP), Programa de Administración Financiera Integrada (PAFI), Dirección General de Presupuesto (DIGEPRES), Programa de las Naciones Unidas par</w:t>
      </w:r>
      <w:r w:rsidR="00FF3E18" w:rsidRPr="00BB231B">
        <w:rPr>
          <w:rStyle w:val="nfasissutil"/>
          <w:rFonts w:ascii="Times New Roman" w:hAnsi="Times New Roman" w:cs="Times New Roman"/>
          <w:color w:val="000000" w:themeColor="text1"/>
          <w:sz w:val="24"/>
          <w:lang w:val="es-DO"/>
        </w:rPr>
        <w:t>a el Desarrollo (PNUD),</w:t>
      </w:r>
      <w:r w:rsidR="00A86DF2" w:rsidRPr="00BB231B">
        <w:rPr>
          <w:rStyle w:val="nfasissutil"/>
          <w:rFonts w:ascii="Times New Roman" w:hAnsi="Times New Roman" w:cs="Times New Roman"/>
          <w:color w:val="000000" w:themeColor="text1"/>
          <w:sz w:val="24"/>
          <w:lang w:val="es-DO"/>
        </w:rPr>
        <w:t xml:space="preserve"> </w:t>
      </w:r>
      <w:r w:rsidR="00FF3E18" w:rsidRPr="00BB231B">
        <w:rPr>
          <w:rStyle w:val="nfasissutil"/>
          <w:rFonts w:ascii="Times New Roman" w:hAnsi="Times New Roman" w:cs="Times New Roman"/>
          <w:color w:val="000000" w:themeColor="text1"/>
          <w:sz w:val="24"/>
          <w:lang w:val="es-DO"/>
        </w:rPr>
        <w:t xml:space="preserve">y </w:t>
      </w:r>
      <w:r w:rsidRPr="00BB231B">
        <w:rPr>
          <w:rStyle w:val="nfasissutil"/>
          <w:rFonts w:ascii="Times New Roman" w:hAnsi="Times New Roman" w:cs="Times New Roman"/>
          <w:color w:val="000000" w:themeColor="text1"/>
          <w:sz w:val="24"/>
          <w:lang w:val="es-DO"/>
        </w:rPr>
        <w:t>Dirección General de Contrataciones Públicas (DGCP)</w:t>
      </w:r>
      <w:r w:rsidR="00FF3E18" w:rsidRPr="00BB231B">
        <w:rPr>
          <w:rStyle w:val="nfasissutil"/>
          <w:rFonts w:ascii="Times New Roman" w:hAnsi="Times New Roman" w:cs="Times New Roman"/>
          <w:color w:val="000000" w:themeColor="text1"/>
          <w:sz w:val="24"/>
          <w:lang w:val="es-DO"/>
        </w:rPr>
        <w:t>.</w:t>
      </w:r>
    </w:p>
    <w:p w:rsidR="00F934DB" w:rsidRPr="00BB231B" w:rsidRDefault="00BC5DC8" w:rsidP="007D130D">
      <w:pPr>
        <w:pStyle w:val="Prrafodelista"/>
        <w:numPr>
          <w:ilvl w:val="0"/>
          <w:numId w:val="59"/>
        </w:numPr>
        <w:suppressAutoHyphens w:val="0"/>
        <w:spacing w:before="0" w:after="200" w:line="480" w:lineRule="auto"/>
        <w:rPr>
          <w:rStyle w:val="nfasissutil"/>
          <w:rFonts w:ascii="Times New Roman" w:hAnsi="Times New Roman" w:cs="Times New Roman"/>
          <w:color w:val="000000" w:themeColor="text1"/>
          <w:sz w:val="26"/>
          <w:lang w:val="es-DO"/>
        </w:rPr>
      </w:pPr>
      <w:r w:rsidRPr="00BB231B">
        <w:rPr>
          <w:rStyle w:val="nfasissutil"/>
          <w:rFonts w:ascii="Times New Roman" w:hAnsi="Times New Roman" w:cs="Times New Roman"/>
          <w:color w:val="000000" w:themeColor="text1"/>
          <w:sz w:val="24"/>
          <w:lang w:val="es-DO"/>
        </w:rPr>
        <w:t>La Contraloría</w:t>
      </w:r>
      <w:r w:rsidR="00BB7945" w:rsidRPr="00BB231B">
        <w:rPr>
          <w:rStyle w:val="nfasissutil"/>
          <w:rFonts w:ascii="Times New Roman" w:hAnsi="Times New Roman" w:cs="Times New Roman"/>
          <w:color w:val="000000" w:themeColor="text1"/>
          <w:sz w:val="24"/>
          <w:lang w:val="es-DO"/>
        </w:rPr>
        <w:t>,</w:t>
      </w:r>
      <w:r w:rsidRPr="00BB231B">
        <w:rPr>
          <w:rStyle w:val="nfasissutil"/>
          <w:rFonts w:ascii="Times New Roman" w:hAnsi="Times New Roman" w:cs="Times New Roman"/>
          <w:color w:val="000000" w:themeColor="text1"/>
          <w:sz w:val="24"/>
          <w:lang w:val="es-DO"/>
        </w:rPr>
        <w:t xml:space="preserve"> en su </w:t>
      </w:r>
      <w:r w:rsidR="00BA20B6" w:rsidRPr="00BB231B">
        <w:rPr>
          <w:rStyle w:val="nfasissutil"/>
          <w:rFonts w:ascii="Times New Roman" w:hAnsi="Times New Roman" w:cs="Times New Roman"/>
          <w:color w:val="000000" w:themeColor="text1"/>
          <w:sz w:val="24"/>
          <w:lang w:val="es-DO"/>
        </w:rPr>
        <w:t>genuina labor</w:t>
      </w:r>
      <w:r w:rsidRPr="00BB231B">
        <w:rPr>
          <w:rStyle w:val="nfasissutil"/>
          <w:rFonts w:ascii="Times New Roman" w:hAnsi="Times New Roman" w:cs="Times New Roman"/>
          <w:color w:val="000000" w:themeColor="text1"/>
          <w:sz w:val="24"/>
          <w:lang w:val="es-DO"/>
        </w:rPr>
        <w:t xml:space="preserve"> de </w:t>
      </w:r>
      <w:r w:rsidR="00BA20B6" w:rsidRPr="00BB231B">
        <w:rPr>
          <w:rStyle w:val="nfasissutil"/>
          <w:rFonts w:ascii="Times New Roman" w:hAnsi="Times New Roman" w:cs="Times New Roman"/>
          <w:color w:val="000000" w:themeColor="text1"/>
          <w:sz w:val="24"/>
          <w:lang w:val="es-DO"/>
        </w:rPr>
        <w:t>colaborar con</w:t>
      </w:r>
      <w:r w:rsidRPr="00BB231B">
        <w:rPr>
          <w:rStyle w:val="nfasissutil"/>
          <w:rFonts w:ascii="Times New Roman" w:hAnsi="Times New Roman" w:cs="Times New Roman"/>
          <w:color w:val="000000" w:themeColor="text1"/>
          <w:sz w:val="24"/>
          <w:lang w:val="es-DO"/>
        </w:rPr>
        <w:t xml:space="preserve"> la definición y cumplimiento de las políticas públicas relevantes </w:t>
      </w:r>
      <w:r w:rsidR="00834941" w:rsidRPr="00BB231B">
        <w:rPr>
          <w:rStyle w:val="nfasissutil"/>
          <w:rFonts w:ascii="Times New Roman" w:hAnsi="Times New Roman" w:cs="Times New Roman"/>
          <w:color w:val="000000" w:themeColor="text1"/>
          <w:sz w:val="24"/>
          <w:lang w:val="es-DO"/>
        </w:rPr>
        <w:t>ha mantenido durante el 2017</w:t>
      </w:r>
      <w:r w:rsidRPr="00BB231B">
        <w:rPr>
          <w:rStyle w:val="nfasissutil"/>
          <w:rFonts w:ascii="Times New Roman" w:hAnsi="Times New Roman" w:cs="Times New Roman"/>
          <w:color w:val="000000" w:themeColor="text1"/>
          <w:sz w:val="24"/>
          <w:lang w:val="es-DO"/>
        </w:rPr>
        <w:t xml:space="preserve"> relaciones proactivas </w:t>
      </w:r>
      <w:r w:rsidR="00BA20B6" w:rsidRPr="00BB231B">
        <w:rPr>
          <w:rStyle w:val="nfasissutil"/>
          <w:rFonts w:ascii="Times New Roman" w:hAnsi="Times New Roman" w:cs="Times New Roman"/>
          <w:color w:val="000000" w:themeColor="text1"/>
          <w:sz w:val="24"/>
          <w:lang w:val="es-DO"/>
        </w:rPr>
        <w:t>y permanentes</w:t>
      </w:r>
      <w:r w:rsidRPr="00BB231B">
        <w:rPr>
          <w:rStyle w:val="nfasissutil"/>
          <w:rFonts w:ascii="Times New Roman" w:hAnsi="Times New Roman" w:cs="Times New Roman"/>
          <w:color w:val="000000" w:themeColor="text1"/>
          <w:sz w:val="24"/>
          <w:lang w:val="es-DO"/>
        </w:rPr>
        <w:t xml:space="preserve"> con las autoridades políticas del Gobierno Central y legislativas</w:t>
      </w:r>
      <w:r w:rsidR="008933A7" w:rsidRPr="00BB231B">
        <w:rPr>
          <w:rStyle w:val="nfasissutil"/>
          <w:rFonts w:ascii="Times New Roman" w:hAnsi="Times New Roman" w:cs="Times New Roman"/>
          <w:color w:val="000000" w:themeColor="text1"/>
          <w:sz w:val="24"/>
          <w:lang w:val="es-DO"/>
        </w:rPr>
        <w:t xml:space="preserve">. </w:t>
      </w:r>
      <w:r w:rsidR="0002007E" w:rsidRPr="00BB231B">
        <w:rPr>
          <w:rStyle w:val="nfasissutil"/>
          <w:rFonts w:ascii="Times New Roman" w:hAnsi="Times New Roman" w:cs="Times New Roman"/>
          <w:color w:val="000000" w:themeColor="text1"/>
          <w:sz w:val="24"/>
          <w:lang w:val="es-DO"/>
        </w:rPr>
        <w:t>(</w:t>
      </w:r>
      <w:r w:rsidR="008933A7" w:rsidRPr="00BB231B">
        <w:rPr>
          <w:rStyle w:val="nfasissutil"/>
          <w:rFonts w:ascii="Times New Roman" w:hAnsi="Times New Roman" w:cs="Times New Roman"/>
          <w:color w:val="000000" w:themeColor="text1"/>
          <w:sz w:val="24"/>
          <w:lang w:val="es-DO"/>
        </w:rPr>
        <w:t xml:space="preserve">Ver </w:t>
      </w:r>
      <w:r w:rsidR="0002007E" w:rsidRPr="00BB231B">
        <w:rPr>
          <w:rStyle w:val="nfasissutil"/>
          <w:rFonts w:ascii="Times New Roman" w:hAnsi="Times New Roman" w:cs="Times New Roman"/>
          <w:color w:val="000000" w:themeColor="text1"/>
          <w:sz w:val="24"/>
          <w:lang w:val="es-DO"/>
        </w:rPr>
        <w:t xml:space="preserve">tabla </w:t>
      </w:r>
      <w:r w:rsidR="00E3042B" w:rsidRPr="00BB231B">
        <w:rPr>
          <w:rStyle w:val="nfasissutil"/>
          <w:rFonts w:ascii="Times New Roman" w:hAnsi="Times New Roman" w:cs="Times New Roman"/>
          <w:color w:val="000000" w:themeColor="text1"/>
          <w:sz w:val="24"/>
          <w:lang w:val="es-DO"/>
        </w:rPr>
        <w:t>2</w:t>
      </w:r>
      <w:r w:rsidR="0002007E" w:rsidRPr="00BB231B">
        <w:rPr>
          <w:rStyle w:val="nfasissutil"/>
          <w:rFonts w:ascii="Times New Roman" w:hAnsi="Times New Roman" w:cs="Times New Roman"/>
          <w:color w:val="000000" w:themeColor="text1"/>
          <w:sz w:val="24"/>
          <w:lang w:val="es-DO"/>
        </w:rPr>
        <w:t>)</w:t>
      </w:r>
    </w:p>
    <w:p w:rsidR="008C6654" w:rsidRPr="00BB231B" w:rsidRDefault="008C6654" w:rsidP="008C6654">
      <w:pPr>
        <w:suppressAutoHyphens w:val="0"/>
        <w:spacing w:before="0" w:after="200" w:line="480" w:lineRule="auto"/>
        <w:rPr>
          <w:rStyle w:val="nfasissutil"/>
          <w:rFonts w:ascii="Times New Roman" w:hAnsi="Times New Roman" w:cs="Times New Roman"/>
          <w:color w:val="000000" w:themeColor="text1"/>
          <w:sz w:val="26"/>
          <w:lang w:val="es-DO"/>
        </w:rPr>
      </w:pPr>
    </w:p>
    <w:p w:rsidR="008933A7" w:rsidRPr="00BB231B" w:rsidRDefault="008933A7" w:rsidP="009A56D5">
      <w:pPr>
        <w:pStyle w:val="Epgrafe"/>
        <w:spacing w:after="0"/>
        <w:jc w:val="center"/>
        <w:rPr>
          <w:rStyle w:val="nfasissutil"/>
          <w:rFonts w:ascii="Times New Roman" w:hAnsi="Times New Roman" w:cs="Times New Roman"/>
          <w:b/>
          <w:i w:val="0"/>
          <w:color w:val="000000" w:themeColor="text1"/>
          <w:sz w:val="18"/>
          <w:szCs w:val="22"/>
        </w:rPr>
      </w:pPr>
      <w:bookmarkStart w:id="39" w:name="_Ref426342880"/>
      <w:r w:rsidRPr="00BB231B">
        <w:rPr>
          <w:rFonts w:ascii="Times New Roman" w:hAnsi="Times New Roman" w:cs="Times New Roman"/>
          <w:b/>
          <w:i w:val="0"/>
          <w:color w:val="000000" w:themeColor="text1"/>
          <w:szCs w:val="22"/>
        </w:rPr>
        <w:t xml:space="preserve">Tabla </w:t>
      </w:r>
      <w:bookmarkEnd w:id="39"/>
      <w:r w:rsidR="00E3042B" w:rsidRPr="00BB231B">
        <w:rPr>
          <w:rFonts w:ascii="Times New Roman" w:hAnsi="Times New Roman" w:cs="Times New Roman"/>
          <w:b/>
          <w:i w:val="0"/>
          <w:color w:val="000000" w:themeColor="text1"/>
          <w:szCs w:val="22"/>
        </w:rPr>
        <w:t>2</w:t>
      </w:r>
    </w:p>
    <w:p w:rsidR="00BC5DC8" w:rsidRPr="00BB231B" w:rsidRDefault="00166D48" w:rsidP="009A56D5">
      <w:pPr>
        <w:pStyle w:val="Normal-blanco"/>
        <w:spacing w:before="0" w:after="0"/>
        <w:ind w:left="1134" w:right="199"/>
        <w:jc w:val="center"/>
        <w:rPr>
          <w:rStyle w:val="nfasissutil"/>
          <w:rFonts w:ascii="Times New Roman" w:hAnsi="Times New Roman" w:cs="Times New Roman"/>
          <w:color w:val="000000" w:themeColor="text1"/>
          <w:sz w:val="20"/>
          <w:lang w:val="es-DO"/>
        </w:rPr>
      </w:pPr>
      <w:r w:rsidRPr="00BB231B">
        <w:rPr>
          <w:rStyle w:val="nfasissutil"/>
          <w:rFonts w:ascii="Times New Roman" w:hAnsi="Times New Roman" w:cs="Times New Roman"/>
          <w:color w:val="000000" w:themeColor="text1"/>
          <w:sz w:val="20"/>
          <w:lang w:val="es-DO"/>
        </w:rPr>
        <w:t>CONTRALORÍA GENERAL DE LA REPÚBLICA: Colaboración en comités</w:t>
      </w:r>
    </w:p>
    <w:tbl>
      <w:tblPr>
        <w:tblStyle w:val="Tablaconcuadrcula"/>
        <w:tblW w:w="0" w:type="auto"/>
        <w:jc w:val="right"/>
        <w:tblLook w:val="04A0" w:firstRow="1" w:lastRow="0" w:firstColumn="1" w:lastColumn="0" w:noHBand="0" w:noVBand="1"/>
      </w:tblPr>
      <w:tblGrid>
        <w:gridCol w:w="2078"/>
        <w:gridCol w:w="2049"/>
        <w:gridCol w:w="1810"/>
        <w:gridCol w:w="2199"/>
      </w:tblGrid>
      <w:tr w:rsidR="00230596" w:rsidRPr="00BB231B" w:rsidTr="00CC2B5D">
        <w:trPr>
          <w:tblHeader/>
          <w:jc w:val="right"/>
        </w:trPr>
        <w:tc>
          <w:tcPr>
            <w:tcW w:w="0" w:type="auto"/>
            <w:shd w:val="clear" w:color="auto" w:fill="36602C" w:themeFill="accent3" w:themeFillShade="80"/>
            <w:vAlign w:val="center"/>
          </w:tcPr>
          <w:p w:rsidR="00BC5DC8" w:rsidRPr="00BB231B" w:rsidRDefault="00294601" w:rsidP="00CC2B5D">
            <w:pPr>
              <w:spacing w:before="0"/>
              <w:jc w:val="center"/>
              <w:rPr>
                <w:rFonts w:ascii="Times New Roman" w:hAnsi="Times New Roman" w:cs="Times New Roman"/>
                <w:b/>
                <w:color w:val="FFFFFF" w:themeColor="background1"/>
                <w:sz w:val="18"/>
                <w:lang w:val="es-DO"/>
              </w:rPr>
            </w:pPr>
            <w:r w:rsidRPr="00BB231B">
              <w:rPr>
                <w:rFonts w:ascii="Times New Roman" w:hAnsi="Times New Roman" w:cs="Times New Roman"/>
                <w:b/>
                <w:color w:val="FFFFFF" w:themeColor="background1"/>
                <w:sz w:val="18"/>
                <w:lang w:val="es-DO"/>
              </w:rPr>
              <w:t xml:space="preserve">Canal o </w:t>
            </w:r>
            <w:r w:rsidR="00BA20B6" w:rsidRPr="00BB231B">
              <w:rPr>
                <w:rFonts w:ascii="Times New Roman" w:hAnsi="Times New Roman" w:cs="Times New Roman"/>
                <w:b/>
                <w:color w:val="FFFFFF" w:themeColor="background1"/>
                <w:sz w:val="18"/>
                <w:lang w:val="es-DO"/>
              </w:rPr>
              <w:t>Vía</w:t>
            </w:r>
          </w:p>
        </w:tc>
        <w:tc>
          <w:tcPr>
            <w:tcW w:w="0" w:type="auto"/>
            <w:shd w:val="clear" w:color="auto" w:fill="36602C" w:themeFill="accent3" w:themeFillShade="80"/>
            <w:vAlign w:val="center"/>
          </w:tcPr>
          <w:p w:rsidR="00BC5DC8" w:rsidRPr="00BB231B" w:rsidRDefault="00BC5DC8" w:rsidP="00CC2B5D">
            <w:pPr>
              <w:spacing w:before="0"/>
              <w:jc w:val="center"/>
              <w:rPr>
                <w:rFonts w:ascii="Times New Roman" w:hAnsi="Times New Roman" w:cs="Times New Roman"/>
                <w:b/>
                <w:color w:val="FFFFFF" w:themeColor="background1"/>
                <w:sz w:val="18"/>
                <w:lang w:val="es-DO"/>
              </w:rPr>
            </w:pPr>
            <w:r w:rsidRPr="00BB231B">
              <w:rPr>
                <w:rFonts w:ascii="Times New Roman" w:hAnsi="Times New Roman" w:cs="Times New Roman"/>
                <w:b/>
                <w:color w:val="FFFFFF" w:themeColor="background1"/>
                <w:sz w:val="18"/>
                <w:lang w:val="es-DO"/>
              </w:rPr>
              <w:t>Leyes y Normativas</w:t>
            </w:r>
          </w:p>
        </w:tc>
        <w:tc>
          <w:tcPr>
            <w:tcW w:w="0" w:type="auto"/>
            <w:shd w:val="clear" w:color="auto" w:fill="36602C" w:themeFill="accent3" w:themeFillShade="80"/>
            <w:vAlign w:val="center"/>
          </w:tcPr>
          <w:p w:rsidR="00BC5DC8" w:rsidRPr="00BB231B" w:rsidRDefault="00BC5DC8" w:rsidP="00CC2B5D">
            <w:pPr>
              <w:spacing w:before="0"/>
              <w:jc w:val="center"/>
              <w:rPr>
                <w:rFonts w:ascii="Times New Roman" w:hAnsi="Times New Roman" w:cs="Times New Roman"/>
                <w:b/>
                <w:color w:val="FFFFFF" w:themeColor="background1"/>
                <w:sz w:val="18"/>
                <w:lang w:val="es-DO"/>
              </w:rPr>
            </w:pPr>
            <w:r w:rsidRPr="00BB231B">
              <w:rPr>
                <w:rFonts w:ascii="Times New Roman" w:hAnsi="Times New Roman" w:cs="Times New Roman"/>
                <w:b/>
                <w:color w:val="FFFFFF" w:themeColor="background1"/>
                <w:sz w:val="18"/>
                <w:lang w:val="es-DO"/>
              </w:rPr>
              <w:t>Socio Estratégico</w:t>
            </w:r>
          </w:p>
        </w:tc>
        <w:tc>
          <w:tcPr>
            <w:tcW w:w="0" w:type="auto"/>
            <w:shd w:val="clear" w:color="auto" w:fill="36602C" w:themeFill="accent3" w:themeFillShade="80"/>
            <w:vAlign w:val="center"/>
          </w:tcPr>
          <w:p w:rsidR="00BC5DC8" w:rsidRPr="00BB231B" w:rsidRDefault="00BC5DC8" w:rsidP="00CC2B5D">
            <w:pPr>
              <w:spacing w:before="0"/>
              <w:jc w:val="center"/>
              <w:rPr>
                <w:rFonts w:ascii="Times New Roman" w:hAnsi="Times New Roman" w:cs="Times New Roman"/>
                <w:b/>
                <w:color w:val="FFFFFF" w:themeColor="background1"/>
                <w:sz w:val="18"/>
                <w:lang w:val="es-DO"/>
              </w:rPr>
            </w:pPr>
            <w:r w:rsidRPr="00BB231B">
              <w:rPr>
                <w:rFonts w:ascii="Times New Roman" w:hAnsi="Times New Roman" w:cs="Times New Roman"/>
                <w:b/>
                <w:color w:val="FFFFFF" w:themeColor="background1"/>
                <w:sz w:val="18"/>
                <w:lang w:val="es-DO"/>
              </w:rPr>
              <w:t>Impacto</w:t>
            </w:r>
          </w:p>
        </w:tc>
      </w:tr>
      <w:tr w:rsidR="00230596" w:rsidRPr="00BB231B" w:rsidTr="00CC2B5D">
        <w:trPr>
          <w:trHeight w:val="615"/>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Comité Ad-Honoren</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10-04, Artículo 56</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Cámara de Cuentas</w:t>
            </w:r>
          </w:p>
          <w:p w:rsidR="00BC5DC8" w:rsidRPr="00BB231B" w:rsidRDefault="00BC5DC8" w:rsidP="00CC2B5D">
            <w:pPr>
              <w:spacing w:before="0"/>
              <w:jc w:val="center"/>
              <w:rPr>
                <w:rFonts w:ascii="Times New Roman" w:hAnsi="Times New Roman" w:cs="Times New Roman"/>
                <w:color w:val="000000" w:themeColor="text1"/>
                <w:sz w:val="16"/>
                <w:lang w:val="es-DO"/>
              </w:rPr>
            </w:pP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Apoyo al cumplimiento del Rol de la Cámara de Cuentas y la Contraloría General de la República</w:t>
            </w:r>
          </w:p>
        </w:tc>
      </w:tr>
      <w:tr w:rsidR="00230596" w:rsidRPr="00BB231B" w:rsidTr="00CC2B5D">
        <w:trPr>
          <w:trHeight w:val="584"/>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Mesa de Control</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10-04</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Cámara de Cuentas</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Fortalecimiento del control interno y externo</w:t>
            </w:r>
          </w:p>
        </w:tc>
      </w:tr>
      <w:tr w:rsidR="00230596" w:rsidRPr="00BB231B" w:rsidTr="00CC2B5D">
        <w:trPr>
          <w:trHeight w:val="608"/>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Gobierno abierto/Control Social</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10-07</w:t>
            </w:r>
          </w:p>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10-04</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Cámara de Cuentas</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Apoyo a cumplimiento de leyes y normativas</w:t>
            </w:r>
          </w:p>
        </w:tc>
      </w:tr>
      <w:tr w:rsidR="00230596" w:rsidRPr="00BB231B" w:rsidTr="00CC2B5D">
        <w:trPr>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Encuentro de mesa de trabajo</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41-08,</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Ministerio de Administración Pública</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Aportes para el Anteproyecto de Reglamento General de Regulación Salarial</w:t>
            </w:r>
          </w:p>
        </w:tc>
      </w:tr>
      <w:tr w:rsidR="00230596" w:rsidRPr="00BB231B" w:rsidTr="00CC2B5D">
        <w:trPr>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Encuentro de mesa de trabajo y talleres</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41-08</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Ministerio de Administración Pública</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Fortalecimiento al sistema de Evaluación por Desempeño</w:t>
            </w:r>
          </w:p>
        </w:tc>
      </w:tr>
      <w:tr w:rsidR="00230596" w:rsidRPr="00BB231B" w:rsidTr="00CC2B5D">
        <w:trPr>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Comité de Apoyo a las Organizaciones sin Fines de Lucro (ASFL)</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122-05</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Ministerio de Economía Planificación Y Desarrollo</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Apoyo a las regularizaciones de autogestión de las organizaciones sin fines de lucro</w:t>
            </w:r>
          </w:p>
          <w:p w:rsidR="00294601" w:rsidRPr="00BB231B" w:rsidRDefault="00294601"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 xml:space="preserve">Aportes para el </w:t>
            </w:r>
            <w:r w:rsidR="00BA20B6" w:rsidRPr="00BB231B">
              <w:rPr>
                <w:rFonts w:ascii="Times New Roman" w:hAnsi="Times New Roman" w:cs="Times New Roman"/>
                <w:color w:val="000000" w:themeColor="text1"/>
                <w:sz w:val="16"/>
                <w:lang w:val="es-DO"/>
              </w:rPr>
              <w:t>diseño</w:t>
            </w:r>
            <w:r w:rsidRPr="00BB231B">
              <w:rPr>
                <w:rFonts w:ascii="Times New Roman" w:hAnsi="Times New Roman" w:cs="Times New Roman"/>
                <w:color w:val="000000" w:themeColor="text1"/>
                <w:sz w:val="16"/>
                <w:lang w:val="es-DO"/>
              </w:rPr>
              <w:t xml:space="preserve"> del Sistema de Monitoreo y </w:t>
            </w:r>
            <w:r w:rsidR="004A2323" w:rsidRPr="00BB231B">
              <w:rPr>
                <w:rFonts w:ascii="Times New Roman" w:hAnsi="Times New Roman" w:cs="Times New Roman"/>
                <w:color w:val="000000" w:themeColor="text1"/>
                <w:sz w:val="16"/>
                <w:lang w:val="es-DO"/>
              </w:rPr>
              <w:t>S</w:t>
            </w:r>
            <w:r w:rsidRPr="00BB231B">
              <w:rPr>
                <w:rFonts w:ascii="Times New Roman" w:hAnsi="Times New Roman" w:cs="Times New Roman"/>
                <w:color w:val="000000" w:themeColor="text1"/>
                <w:sz w:val="16"/>
                <w:lang w:val="es-DO"/>
              </w:rPr>
              <w:t>eguimiento a las metas consagradas en la END</w:t>
            </w:r>
          </w:p>
        </w:tc>
      </w:tr>
      <w:tr w:rsidR="00230596" w:rsidRPr="00BB231B" w:rsidTr="00CC2B5D">
        <w:trPr>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Convenio Participación Ciudadana</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200-04</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Participación Ciudadana</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Fomentar la transparencia, la rendición de cuentas y responsabilidades de los servidores públicos</w:t>
            </w:r>
          </w:p>
        </w:tc>
      </w:tr>
      <w:tr w:rsidR="00230596" w:rsidRPr="00BB231B" w:rsidTr="00CC2B5D">
        <w:trPr>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Proyecto Pascal</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10-07</w:t>
            </w:r>
          </w:p>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176-07</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Distritos Municipales</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Apoyo a la autogestión de los ayuntamientos en cuanto a control interno</w:t>
            </w:r>
          </w:p>
        </w:tc>
      </w:tr>
      <w:tr w:rsidR="00230596" w:rsidRPr="00BB231B" w:rsidTr="00CC2B5D">
        <w:trPr>
          <w:trHeight w:val="829"/>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lastRenderedPageBreak/>
              <w:t>SISMAP</w:t>
            </w:r>
            <w:r w:rsidR="00BB7945" w:rsidRPr="00BB231B">
              <w:rPr>
                <w:rFonts w:ascii="Times New Roman" w:hAnsi="Times New Roman" w:cs="Times New Roman"/>
                <w:color w:val="000000" w:themeColor="text1"/>
                <w:sz w:val="16"/>
                <w:lang w:val="es-DO"/>
              </w:rPr>
              <w:t xml:space="preserve"> (Sistema de Monitoreo de la Administración Pública)</w:t>
            </w:r>
          </w:p>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SISMAP Municipal</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41-08</w:t>
            </w:r>
          </w:p>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10-07</w:t>
            </w:r>
          </w:p>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176-07</w:t>
            </w:r>
          </w:p>
          <w:p w:rsidR="00BC5DC8" w:rsidRPr="00BB231B" w:rsidRDefault="00BC5DC8" w:rsidP="00CC2B5D">
            <w:pPr>
              <w:spacing w:before="0"/>
              <w:jc w:val="center"/>
              <w:rPr>
                <w:rFonts w:ascii="Times New Roman" w:hAnsi="Times New Roman" w:cs="Times New Roman"/>
                <w:color w:val="000000" w:themeColor="text1"/>
                <w:sz w:val="16"/>
                <w:lang w:val="es-DO"/>
              </w:rPr>
            </w:pP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Ministerio de Administración Pública</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Mantener actualizados los indicadores de cumplimiento definidos</w:t>
            </w:r>
          </w:p>
        </w:tc>
      </w:tr>
      <w:tr w:rsidR="00230596" w:rsidRPr="00BB231B" w:rsidTr="00CC2B5D">
        <w:trPr>
          <w:trHeight w:val="1271"/>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Congreso de Gestión Pública y Control Interno</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10-07</w:t>
            </w:r>
          </w:p>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Ley 110-05</w:t>
            </w:r>
          </w:p>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Listar leyes del circuito</w:t>
            </w:r>
            <w:r w:rsidR="00BB7945" w:rsidRPr="00BB231B">
              <w:rPr>
                <w:rFonts w:ascii="Times New Roman" w:hAnsi="Times New Roman" w:cs="Times New Roman"/>
                <w:color w:val="000000" w:themeColor="text1"/>
                <w:sz w:val="16"/>
                <w:lang w:val="es-DO"/>
              </w:rPr>
              <w:t xml:space="preserve"> del Sistema Integrado de Administración Financiera del Estado</w:t>
            </w:r>
            <w:r w:rsidRPr="00BB231B">
              <w:rPr>
                <w:rFonts w:ascii="Times New Roman" w:hAnsi="Times New Roman" w:cs="Times New Roman"/>
                <w:color w:val="000000" w:themeColor="text1"/>
                <w:sz w:val="16"/>
                <w:lang w:val="es-DO"/>
              </w:rPr>
              <w:t xml:space="preserve"> </w:t>
            </w:r>
            <w:r w:rsidR="00BB7945" w:rsidRPr="00BB231B">
              <w:rPr>
                <w:rFonts w:ascii="Times New Roman" w:hAnsi="Times New Roman" w:cs="Times New Roman"/>
                <w:color w:val="000000" w:themeColor="text1"/>
                <w:sz w:val="16"/>
                <w:lang w:val="es-DO"/>
              </w:rPr>
              <w:t>(</w:t>
            </w:r>
            <w:r w:rsidRPr="00BB231B">
              <w:rPr>
                <w:rFonts w:ascii="Times New Roman" w:hAnsi="Times New Roman" w:cs="Times New Roman"/>
                <w:color w:val="000000" w:themeColor="text1"/>
                <w:sz w:val="16"/>
                <w:lang w:val="es-DO"/>
              </w:rPr>
              <w:t>SIAFE</w:t>
            </w:r>
            <w:r w:rsidR="00BB7945" w:rsidRPr="00BB231B">
              <w:rPr>
                <w:rFonts w:ascii="Times New Roman" w:hAnsi="Times New Roman" w:cs="Times New Roman"/>
                <w:color w:val="000000" w:themeColor="text1"/>
                <w:sz w:val="16"/>
                <w:lang w:val="es-DO"/>
              </w:rPr>
              <w:t>)</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Instituciones del circuito SIAFE e instituciones según el ámbito de la ley.</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Fomento a la transparencia y al control interno</w:t>
            </w:r>
          </w:p>
        </w:tc>
      </w:tr>
      <w:tr w:rsidR="00230596" w:rsidRPr="00BB231B" w:rsidTr="00CC2B5D">
        <w:trPr>
          <w:trHeight w:val="502"/>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 xml:space="preserve">Acuerdos de Capacitación con la </w:t>
            </w:r>
            <w:r w:rsidR="00230596" w:rsidRPr="00BB231B">
              <w:rPr>
                <w:rFonts w:ascii="Times New Roman" w:hAnsi="Times New Roman" w:cs="Times New Roman"/>
                <w:color w:val="000000" w:themeColor="text1"/>
                <w:sz w:val="16"/>
                <w:lang w:val="es-DO"/>
              </w:rPr>
              <w:t>Dirección General de Ética e Integridad Gubernamental (</w:t>
            </w:r>
            <w:r w:rsidRPr="00BB231B">
              <w:rPr>
                <w:rFonts w:ascii="Times New Roman" w:hAnsi="Times New Roman" w:cs="Times New Roman"/>
                <w:color w:val="000000" w:themeColor="text1"/>
                <w:sz w:val="16"/>
                <w:lang w:val="es-DO"/>
              </w:rPr>
              <w:t>D</w:t>
            </w:r>
            <w:r w:rsidR="00230596" w:rsidRPr="00BB231B">
              <w:rPr>
                <w:rFonts w:ascii="Times New Roman" w:hAnsi="Times New Roman" w:cs="Times New Roman"/>
                <w:color w:val="000000" w:themeColor="text1"/>
                <w:sz w:val="16"/>
                <w:lang w:val="es-DO"/>
              </w:rPr>
              <w:t>GEIG)</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Decreto 486-12</w:t>
            </w:r>
          </w:p>
          <w:p w:rsidR="00BC5DC8" w:rsidRPr="00BB231B" w:rsidRDefault="00BC5DC8" w:rsidP="00CC2B5D">
            <w:pPr>
              <w:spacing w:before="0"/>
              <w:jc w:val="center"/>
              <w:rPr>
                <w:rFonts w:ascii="Times New Roman" w:hAnsi="Times New Roman" w:cs="Times New Roman"/>
                <w:color w:val="000000" w:themeColor="text1"/>
                <w:sz w:val="16"/>
                <w:lang w:val="es-DO"/>
              </w:rPr>
            </w:pP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 xml:space="preserve">Dirección General de Ética </w:t>
            </w:r>
            <w:r w:rsidR="00BB7945" w:rsidRPr="00BB231B">
              <w:rPr>
                <w:rFonts w:ascii="Times New Roman" w:hAnsi="Times New Roman" w:cs="Times New Roman"/>
                <w:color w:val="000000" w:themeColor="text1"/>
                <w:sz w:val="16"/>
                <w:lang w:val="es-DO"/>
              </w:rPr>
              <w:t>e</w:t>
            </w:r>
            <w:r w:rsidRPr="00BB231B">
              <w:rPr>
                <w:rFonts w:ascii="Times New Roman" w:hAnsi="Times New Roman" w:cs="Times New Roman"/>
                <w:color w:val="000000" w:themeColor="text1"/>
                <w:sz w:val="16"/>
                <w:lang w:val="es-DO"/>
              </w:rPr>
              <w:t xml:space="preserve"> Integridad Gubernamental</w:t>
            </w:r>
          </w:p>
          <w:p w:rsidR="00BC5DC8" w:rsidRPr="00BB231B" w:rsidRDefault="00BC5DC8" w:rsidP="00CC2B5D">
            <w:pPr>
              <w:spacing w:before="0"/>
              <w:jc w:val="center"/>
              <w:rPr>
                <w:rFonts w:ascii="Times New Roman" w:hAnsi="Times New Roman" w:cs="Times New Roman"/>
                <w:color w:val="000000" w:themeColor="text1"/>
                <w:sz w:val="16"/>
                <w:lang w:val="es-DO"/>
              </w:rPr>
            </w:pP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Cooperación para la capacitación sobre leyes y normativas</w:t>
            </w:r>
          </w:p>
        </w:tc>
      </w:tr>
      <w:tr w:rsidR="00230596" w:rsidRPr="00BB231B" w:rsidTr="00CC2B5D">
        <w:trPr>
          <w:jc w:val="right"/>
        </w:trPr>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Convenio Tribunal Constitucional</w:t>
            </w:r>
          </w:p>
        </w:tc>
        <w:tc>
          <w:tcPr>
            <w:tcW w:w="0" w:type="auto"/>
            <w:shd w:val="clear" w:color="auto" w:fill="D9D9D9" w:themeFill="background1" w:themeFillShade="D9"/>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Tribunal Constitucional</w:t>
            </w:r>
          </w:p>
        </w:tc>
        <w:tc>
          <w:tcPr>
            <w:tcW w:w="0" w:type="auto"/>
            <w:vAlign w:val="center"/>
          </w:tcPr>
          <w:p w:rsidR="00BC5DC8" w:rsidRPr="00BB231B" w:rsidRDefault="00BC5DC8"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Intercambio de conocimientos</w:t>
            </w:r>
          </w:p>
        </w:tc>
      </w:tr>
      <w:tr w:rsidR="00230596" w:rsidRPr="00BB231B" w:rsidTr="00CC2B5D">
        <w:trPr>
          <w:jc w:val="right"/>
        </w:trPr>
        <w:tc>
          <w:tcPr>
            <w:tcW w:w="0" w:type="auto"/>
            <w:vAlign w:val="center"/>
          </w:tcPr>
          <w:p w:rsidR="00BB43BA" w:rsidRPr="00BB231B" w:rsidRDefault="00BB43BA"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Nuevo Modelo Presupuestario</w:t>
            </w:r>
          </w:p>
        </w:tc>
        <w:tc>
          <w:tcPr>
            <w:tcW w:w="0" w:type="auto"/>
            <w:shd w:val="clear" w:color="auto" w:fill="D9D9D9" w:themeFill="background1" w:themeFillShade="D9"/>
            <w:vAlign w:val="center"/>
          </w:tcPr>
          <w:p w:rsidR="00BB43BA" w:rsidRPr="00BB231B" w:rsidRDefault="00BB43BA" w:rsidP="00CC2B5D">
            <w:pPr>
              <w:spacing w:before="0"/>
              <w:jc w:val="center"/>
              <w:rPr>
                <w:rFonts w:ascii="Times New Roman" w:hAnsi="Times New Roman" w:cs="Times New Roman"/>
                <w:color w:val="000000" w:themeColor="text1"/>
                <w:sz w:val="16"/>
                <w:lang w:val="es-DO"/>
              </w:rPr>
            </w:pPr>
          </w:p>
        </w:tc>
        <w:tc>
          <w:tcPr>
            <w:tcW w:w="0" w:type="auto"/>
            <w:vAlign w:val="center"/>
          </w:tcPr>
          <w:p w:rsidR="00BB43BA" w:rsidRPr="00BB231B" w:rsidRDefault="00230596"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Dirección General de Presupuesto (DIGEPRES)</w:t>
            </w:r>
          </w:p>
        </w:tc>
        <w:tc>
          <w:tcPr>
            <w:tcW w:w="0" w:type="auto"/>
            <w:vAlign w:val="center"/>
          </w:tcPr>
          <w:p w:rsidR="00BB43BA" w:rsidRPr="00BB231B" w:rsidRDefault="00BB43BA"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Aportes al nuevo modelo</w:t>
            </w:r>
          </w:p>
        </w:tc>
      </w:tr>
      <w:tr w:rsidR="00230596" w:rsidRPr="00BB231B" w:rsidTr="00CC2B5D">
        <w:trPr>
          <w:trHeight w:val="497"/>
          <w:jc w:val="right"/>
        </w:trPr>
        <w:tc>
          <w:tcPr>
            <w:tcW w:w="0" w:type="auto"/>
            <w:vAlign w:val="center"/>
          </w:tcPr>
          <w:p w:rsidR="00CC2B5D" w:rsidRPr="00BB231B" w:rsidRDefault="00CC2B5D" w:rsidP="00CC2B5D">
            <w:pPr>
              <w:spacing w:before="0"/>
              <w:jc w:val="center"/>
              <w:rPr>
                <w:rFonts w:ascii="Times New Roman" w:hAnsi="Times New Roman" w:cs="Times New Roman"/>
                <w:color w:val="000000" w:themeColor="text1"/>
                <w:sz w:val="16"/>
                <w:lang w:val="es-DO"/>
              </w:rPr>
            </w:pPr>
          </w:p>
          <w:p w:rsidR="00294601" w:rsidRPr="00BB231B" w:rsidRDefault="00294601"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 xml:space="preserve">Plan </w:t>
            </w:r>
            <w:r w:rsidR="00BA20B6" w:rsidRPr="00BB231B">
              <w:rPr>
                <w:rFonts w:ascii="Times New Roman" w:hAnsi="Times New Roman" w:cs="Times New Roman"/>
                <w:color w:val="000000" w:themeColor="text1"/>
                <w:sz w:val="16"/>
                <w:lang w:val="es-DO"/>
              </w:rPr>
              <w:t>Estratégico</w:t>
            </w:r>
            <w:r w:rsidRPr="00BB231B">
              <w:rPr>
                <w:rFonts w:ascii="Times New Roman" w:hAnsi="Times New Roman" w:cs="Times New Roman"/>
                <w:color w:val="000000" w:themeColor="text1"/>
                <w:sz w:val="16"/>
                <w:lang w:val="es-DO"/>
              </w:rPr>
              <w:t xml:space="preserve"> </w:t>
            </w:r>
            <w:r w:rsidR="00BA20B6" w:rsidRPr="00BB231B">
              <w:rPr>
                <w:rFonts w:ascii="Times New Roman" w:hAnsi="Times New Roman" w:cs="Times New Roman"/>
                <w:color w:val="000000" w:themeColor="text1"/>
                <w:sz w:val="16"/>
                <w:lang w:val="es-DO"/>
              </w:rPr>
              <w:t>Tesorería</w:t>
            </w:r>
          </w:p>
          <w:p w:rsidR="00294601" w:rsidRPr="00BB231B" w:rsidRDefault="00294601" w:rsidP="00CC2B5D">
            <w:pPr>
              <w:spacing w:before="0"/>
              <w:jc w:val="center"/>
              <w:rPr>
                <w:rFonts w:ascii="Times New Roman" w:hAnsi="Times New Roman" w:cs="Times New Roman"/>
                <w:color w:val="000000" w:themeColor="text1"/>
                <w:sz w:val="16"/>
                <w:lang w:val="es-DO"/>
              </w:rPr>
            </w:pPr>
          </w:p>
        </w:tc>
        <w:tc>
          <w:tcPr>
            <w:tcW w:w="0" w:type="auto"/>
            <w:shd w:val="clear" w:color="auto" w:fill="D9D9D9" w:themeFill="background1" w:themeFillShade="D9"/>
            <w:vAlign w:val="center"/>
          </w:tcPr>
          <w:p w:rsidR="00294601" w:rsidRPr="00BB231B" w:rsidRDefault="00294601" w:rsidP="00CC2B5D">
            <w:pPr>
              <w:spacing w:before="0"/>
              <w:jc w:val="center"/>
              <w:rPr>
                <w:rFonts w:ascii="Times New Roman" w:hAnsi="Times New Roman" w:cs="Times New Roman"/>
                <w:color w:val="000000" w:themeColor="text1"/>
                <w:sz w:val="16"/>
                <w:lang w:val="es-DO"/>
              </w:rPr>
            </w:pPr>
          </w:p>
        </w:tc>
        <w:tc>
          <w:tcPr>
            <w:tcW w:w="0" w:type="auto"/>
            <w:vAlign w:val="center"/>
          </w:tcPr>
          <w:p w:rsidR="00294601" w:rsidRPr="00BB231B" w:rsidRDefault="00BA20B6"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Tesorería</w:t>
            </w:r>
          </w:p>
        </w:tc>
        <w:tc>
          <w:tcPr>
            <w:tcW w:w="0" w:type="auto"/>
            <w:vAlign w:val="center"/>
          </w:tcPr>
          <w:p w:rsidR="00294601" w:rsidRPr="00BB231B" w:rsidRDefault="00294601" w:rsidP="00CC2B5D">
            <w:pPr>
              <w:spacing w:before="0"/>
              <w:jc w:val="center"/>
              <w:rPr>
                <w:rFonts w:ascii="Times New Roman" w:hAnsi="Times New Roman" w:cs="Times New Roman"/>
                <w:color w:val="000000" w:themeColor="text1"/>
                <w:sz w:val="16"/>
                <w:lang w:val="es-DO"/>
              </w:rPr>
            </w:pPr>
            <w:r w:rsidRPr="00BB231B">
              <w:rPr>
                <w:rFonts w:ascii="Times New Roman" w:hAnsi="Times New Roman" w:cs="Times New Roman"/>
                <w:color w:val="000000" w:themeColor="text1"/>
                <w:sz w:val="16"/>
                <w:lang w:val="es-DO"/>
              </w:rPr>
              <w:t xml:space="preserve">Aportes al Plan </w:t>
            </w:r>
            <w:r w:rsidR="00BA20B6" w:rsidRPr="00BB231B">
              <w:rPr>
                <w:rFonts w:ascii="Times New Roman" w:hAnsi="Times New Roman" w:cs="Times New Roman"/>
                <w:color w:val="000000" w:themeColor="text1"/>
                <w:sz w:val="16"/>
                <w:lang w:val="es-DO"/>
              </w:rPr>
              <w:t>Estratégico</w:t>
            </w:r>
            <w:r w:rsidRPr="00BB231B">
              <w:rPr>
                <w:rFonts w:ascii="Times New Roman" w:hAnsi="Times New Roman" w:cs="Times New Roman"/>
                <w:color w:val="000000" w:themeColor="text1"/>
                <w:sz w:val="16"/>
                <w:lang w:val="es-DO"/>
              </w:rPr>
              <w:t xml:space="preserve"> 2014-2018</w:t>
            </w:r>
          </w:p>
        </w:tc>
      </w:tr>
    </w:tbl>
    <w:p w:rsidR="00732FAA" w:rsidRPr="00BB231B" w:rsidRDefault="00732FAA" w:rsidP="009A56D5">
      <w:pPr>
        <w:pStyle w:val="Normal-blanco"/>
        <w:spacing w:before="0" w:after="0"/>
        <w:ind w:left="1134" w:right="199"/>
        <w:rPr>
          <w:rStyle w:val="nfasissutil"/>
          <w:rFonts w:ascii="Times New Roman" w:hAnsi="Times New Roman" w:cs="Times New Roman"/>
          <w:color w:val="000000" w:themeColor="text1"/>
          <w:sz w:val="22"/>
          <w:lang w:val="es-DO"/>
        </w:rPr>
      </w:pPr>
    </w:p>
    <w:p w:rsidR="008F7610" w:rsidRPr="00BB231B" w:rsidRDefault="008F7610" w:rsidP="009A56D5">
      <w:pPr>
        <w:pStyle w:val="Normal-blanco"/>
        <w:spacing w:before="0" w:after="0"/>
        <w:ind w:left="1134" w:right="199"/>
        <w:rPr>
          <w:rStyle w:val="nfasissutil"/>
          <w:rFonts w:ascii="Times New Roman" w:hAnsi="Times New Roman" w:cs="Times New Roman"/>
          <w:color w:val="000000" w:themeColor="text1"/>
          <w:sz w:val="22"/>
          <w:lang w:val="es-DO"/>
        </w:rPr>
      </w:pPr>
    </w:p>
    <w:p w:rsidR="008C6654" w:rsidRPr="00BB231B" w:rsidRDefault="008C6654" w:rsidP="009A56D5">
      <w:pPr>
        <w:pStyle w:val="Normal-blanco"/>
        <w:spacing w:before="0" w:after="0"/>
        <w:ind w:left="1134" w:right="199"/>
        <w:rPr>
          <w:rStyle w:val="nfasissutil"/>
          <w:rFonts w:ascii="Times New Roman" w:hAnsi="Times New Roman" w:cs="Times New Roman"/>
          <w:color w:val="000000" w:themeColor="text1"/>
          <w:sz w:val="22"/>
          <w:lang w:val="es-DO"/>
        </w:rPr>
      </w:pPr>
    </w:p>
    <w:p w:rsidR="008F7610" w:rsidRPr="00BB231B" w:rsidRDefault="008F7610" w:rsidP="009A56D5">
      <w:pPr>
        <w:pStyle w:val="Normal-blanco"/>
        <w:spacing w:before="0" w:after="0"/>
        <w:ind w:left="1134" w:right="199"/>
        <w:rPr>
          <w:rStyle w:val="nfasissutil"/>
          <w:rFonts w:ascii="Times New Roman" w:hAnsi="Times New Roman" w:cs="Times New Roman"/>
          <w:color w:val="000000" w:themeColor="text1"/>
          <w:sz w:val="22"/>
          <w:lang w:val="es-DO"/>
        </w:rPr>
      </w:pPr>
    </w:p>
    <w:p w:rsidR="00792F10" w:rsidRPr="00BB231B" w:rsidRDefault="00447FC8" w:rsidP="00D33C67">
      <w:pPr>
        <w:pStyle w:val="Normal-blanco"/>
        <w:spacing w:before="0" w:after="0"/>
        <w:ind w:right="199"/>
        <w:rPr>
          <w:rStyle w:val="nfasissutil"/>
          <w:rFonts w:ascii="Times New Roman" w:hAnsi="Times New Roman" w:cs="Times New Roman"/>
          <w:b/>
          <w:color w:val="000000" w:themeColor="text1"/>
          <w:sz w:val="28"/>
          <w:lang w:val="es-DO"/>
        </w:rPr>
      </w:pPr>
      <w:r w:rsidRPr="00BB231B">
        <w:rPr>
          <w:rStyle w:val="nfasissutil"/>
          <w:rFonts w:ascii="Times New Roman" w:hAnsi="Times New Roman" w:cs="Times New Roman"/>
          <w:b/>
          <w:color w:val="000000" w:themeColor="text1"/>
          <w:sz w:val="28"/>
          <w:lang w:val="es-DO"/>
        </w:rPr>
        <w:t>Estrategia Comunicacional</w:t>
      </w:r>
    </w:p>
    <w:p w:rsidR="00447FC8" w:rsidRPr="00BB231B" w:rsidRDefault="00447FC8" w:rsidP="00E23A7F">
      <w:pPr>
        <w:pStyle w:val="Normal-blanco"/>
        <w:spacing w:before="0" w:after="0" w:line="480" w:lineRule="auto"/>
        <w:ind w:left="1134" w:right="199"/>
        <w:rPr>
          <w:rStyle w:val="nfasissutil"/>
          <w:rFonts w:ascii="Times New Roman" w:hAnsi="Times New Roman" w:cs="Times New Roman"/>
          <w:color w:val="000000" w:themeColor="text1"/>
          <w:sz w:val="22"/>
          <w:lang w:val="es-DO"/>
        </w:rPr>
      </w:pPr>
    </w:p>
    <w:p w:rsidR="00792F10" w:rsidRPr="00BB231B" w:rsidRDefault="00792F10" w:rsidP="00455476">
      <w:pPr>
        <w:spacing w:after="0" w:line="480" w:lineRule="auto"/>
        <w:ind w:firstLine="709"/>
        <w:rPr>
          <w:rFonts w:ascii="Times New Roman" w:eastAsia="Times New Roman" w:hAnsi="Times New Roman" w:cs="Times New Roman"/>
          <w:color w:val="auto"/>
          <w:sz w:val="24"/>
          <w:szCs w:val="24"/>
          <w:lang w:eastAsia="es-ES"/>
        </w:rPr>
      </w:pPr>
      <w:r w:rsidRPr="00BB231B">
        <w:rPr>
          <w:rFonts w:ascii="Times New Roman" w:eastAsia="Times New Roman" w:hAnsi="Times New Roman" w:cs="Times New Roman"/>
          <w:color w:val="auto"/>
          <w:sz w:val="24"/>
          <w:szCs w:val="24"/>
          <w:lang w:eastAsia="es-ES"/>
        </w:rPr>
        <w:t xml:space="preserve">Durante el </w:t>
      </w:r>
      <w:r w:rsidR="00447FC8" w:rsidRPr="00BB231B">
        <w:rPr>
          <w:rFonts w:ascii="Times New Roman" w:eastAsia="Times New Roman" w:hAnsi="Times New Roman" w:cs="Times New Roman"/>
          <w:color w:val="auto"/>
          <w:sz w:val="24"/>
          <w:szCs w:val="24"/>
          <w:lang w:eastAsia="es-ES"/>
        </w:rPr>
        <w:t>2017</w:t>
      </w:r>
      <w:r w:rsidR="00D33C67" w:rsidRPr="00BB231B">
        <w:rPr>
          <w:rFonts w:ascii="Times New Roman" w:eastAsia="Times New Roman" w:hAnsi="Times New Roman" w:cs="Times New Roman"/>
          <w:color w:val="auto"/>
          <w:sz w:val="24"/>
          <w:szCs w:val="24"/>
          <w:lang w:eastAsia="es-ES"/>
        </w:rPr>
        <w:t xml:space="preserve"> La CGR </w:t>
      </w:r>
      <w:r w:rsidRPr="00BB231B">
        <w:rPr>
          <w:rFonts w:ascii="Times New Roman" w:eastAsia="Times New Roman" w:hAnsi="Times New Roman" w:cs="Times New Roman"/>
          <w:color w:val="auto"/>
          <w:sz w:val="24"/>
          <w:szCs w:val="24"/>
          <w:lang w:eastAsia="es-ES"/>
        </w:rPr>
        <w:t xml:space="preserve">realizó una estrategia comunicacional, la cual tenía como eje fundamental dar a conocer la perspectiva estratégica de la institución en cuanto las herramientas tecnológicas adquiridas y el impacto ciudadano/cliente. </w:t>
      </w:r>
    </w:p>
    <w:p w:rsidR="00834941" w:rsidRPr="00BB231B" w:rsidRDefault="001317FE" w:rsidP="00455476">
      <w:pPr>
        <w:spacing w:after="0" w:line="480" w:lineRule="auto"/>
        <w:ind w:firstLine="709"/>
        <w:rPr>
          <w:rFonts w:ascii="Times New Roman" w:eastAsia="Times New Roman" w:hAnsi="Times New Roman" w:cs="Times New Roman"/>
          <w:color w:val="auto"/>
          <w:sz w:val="24"/>
          <w:szCs w:val="24"/>
          <w:lang w:eastAsia="es-ES"/>
        </w:rPr>
      </w:pPr>
      <w:r w:rsidRPr="00BB231B">
        <w:rPr>
          <w:rFonts w:ascii="Times New Roman" w:eastAsia="Times New Roman" w:hAnsi="Times New Roman" w:cs="Times New Roman"/>
          <w:color w:val="auto"/>
          <w:sz w:val="24"/>
          <w:szCs w:val="24"/>
          <w:lang w:eastAsia="es-ES"/>
        </w:rPr>
        <w:t>A parti</w:t>
      </w:r>
      <w:r w:rsidR="00A939AD" w:rsidRPr="00BB231B">
        <w:rPr>
          <w:rFonts w:ascii="Times New Roman" w:eastAsia="Times New Roman" w:hAnsi="Times New Roman" w:cs="Times New Roman"/>
          <w:color w:val="auto"/>
          <w:sz w:val="24"/>
          <w:szCs w:val="24"/>
          <w:lang w:eastAsia="es-ES"/>
        </w:rPr>
        <w:t>r de los resultados obtenidos</w:t>
      </w:r>
      <w:r w:rsidR="00D33C67" w:rsidRPr="00BB231B">
        <w:rPr>
          <w:rFonts w:ascii="Times New Roman" w:eastAsia="Times New Roman" w:hAnsi="Times New Roman" w:cs="Times New Roman"/>
          <w:color w:val="auto"/>
          <w:sz w:val="24"/>
          <w:szCs w:val="24"/>
          <w:lang w:eastAsia="es-ES"/>
        </w:rPr>
        <w:t xml:space="preserve"> en las encuestas y reuniones con los grupos de interés</w:t>
      </w:r>
      <w:r w:rsidR="00A939AD" w:rsidRPr="00BB231B">
        <w:rPr>
          <w:rFonts w:ascii="Times New Roman" w:eastAsia="Times New Roman" w:hAnsi="Times New Roman" w:cs="Times New Roman"/>
          <w:color w:val="auto"/>
          <w:sz w:val="24"/>
          <w:szCs w:val="24"/>
          <w:lang w:eastAsia="es-ES"/>
        </w:rPr>
        <w:t xml:space="preserve">, la institución dirige </w:t>
      </w:r>
      <w:r w:rsidRPr="00BB231B">
        <w:rPr>
          <w:rFonts w:ascii="Times New Roman" w:eastAsia="Times New Roman" w:hAnsi="Times New Roman" w:cs="Times New Roman"/>
          <w:color w:val="auto"/>
          <w:sz w:val="24"/>
          <w:szCs w:val="24"/>
          <w:lang w:eastAsia="es-ES"/>
        </w:rPr>
        <w:t xml:space="preserve">un proceso de retroalimentación </w:t>
      </w:r>
      <w:r w:rsidR="00A939AD" w:rsidRPr="00BB231B">
        <w:rPr>
          <w:rFonts w:ascii="Times New Roman" w:eastAsia="Times New Roman" w:hAnsi="Times New Roman" w:cs="Times New Roman"/>
          <w:color w:val="auto"/>
          <w:sz w:val="24"/>
          <w:szCs w:val="24"/>
          <w:lang w:eastAsia="es-ES"/>
        </w:rPr>
        <w:t xml:space="preserve">al ciudadano/cliente, </w:t>
      </w:r>
      <w:r w:rsidRPr="00BB231B">
        <w:rPr>
          <w:rFonts w:ascii="Times New Roman" w:eastAsia="Times New Roman" w:hAnsi="Times New Roman" w:cs="Times New Roman"/>
          <w:color w:val="auto"/>
          <w:sz w:val="24"/>
          <w:szCs w:val="24"/>
          <w:lang w:eastAsia="es-ES"/>
        </w:rPr>
        <w:t>orientado a</w:t>
      </w:r>
      <w:r w:rsidR="00A939AD" w:rsidRPr="00BB231B">
        <w:rPr>
          <w:rFonts w:ascii="Times New Roman" w:eastAsia="Times New Roman" w:hAnsi="Times New Roman" w:cs="Times New Roman"/>
          <w:color w:val="auto"/>
          <w:sz w:val="24"/>
          <w:szCs w:val="24"/>
          <w:lang w:eastAsia="es-ES"/>
        </w:rPr>
        <w:t xml:space="preserve"> escuchar sus </w:t>
      </w:r>
      <w:r w:rsidR="00C72415" w:rsidRPr="00BB231B">
        <w:rPr>
          <w:rFonts w:ascii="Times New Roman" w:eastAsia="Times New Roman" w:hAnsi="Times New Roman" w:cs="Times New Roman"/>
          <w:color w:val="auto"/>
          <w:sz w:val="24"/>
          <w:szCs w:val="24"/>
          <w:lang w:eastAsia="es-ES"/>
        </w:rPr>
        <w:t>opiniones</w:t>
      </w:r>
      <w:r w:rsidR="00A939AD" w:rsidRPr="00BB231B">
        <w:rPr>
          <w:rFonts w:ascii="Times New Roman" w:eastAsia="Times New Roman" w:hAnsi="Times New Roman" w:cs="Times New Roman"/>
          <w:color w:val="auto"/>
          <w:sz w:val="24"/>
          <w:szCs w:val="24"/>
          <w:lang w:eastAsia="es-ES"/>
        </w:rPr>
        <w:t xml:space="preserve"> y sugerencias que genere oportunidades de mejora y desarrollo de </w:t>
      </w:r>
      <w:r w:rsidRPr="00BB231B">
        <w:rPr>
          <w:rFonts w:ascii="Times New Roman" w:eastAsia="Times New Roman" w:hAnsi="Times New Roman" w:cs="Times New Roman"/>
          <w:color w:val="auto"/>
          <w:sz w:val="24"/>
          <w:szCs w:val="24"/>
          <w:lang w:eastAsia="es-ES"/>
        </w:rPr>
        <w:t>acciones</w:t>
      </w:r>
      <w:r w:rsidR="00A939AD" w:rsidRPr="00BB231B">
        <w:rPr>
          <w:rFonts w:ascii="Times New Roman" w:eastAsia="Times New Roman" w:hAnsi="Times New Roman" w:cs="Times New Roman"/>
          <w:color w:val="auto"/>
          <w:sz w:val="24"/>
          <w:szCs w:val="24"/>
          <w:lang w:eastAsia="es-ES"/>
        </w:rPr>
        <w:t xml:space="preserve"> preventivas  o correctivas, </w:t>
      </w:r>
      <w:r w:rsidRPr="00BB231B">
        <w:rPr>
          <w:rFonts w:ascii="Times New Roman" w:eastAsia="Times New Roman" w:hAnsi="Times New Roman" w:cs="Times New Roman"/>
          <w:color w:val="auto"/>
          <w:sz w:val="24"/>
          <w:szCs w:val="24"/>
          <w:lang w:eastAsia="es-ES"/>
        </w:rPr>
        <w:t xml:space="preserve">que </w:t>
      </w:r>
      <w:r w:rsidR="00A939AD" w:rsidRPr="00BB231B">
        <w:rPr>
          <w:rFonts w:ascii="Times New Roman" w:eastAsia="Times New Roman" w:hAnsi="Times New Roman" w:cs="Times New Roman"/>
          <w:color w:val="auto"/>
          <w:sz w:val="24"/>
          <w:szCs w:val="24"/>
          <w:lang w:eastAsia="es-ES"/>
        </w:rPr>
        <w:t xml:space="preserve">den respuestas a posibles brecha de los  procesos, tanto </w:t>
      </w:r>
      <w:r w:rsidRPr="00BB231B">
        <w:rPr>
          <w:rFonts w:ascii="Times New Roman" w:eastAsia="Times New Roman" w:hAnsi="Times New Roman" w:cs="Times New Roman"/>
          <w:color w:val="auto"/>
          <w:sz w:val="24"/>
          <w:szCs w:val="24"/>
          <w:lang w:eastAsia="es-ES"/>
        </w:rPr>
        <w:t xml:space="preserve">a nivel normativo y </w:t>
      </w:r>
      <w:r w:rsidR="00A939AD" w:rsidRPr="00BB231B">
        <w:rPr>
          <w:rFonts w:ascii="Times New Roman" w:eastAsia="Times New Roman" w:hAnsi="Times New Roman" w:cs="Times New Roman"/>
          <w:color w:val="auto"/>
          <w:sz w:val="24"/>
          <w:szCs w:val="24"/>
          <w:lang w:eastAsia="es-ES"/>
        </w:rPr>
        <w:t>como de especificaciones del producto y servicio que se ofrece. P</w:t>
      </w:r>
      <w:r w:rsidRPr="00BB231B">
        <w:rPr>
          <w:rFonts w:ascii="Times New Roman" w:eastAsia="Times New Roman" w:hAnsi="Times New Roman" w:cs="Times New Roman"/>
          <w:color w:val="auto"/>
          <w:sz w:val="24"/>
          <w:szCs w:val="24"/>
          <w:lang w:eastAsia="es-ES"/>
        </w:rPr>
        <w:t>or consiguiente</w:t>
      </w:r>
      <w:r w:rsidR="00A939AD" w:rsidRPr="00BB231B">
        <w:rPr>
          <w:rFonts w:ascii="Times New Roman" w:eastAsia="Times New Roman" w:hAnsi="Times New Roman" w:cs="Times New Roman"/>
          <w:color w:val="auto"/>
          <w:sz w:val="24"/>
          <w:szCs w:val="24"/>
          <w:lang w:eastAsia="es-ES"/>
        </w:rPr>
        <w:t xml:space="preserve">, la </w:t>
      </w:r>
      <w:r w:rsidR="00A939AD" w:rsidRPr="00BB231B">
        <w:rPr>
          <w:rFonts w:ascii="Times New Roman" w:eastAsia="Times New Roman" w:hAnsi="Times New Roman" w:cs="Times New Roman"/>
          <w:color w:val="auto"/>
          <w:sz w:val="24"/>
          <w:szCs w:val="24"/>
          <w:lang w:eastAsia="es-ES"/>
        </w:rPr>
        <w:lastRenderedPageBreak/>
        <w:t>CGR procura</w:t>
      </w:r>
      <w:r w:rsidR="00DB4CFC" w:rsidRPr="00BB231B">
        <w:rPr>
          <w:rFonts w:ascii="Times New Roman" w:eastAsia="Times New Roman" w:hAnsi="Times New Roman" w:cs="Times New Roman"/>
          <w:color w:val="auto"/>
          <w:sz w:val="24"/>
          <w:szCs w:val="24"/>
          <w:lang w:eastAsia="es-ES"/>
        </w:rPr>
        <w:t xml:space="preserve"> </w:t>
      </w:r>
      <w:r w:rsidR="00A939AD" w:rsidRPr="00BB231B">
        <w:rPr>
          <w:rFonts w:ascii="Times New Roman" w:eastAsia="Times New Roman" w:hAnsi="Times New Roman" w:cs="Times New Roman"/>
          <w:color w:val="auto"/>
          <w:sz w:val="24"/>
          <w:szCs w:val="24"/>
          <w:lang w:eastAsia="es-ES"/>
        </w:rPr>
        <w:t>atender las necesidades y</w:t>
      </w:r>
      <w:r w:rsidRPr="00BB231B">
        <w:rPr>
          <w:rFonts w:ascii="Times New Roman" w:eastAsia="Times New Roman" w:hAnsi="Times New Roman" w:cs="Times New Roman"/>
          <w:color w:val="auto"/>
          <w:sz w:val="24"/>
          <w:szCs w:val="24"/>
          <w:lang w:eastAsia="es-ES"/>
        </w:rPr>
        <w:t xml:space="preserve"> expectativas </w:t>
      </w:r>
      <w:r w:rsidR="00A939AD" w:rsidRPr="00BB231B">
        <w:rPr>
          <w:rFonts w:ascii="Times New Roman" w:eastAsia="Times New Roman" w:hAnsi="Times New Roman" w:cs="Times New Roman"/>
          <w:color w:val="auto"/>
          <w:sz w:val="24"/>
          <w:szCs w:val="24"/>
          <w:lang w:eastAsia="es-ES"/>
        </w:rPr>
        <w:t>d</w:t>
      </w:r>
      <w:r w:rsidRPr="00BB231B">
        <w:rPr>
          <w:rFonts w:ascii="Times New Roman" w:eastAsia="Times New Roman" w:hAnsi="Times New Roman" w:cs="Times New Roman"/>
          <w:color w:val="auto"/>
          <w:sz w:val="24"/>
          <w:szCs w:val="24"/>
          <w:lang w:eastAsia="es-ES"/>
        </w:rPr>
        <w:t>e los clientes internos y externos</w:t>
      </w:r>
      <w:r w:rsidR="00A939AD" w:rsidRPr="00BB231B">
        <w:rPr>
          <w:rFonts w:ascii="Times New Roman" w:eastAsia="Times New Roman" w:hAnsi="Times New Roman" w:cs="Times New Roman"/>
          <w:color w:val="auto"/>
          <w:sz w:val="24"/>
          <w:szCs w:val="24"/>
          <w:lang w:eastAsia="es-ES"/>
        </w:rPr>
        <w:t xml:space="preserve"> para lograr su completa satis</w:t>
      </w:r>
      <w:r w:rsidR="00B11DC6" w:rsidRPr="00BB231B">
        <w:rPr>
          <w:rFonts w:ascii="Times New Roman" w:eastAsia="Times New Roman" w:hAnsi="Times New Roman" w:cs="Times New Roman"/>
          <w:color w:val="auto"/>
          <w:sz w:val="24"/>
          <w:szCs w:val="24"/>
          <w:lang w:eastAsia="es-ES"/>
        </w:rPr>
        <w:t>facción del producto y servicio.</w:t>
      </w:r>
      <w:r w:rsidR="00834941" w:rsidRPr="00BB231B">
        <w:rPr>
          <w:rFonts w:ascii="Times New Roman" w:eastAsia="Times New Roman" w:hAnsi="Times New Roman" w:cs="Times New Roman"/>
          <w:color w:val="auto"/>
          <w:sz w:val="24"/>
          <w:szCs w:val="24"/>
          <w:lang w:eastAsia="es-ES"/>
        </w:rPr>
        <w:t xml:space="preserve"> </w:t>
      </w:r>
      <w:r w:rsidRPr="00BB231B">
        <w:rPr>
          <w:rFonts w:ascii="Times New Roman" w:eastAsia="Times New Roman" w:hAnsi="Times New Roman" w:cs="Times New Roman"/>
          <w:color w:val="auto"/>
          <w:sz w:val="24"/>
          <w:szCs w:val="24"/>
          <w:lang w:eastAsia="es-ES"/>
        </w:rPr>
        <w:t xml:space="preserve">En ese mismo sentido, la </w:t>
      </w:r>
      <w:r w:rsidR="005C42F0" w:rsidRPr="00BB231B">
        <w:rPr>
          <w:rFonts w:ascii="Times New Roman" w:eastAsia="Times New Roman" w:hAnsi="Times New Roman" w:cs="Times New Roman"/>
          <w:color w:val="auto"/>
          <w:sz w:val="24"/>
          <w:szCs w:val="24"/>
          <w:lang w:eastAsia="es-ES"/>
        </w:rPr>
        <w:t>Contraloría</w:t>
      </w:r>
      <w:r w:rsidRPr="00BB231B">
        <w:rPr>
          <w:rFonts w:ascii="Times New Roman" w:eastAsia="Times New Roman" w:hAnsi="Times New Roman" w:cs="Times New Roman"/>
          <w:color w:val="auto"/>
          <w:sz w:val="24"/>
          <w:szCs w:val="24"/>
          <w:lang w:eastAsia="es-ES"/>
        </w:rPr>
        <w:t xml:space="preserve"> </w:t>
      </w:r>
      <w:r w:rsidR="00447FC8" w:rsidRPr="00BB231B">
        <w:rPr>
          <w:rFonts w:ascii="Times New Roman" w:eastAsia="Times New Roman" w:hAnsi="Times New Roman" w:cs="Times New Roman"/>
          <w:color w:val="auto"/>
          <w:sz w:val="24"/>
          <w:szCs w:val="24"/>
          <w:lang w:eastAsia="es-ES"/>
        </w:rPr>
        <w:t>ha desarrollado</w:t>
      </w:r>
      <w:r w:rsidRPr="00BB231B">
        <w:rPr>
          <w:rFonts w:ascii="Times New Roman" w:eastAsia="Times New Roman" w:hAnsi="Times New Roman" w:cs="Times New Roman"/>
          <w:color w:val="auto"/>
          <w:sz w:val="24"/>
          <w:szCs w:val="24"/>
          <w:lang w:eastAsia="es-ES"/>
        </w:rPr>
        <w:t xml:space="preserve"> un conjunto de acciones que han permitido establecer una comunicación efectiva a través del uso de las Tecnologías de Información Comunicación (</w:t>
      </w:r>
      <w:proofErr w:type="spellStart"/>
      <w:r w:rsidRPr="00BB231B">
        <w:rPr>
          <w:rFonts w:ascii="Times New Roman" w:eastAsia="Times New Roman" w:hAnsi="Times New Roman" w:cs="Times New Roman"/>
          <w:color w:val="auto"/>
          <w:sz w:val="24"/>
          <w:szCs w:val="24"/>
          <w:lang w:eastAsia="es-ES"/>
        </w:rPr>
        <w:t>TIC´s</w:t>
      </w:r>
      <w:proofErr w:type="spellEnd"/>
      <w:r w:rsidRPr="00BB231B">
        <w:rPr>
          <w:rFonts w:ascii="Times New Roman" w:eastAsia="Times New Roman" w:hAnsi="Times New Roman" w:cs="Times New Roman"/>
          <w:color w:val="auto"/>
          <w:sz w:val="24"/>
          <w:szCs w:val="24"/>
          <w:lang w:eastAsia="es-ES"/>
        </w:rPr>
        <w:t xml:space="preserve">), </w:t>
      </w:r>
      <w:r w:rsidR="00B11DC6" w:rsidRPr="00BB231B">
        <w:rPr>
          <w:rFonts w:ascii="Times New Roman" w:eastAsia="Times New Roman" w:hAnsi="Times New Roman" w:cs="Times New Roman"/>
          <w:color w:val="auto"/>
          <w:sz w:val="24"/>
          <w:szCs w:val="24"/>
          <w:lang w:eastAsia="es-ES"/>
        </w:rPr>
        <w:t>en donde ha desarrollado el sistema SUAI TRE y del mismo se ha creado la base para integrar a los ciudadanos/clientes en consulta en tiempo real de los procesos que solicitan a Contraloría.</w:t>
      </w:r>
    </w:p>
    <w:p w:rsidR="00896613" w:rsidRPr="00BB231B" w:rsidRDefault="00B453A5" w:rsidP="00896613">
      <w:pPr>
        <w:spacing w:after="0"/>
        <w:rPr>
          <w:rFonts w:ascii="Times New Roman" w:eastAsia="Times New Roman" w:hAnsi="Times New Roman" w:cs="Times New Roman"/>
          <w:b/>
          <w:color w:val="auto"/>
          <w:sz w:val="28"/>
          <w:szCs w:val="24"/>
          <w:lang w:eastAsia="es-ES"/>
        </w:rPr>
      </w:pPr>
      <w:r w:rsidRPr="00BB231B">
        <w:rPr>
          <w:rFonts w:ascii="Times New Roman" w:eastAsia="Times New Roman" w:hAnsi="Times New Roman" w:cs="Times New Roman"/>
          <w:b/>
          <w:color w:val="auto"/>
          <w:sz w:val="28"/>
          <w:szCs w:val="24"/>
          <w:lang w:eastAsia="es-ES"/>
        </w:rPr>
        <w:t>Prensa.</w:t>
      </w:r>
      <w:bookmarkStart w:id="40" w:name="_Toc488412834"/>
      <w:bookmarkEnd w:id="4"/>
      <w:bookmarkEnd w:id="5"/>
    </w:p>
    <w:p w:rsidR="00D97BC8" w:rsidRDefault="00D97BC8" w:rsidP="00455476">
      <w:pPr>
        <w:spacing w:after="0" w:line="480" w:lineRule="auto"/>
        <w:ind w:firstLine="709"/>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 xml:space="preserve">Con relación a la cobertura, elaboración y publicaciones de notas de prensa, al mes de noviembre del año 2017, fueron publicadas en nuestro portal web </w:t>
      </w:r>
      <w:r w:rsidR="007F69C0" w:rsidRPr="00BB231B">
        <w:rPr>
          <w:rFonts w:ascii="Times New Roman" w:eastAsia="Times New Roman" w:hAnsi="Times New Roman" w:cs="Times New Roman"/>
          <w:b/>
          <w:color w:val="auto"/>
          <w:sz w:val="24"/>
          <w:szCs w:val="24"/>
          <w:lang w:val="es-DO" w:eastAsia="es-ES"/>
        </w:rPr>
        <w:t>29</w:t>
      </w:r>
      <w:r w:rsidRPr="00BB231B">
        <w:rPr>
          <w:rFonts w:ascii="Times New Roman" w:eastAsia="Times New Roman" w:hAnsi="Times New Roman" w:cs="Times New Roman"/>
          <w:color w:val="auto"/>
          <w:sz w:val="24"/>
          <w:szCs w:val="24"/>
          <w:lang w:val="es-DO" w:eastAsia="es-ES"/>
        </w:rPr>
        <w:t xml:space="preserve"> </w:t>
      </w:r>
      <w:r w:rsidRPr="00BB231B">
        <w:rPr>
          <w:rFonts w:ascii="Times New Roman" w:eastAsia="Times New Roman" w:hAnsi="Times New Roman" w:cs="Times New Roman"/>
          <w:b/>
          <w:color w:val="auto"/>
          <w:sz w:val="24"/>
          <w:szCs w:val="24"/>
          <w:lang w:val="es-DO" w:eastAsia="es-ES"/>
        </w:rPr>
        <w:t>notas de prensa,</w:t>
      </w:r>
      <w:r w:rsidRPr="00BB231B">
        <w:rPr>
          <w:rFonts w:ascii="Times New Roman" w:eastAsia="Times New Roman" w:hAnsi="Times New Roman" w:cs="Times New Roman"/>
          <w:color w:val="auto"/>
          <w:sz w:val="24"/>
          <w:szCs w:val="24"/>
          <w:lang w:val="es-DO" w:eastAsia="es-ES"/>
        </w:rPr>
        <w:t xml:space="preserve"> </w:t>
      </w:r>
      <w:r w:rsidRPr="00BB231B">
        <w:rPr>
          <w:rFonts w:ascii="Times New Roman" w:eastAsia="Times New Roman" w:hAnsi="Times New Roman" w:cs="Times New Roman"/>
          <w:b/>
          <w:color w:val="auto"/>
          <w:sz w:val="24"/>
          <w:szCs w:val="24"/>
          <w:lang w:val="es-DO" w:eastAsia="es-ES"/>
        </w:rPr>
        <w:t>21</w:t>
      </w:r>
      <w:r w:rsidRPr="00BB231B">
        <w:rPr>
          <w:rFonts w:ascii="Times New Roman" w:eastAsia="Times New Roman" w:hAnsi="Times New Roman" w:cs="Times New Roman"/>
          <w:color w:val="auto"/>
          <w:sz w:val="24"/>
          <w:szCs w:val="24"/>
          <w:lang w:val="es-DO" w:eastAsia="es-ES"/>
        </w:rPr>
        <w:t xml:space="preserve"> de éstas fueron enviadas a diferentes medios de comunicación, logrando una colocación de más de </w:t>
      </w:r>
      <w:r w:rsidRPr="00BB231B">
        <w:rPr>
          <w:rFonts w:ascii="Times New Roman" w:eastAsia="Times New Roman" w:hAnsi="Times New Roman" w:cs="Times New Roman"/>
          <w:b/>
          <w:color w:val="auto"/>
          <w:sz w:val="24"/>
          <w:szCs w:val="24"/>
          <w:lang w:val="es-DO" w:eastAsia="es-ES"/>
        </w:rPr>
        <w:t>314 publicaciones en los periódicos impresos y digitales</w:t>
      </w:r>
      <w:r w:rsidRPr="00BB231B">
        <w:rPr>
          <w:rFonts w:ascii="Times New Roman" w:eastAsia="Times New Roman" w:hAnsi="Times New Roman" w:cs="Times New Roman"/>
          <w:color w:val="auto"/>
          <w:sz w:val="24"/>
          <w:szCs w:val="24"/>
          <w:lang w:val="es-DO" w:eastAsia="es-ES"/>
        </w:rPr>
        <w:t xml:space="preserve">.  </w:t>
      </w:r>
    </w:p>
    <w:p w:rsidR="00256820" w:rsidRPr="00BB231B" w:rsidRDefault="00256820" w:rsidP="00455476">
      <w:pPr>
        <w:spacing w:after="0" w:line="480" w:lineRule="auto"/>
        <w:ind w:firstLine="709"/>
        <w:rPr>
          <w:rFonts w:ascii="Times New Roman" w:eastAsia="Times New Roman" w:hAnsi="Times New Roman" w:cs="Times New Roman"/>
          <w:b/>
          <w:color w:val="auto"/>
          <w:sz w:val="28"/>
          <w:szCs w:val="24"/>
          <w:lang w:eastAsia="es-ES"/>
        </w:rPr>
      </w:pPr>
    </w:p>
    <w:p w:rsidR="00D97BC8" w:rsidRPr="00BB231B" w:rsidRDefault="00B453A5" w:rsidP="00E23A7F">
      <w:pPr>
        <w:spacing w:line="480" w:lineRule="auto"/>
        <w:rPr>
          <w:rFonts w:ascii="Times New Roman" w:hAnsi="Times New Roman" w:cs="Times New Roman"/>
          <w:b/>
          <w:color w:val="auto"/>
          <w:sz w:val="28"/>
          <w:szCs w:val="24"/>
          <w:lang w:val="es-DO"/>
        </w:rPr>
      </w:pPr>
      <w:r w:rsidRPr="00BB231B">
        <w:rPr>
          <w:rFonts w:ascii="Times New Roman" w:hAnsi="Times New Roman" w:cs="Times New Roman"/>
          <w:noProof/>
          <w:lang w:val="es-US" w:eastAsia="es-US"/>
        </w:rPr>
        <w:lastRenderedPageBreak/>
        <w:drawing>
          <wp:anchor distT="0" distB="0" distL="114300" distR="114300" simplePos="0" relativeHeight="251778048" behindDoc="0" locked="0" layoutInCell="1" allowOverlap="1" wp14:anchorId="40F4F43E" wp14:editId="104AD301">
            <wp:simplePos x="1082040" y="6256020"/>
            <wp:positionH relativeFrom="column">
              <wp:align>left</wp:align>
            </wp:positionH>
            <wp:positionV relativeFrom="paragraph">
              <wp:align>top</wp:align>
            </wp:positionV>
            <wp:extent cx="4699438" cy="2644666"/>
            <wp:effectExtent l="0" t="0" r="6350" b="22860"/>
            <wp:wrapSquare wrapText="bothSides"/>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834941" w:rsidRPr="00BB231B">
        <w:rPr>
          <w:rFonts w:ascii="Times New Roman" w:hAnsi="Times New Roman" w:cs="Times New Roman"/>
          <w:b/>
          <w:sz w:val="24"/>
          <w:szCs w:val="24"/>
        </w:rPr>
        <w:br w:type="textWrapping" w:clear="all"/>
      </w:r>
      <w:r w:rsidR="00D97BC8" w:rsidRPr="00BB231B">
        <w:rPr>
          <w:rFonts w:ascii="Times New Roman" w:hAnsi="Times New Roman" w:cs="Times New Roman"/>
          <w:b/>
          <w:color w:val="auto"/>
          <w:sz w:val="28"/>
          <w:szCs w:val="24"/>
          <w:lang w:val="es-DO"/>
        </w:rPr>
        <w:t xml:space="preserve">Noticias publicadas por </w:t>
      </w:r>
      <w:r w:rsidR="00EF279D" w:rsidRPr="00BB231B">
        <w:rPr>
          <w:rFonts w:ascii="Times New Roman" w:hAnsi="Times New Roman" w:cs="Times New Roman"/>
          <w:b/>
          <w:color w:val="auto"/>
          <w:sz w:val="28"/>
          <w:szCs w:val="24"/>
          <w:lang w:val="es-DO"/>
        </w:rPr>
        <w:t>medios:</w:t>
      </w:r>
    </w:p>
    <w:p w:rsidR="00BF2CA4"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19 de enero,</w:t>
      </w:r>
      <w:r w:rsidRPr="00BB231B">
        <w:rPr>
          <w:rFonts w:ascii="Times New Roman" w:eastAsia="Times New Roman" w:hAnsi="Times New Roman" w:cs="Times New Roman"/>
          <w:color w:val="auto"/>
          <w:sz w:val="24"/>
          <w:szCs w:val="24"/>
          <w:lang w:val="es-DO" w:eastAsia="es-ES"/>
        </w:rPr>
        <w:t xml:space="preserve"> Contraloría gana medalla de Plata, decimosegunda versión del Premio Nacional a la Calidad. </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 xml:space="preserve">20 </w:t>
      </w:r>
      <w:r w:rsidR="00E1232A" w:rsidRPr="00BB231B">
        <w:rPr>
          <w:rFonts w:ascii="Times New Roman" w:eastAsia="Times New Roman" w:hAnsi="Times New Roman" w:cs="Times New Roman"/>
          <w:b/>
          <w:color w:val="auto"/>
          <w:sz w:val="24"/>
          <w:szCs w:val="24"/>
          <w:lang w:val="es-DO" w:eastAsia="es-ES"/>
        </w:rPr>
        <w:t>de enero</w:t>
      </w:r>
      <w:r w:rsidR="00E1232A" w:rsidRPr="00BB231B">
        <w:rPr>
          <w:rFonts w:ascii="Times New Roman" w:eastAsia="Times New Roman" w:hAnsi="Times New Roman" w:cs="Times New Roman"/>
          <w:color w:val="auto"/>
          <w:sz w:val="24"/>
          <w:szCs w:val="24"/>
          <w:lang w:val="es-DO" w:eastAsia="es-ES"/>
        </w:rPr>
        <w:t xml:space="preserve"> Contraloría</w:t>
      </w:r>
      <w:r w:rsidRPr="00BB231B">
        <w:rPr>
          <w:rFonts w:ascii="Times New Roman" w:eastAsia="Times New Roman" w:hAnsi="Times New Roman" w:cs="Times New Roman"/>
          <w:color w:val="auto"/>
          <w:sz w:val="24"/>
          <w:szCs w:val="24"/>
          <w:lang w:val="es-DO" w:eastAsia="es-ES"/>
        </w:rPr>
        <w:t xml:space="preserve"> proyecta estará en cerca de 400 instituciones.</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 xml:space="preserve">23 de </w:t>
      </w:r>
      <w:r w:rsidR="00E1232A" w:rsidRPr="00BB231B">
        <w:rPr>
          <w:rFonts w:ascii="Times New Roman" w:eastAsia="Times New Roman" w:hAnsi="Times New Roman" w:cs="Times New Roman"/>
          <w:b/>
          <w:color w:val="auto"/>
          <w:sz w:val="24"/>
          <w:szCs w:val="24"/>
          <w:lang w:val="es-DO" w:eastAsia="es-ES"/>
        </w:rPr>
        <w:t>enero</w:t>
      </w:r>
      <w:r w:rsidR="00E1232A" w:rsidRPr="00BB231B">
        <w:rPr>
          <w:rFonts w:ascii="Times New Roman" w:eastAsia="Times New Roman" w:hAnsi="Times New Roman" w:cs="Times New Roman"/>
          <w:color w:val="auto"/>
          <w:sz w:val="24"/>
          <w:szCs w:val="24"/>
          <w:lang w:val="es-DO" w:eastAsia="es-ES"/>
        </w:rPr>
        <w:t xml:space="preserve"> participación</w:t>
      </w:r>
      <w:r w:rsidRPr="00BB231B">
        <w:rPr>
          <w:rFonts w:ascii="Times New Roman" w:eastAsia="Times New Roman" w:hAnsi="Times New Roman" w:cs="Times New Roman"/>
          <w:color w:val="auto"/>
          <w:sz w:val="24"/>
          <w:szCs w:val="24"/>
          <w:lang w:val="es-DO" w:eastAsia="es-ES"/>
        </w:rPr>
        <w:t xml:space="preserve"> del Contralor en el panel Sistemas de Monitoreo Gubernamental, organizado por el MAP.</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17 de febrero,</w:t>
      </w:r>
      <w:r w:rsidRPr="00BB231B">
        <w:rPr>
          <w:rFonts w:ascii="Times New Roman" w:eastAsia="Times New Roman" w:hAnsi="Times New Roman" w:cs="Times New Roman"/>
          <w:color w:val="auto"/>
          <w:sz w:val="24"/>
          <w:szCs w:val="24"/>
          <w:lang w:val="es-DO" w:eastAsia="es-ES"/>
        </w:rPr>
        <w:t xml:space="preserve"> Contraloría deposita Ofrenda Floral por </w:t>
      </w:r>
      <w:r w:rsidR="00AD191A" w:rsidRPr="00BB231B">
        <w:rPr>
          <w:rFonts w:ascii="Times New Roman" w:eastAsia="Times New Roman" w:hAnsi="Times New Roman" w:cs="Times New Roman"/>
          <w:color w:val="auto"/>
          <w:sz w:val="24"/>
          <w:szCs w:val="24"/>
          <w:lang w:val="es-DO" w:eastAsia="es-ES"/>
        </w:rPr>
        <w:t xml:space="preserve">el </w:t>
      </w:r>
      <w:r w:rsidR="00B453A5" w:rsidRPr="00BB231B">
        <w:rPr>
          <w:rFonts w:ascii="Times New Roman" w:eastAsia="Times New Roman" w:hAnsi="Times New Roman" w:cs="Times New Roman"/>
          <w:color w:val="auto"/>
          <w:sz w:val="24"/>
          <w:szCs w:val="24"/>
          <w:lang w:val="es-DO" w:eastAsia="es-ES"/>
        </w:rPr>
        <w:t>173 aniversario</w:t>
      </w:r>
      <w:r w:rsidRPr="00BB231B">
        <w:rPr>
          <w:rFonts w:ascii="Times New Roman" w:eastAsia="Times New Roman" w:hAnsi="Times New Roman" w:cs="Times New Roman"/>
          <w:color w:val="auto"/>
          <w:sz w:val="24"/>
          <w:szCs w:val="24"/>
          <w:lang w:val="es-DO" w:eastAsia="es-ES"/>
        </w:rPr>
        <w:t xml:space="preserve"> de la Independencia Nacional.</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6 de marzo</w:t>
      </w:r>
      <w:r w:rsidRPr="00BB231B">
        <w:rPr>
          <w:rFonts w:ascii="Times New Roman" w:eastAsia="Times New Roman" w:hAnsi="Times New Roman" w:cs="Times New Roman"/>
          <w:color w:val="auto"/>
          <w:sz w:val="24"/>
          <w:szCs w:val="24"/>
          <w:lang w:val="es-DO" w:eastAsia="es-ES"/>
        </w:rPr>
        <w:t xml:space="preserve"> Contraloría anuncia fortalecerá Control Interno con las NOBACI.</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8 de marzo</w:t>
      </w:r>
      <w:r w:rsidRPr="00BB231B">
        <w:rPr>
          <w:rFonts w:ascii="Times New Roman" w:eastAsia="Times New Roman" w:hAnsi="Times New Roman" w:cs="Times New Roman"/>
          <w:color w:val="auto"/>
          <w:sz w:val="24"/>
          <w:szCs w:val="24"/>
          <w:lang w:val="es-DO" w:eastAsia="es-ES"/>
        </w:rPr>
        <w:t>, reunión Contraloría y Cámara de Cuentas</w:t>
      </w:r>
      <w:r w:rsidR="00505687"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5 abril</w:t>
      </w:r>
      <w:r w:rsidRPr="00BB231B">
        <w:rPr>
          <w:rFonts w:ascii="Times New Roman" w:eastAsia="Times New Roman" w:hAnsi="Times New Roman" w:cs="Times New Roman"/>
          <w:color w:val="auto"/>
          <w:sz w:val="24"/>
          <w:szCs w:val="24"/>
          <w:lang w:val="es-DO" w:eastAsia="es-ES"/>
        </w:rPr>
        <w:t xml:space="preserve"> CGR fija plazos para normas de control</w:t>
      </w:r>
      <w:r w:rsidR="00505687"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lastRenderedPageBreak/>
        <w:t>16 abril</w:t>
      </w:r>
      <w:r w:rsidRPr="00BB231B">
        <w:rPr>
          <w:rFonts w:ascii="Times New Roman" w:eastAsia="Times New Roman" w:hAnsi="Times New Roman" w:cs="Times New Roman"/>
          <w:color w:val="auto"/>
          <w:sz w:val="24"/>
          <w:szCs w:val="24"/>
          <w:lang w:val="es-DO" w:eastAsia="es-ES"/>
        </w:rPr>
        <w:t xml:space="preserve"> Contraloría anuncia reforzará su capacidad operativa y el SINACI</w:t>
      </w:r>
      <w:r w:rsidR="00505687"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5 mayo</w:t>
      </w:r>
      <w:r w:rsidRPr="00BB231B">
        <w:rPr>
          <w:rFonts w:ascii="Times New Roman" w:eastAsia="Times New Roman" w:hAnsi="Times New Roman" w:cs="Times New Roman"/>
          <w:color w:val="auto"/>
          <w:sz w:val="24"/>
          <w:szCs w:val="24"/>
          <w:lang w:val="es-DO" w:eastAsia="es-ES"/>
        </w:rPr>
        <w:t xml:space="preserve"> Contraloría conmemora su aniversario 88 con misa y ofrenda floral</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13 de junio</w:t>
      </w:r>
      <w:r w:rsidRPr="00BB231B">
        <w:rPr>
          <w:rFonts w:ascii="Times New Roman" w:eastAsia="Times New Roman" w:hAnsi="Times New Roman" w:cs="Times New Roman"/>
          <w:color w:val="auto"/>
          <w:sz w:val="24"/>
          <w:szCs w:val="24"/>
          <w:lang w:val="es-DO" w:eastAsia="es-ES"/>
        </w:rPr>
        <w:t xml:space="preserve"> Sistema de Control Interno del Estado dominicano; contralor presenta avances-Congreso de auditores</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27 de junio</w:t>
      </w:r>
      <w:r w:rsidRPr="00BB231B">
        <w:rPr>
          <w:rFonts w:ascii="Times New Roman" w:eastAsia="Times New Roman" w:hAnsi="Times New Roman" w:cs="Times New Roman"/>
          <w:color w:val="auto"/>
          <w:sz w:val="24"/>
          <w:szCs w:val="24"/>
          <w:lang w:val="es-DO" w:eastAsia="es-ES"/>
        </w:rPr>
        <w:t xml:space="preserve"> Contraloría e Instituto de Auditores Internos firman acuerdo</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5 julio</w:t>
      </w:r>
      <w:r w:rsidRPr="00BB231B">
        <w:rPr>
          <w:rFonts w:ascii="Times New Roman" w:eastAsia="Times New Roman" w:hAnsi="Times New Roman" w:cs="Times New Roman"/>
          <w:color w:val="auto"/>
          <w:sz w:val="24"/>
          <w:szCs w:val="24"/>
          <w:lang w:val="es-DO" w:eastAsia="es-ES"/>
        </w:rPr>
        <w:t xml:space="preserve"> Contraloría impartirá talleres sobre control interno</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13 de julio</w:t>
      </w:r>
      <w:r w:rsidRPr="00BB231B">
        <w:rPr>
          <w:rFonts w:ascii="Times New Roman" w:eastAsia="Times New Roman" w:hAnsi="Times New Roman" w:cs="Times New Roman"/>
          <w:color w:val="auto"/>
          <w:sz w:val="24"/>
          <w:szCs w:val="24"/>
          <w:lang w:val="es-DO" w:eastAsia="es-ES"/>
        </w:rPr>
        <w:t xml:space="preserve"> Contralor: Fortalecimiento control interno asegura transparencia y buen uso de recursos del Estado-- apertura de un ciclo de talleres prácticos de las Normas Básicas de Control Interno</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20 julio</w:t>
      </w:r>
      <w:r w:rsidRPr="00BB231B">
        <w:rPr>
          <w:rFonts w:ascii="Times New Roman" w:eastAsia="Times New Roman" w:hAnsi="Times New Roman" w:cs="Times New Roman"/>
          <w:color w:val="auto"/>
          <w:sz w:val="24"/>
          <w:szCs w:val="24"/>
          <w:lang w:val="es-DO" w:eastAsia="es-ES"/>
        </w:rPr>
        <w:t xml:space="preserve"> Contraloría presenta su plan Estratégico 2017-2020</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25 de julio</w:t>
      </w:r>
      <w:r w:rsidRPr="00BB231B">
        <w:rPr>
          <w:rFonts w:ascii="Times New Roman" w:eastAsia="Times New Roman" w:hAnsi="Times New Roman" w:cs="Times New Roman"/>
          <w:color w:val="auto"/>
          <w:sz w:val="24"/>
          <w:szCs w:val="24"/>
          <w:lang w:val="es-DO" w:eastAsia="es-ES"/>
        </w:rPr>
        <w:t xml:space="preserve"> CGR mantiene calificación 100 por transparencia</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 xml:space="preserve">1 </w:t>
      </w:r>
      <w:r w:rsidR="00471CB5" w:rsidRPr="00BB231B">
        <w:rPr>
          <w:rFonts w:ascii="Times New Roman" w:eastAsia="Times New Roman" w:hAnsi="Times New Roman" w:cs="Times New Roman"/>
          <w:b/>
          <w:color w:val="auto"/>
          <w:sz w:val="24"/>
          <w:szCs w:val="24"/>
          <w:lang w:val="es-DO" w:eastAsia="es-ES"/>
        </w:rPr>
        <w:t>agosto</w:t>
      </w:r>
      <w:r w:rsidRPr="00BB231B">
        <w:rPr>
          <w:rFonts w:ascii="Times New Roman" w:eastAsia="Times New Roman" w:hAnsi="Times New Roman" w:cs="Times New Roman"/>
          <w:color w:val="auto"/>
          <w:sz w:val="24"/>
          <w:szCs w:val="24"/>
          <w:lang w:val="es-DO" w:eastAsia="es-ES"/>
        </w:rPr>
        <w:t xml:space="preserve"> Contraloría innova con sistema para diagnóstico de las NOBACI</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1 septiembre</w:t>
      </w:r>
      <w:r w:rsidRPr="00BB231B">
        <w:rPr>
          <w:rFonts w:ascii="Times New Roman" w:eastAsia="Times New Roman" w:hAnsi="Times New Roman" w:cs="Times New Roman"/>
          <w:color w:val="auto"/>
          <w:sz w:val="24"/>
          <w:szCs w:val="24"/>
          <w:lang w:val="es-DO" w:eastAsia="es-ES"/>
        </w:rPr>
        <w:t xml:space="preserve"> El presidente Medina juramenta cientos de comisiones de ética pública</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2 septiembre</w:t>
      </w:r>
      <w:r w:rsidRPr="00BB231B">
        <w:rPr>
          <w:rFonts w:ascii="Times New Roman" w:eastAsia="Times New Roman" w:hAnsi="Times New Roman" w:cs="Times New Roman"/>
          <w:color w:val="auto"/>
          <w:sz w:val="24"/>
          <w:szCs w:val="24"/>
          <w:lang w:val="es-DO" w:eastAsia="es-ES"/>
        </w:rPr>
        <w:t xml:space="preserve"> Contraloría pone a disposición de las Comisiones de Ética Pública plataforma tecnológica</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5 septiembre</w:t>
      </w:r>
      <w:r w:rsidRPr="00BB231B">
        <w:rPr>
          <w:rFonts w:ascii="Times New Roman" w:eastAsia="Times New Roman" w:hAnsi="Times New Roman" w:cs="Times New Roman"/>
          <w:color w:val="auto"/>
          <w:sz w:val="24"/>
          <w:szCs w:val="24"/>
          <w:lang w:val="es-DO" w:eastAsia="es-ES"/>
        </w:rPr>
        <w:t xml:space="preserve"> Contralor instruye aprobación ágil de expedientes a entidades de protección y socorro</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 xml:space="preserve">29 </w:t>
      </w:r>
      <w:r w:rsidR="00471CB5" w:rsidRPr="00BB231B">
        <w:rPr>
          <w:rFonts w:ascii="Times New Roman" w:eastAsia="Times New Roman" w:hAnsi="Times New Roman" w:cs="Times New Roman"/>
          <w:b/>
          <w:color w:val="auto"/>
          <w:sz w:val="24"/>
          <w:szCs w:val="24"/>
          <w:lang w:val="es-DO" w:eastAsia="es-ES"/>
        </w:rPr>
        <w:t>septiembre</w:t>
      </w:r>
      <w:r w:rsidR="00471CB5" w:rsidRPr="00BB231B">
        <w:rPr>
          <w:rFonts w:ascii="Times New Roman" w:eastAsia="Times New Roman" w:hAnsi="Times New Roman" w:cs="Times New Roman"/>
          <w:color w:val="auto"/>
          <w:sz w:val="24"/>
          <w:szCs w:val="24"/>
          <w:lang w:val="es-DO" w:eastAsia="es-ES"/>
        </w:rPr>
        <w:t xml:space="preserve"> Siete</w:t>
      </w:r>
      <w:r w:rsidRPr="00BB231B">
        <w:rPr>
          <w:rFonts w:ascii="Times New Roman" w:eastAsia="Times New Roman" w:hAnsi="Times New Roman" w:cs="Times New Roman"/>
          <w:color w:val="auto"/>
          <w:sz w:val="24"/>
          <w:szCs w:val="24"/>
          <w:lang w:val="es-DO" w:eastAsia="es-ES"/>
        </w:rPr>
        <w:t xml:space="preserve"> entidades firman convenio para integración de las Mesas </w:t>
      </w:r>
      <w:r w:rsidR="00471CB5" w:rsidRPr="00BB231B">
        <w:rPr>
          <w:rFonts w:ascii="Times New Roman" w:eastAsia="Times New Roman" w:hAnsi="Times New Roman" w:cs="Times New Roman"/>
          <w:color w:val="auto"/>
          <w:sz w:val="24"/>
          <w:szCs w:val="24"/>
          <w:lang w:val="es-DO" w:eastAsia="es-ES"/>
        </w:rPr>
        <w:t>de Buenas</w:t>
      </w:r>
      <w:r w:rsidRPr="00BB231B">
        <w:rPr>
          <w:rFonts w:ascii="Times New Roman" w:eastAsia="Times New Roman" w:hAnsi="Times New Roman" w:cs="Times New Roman"/>
          <w:color w:val="auto"/>
          <w:sz w:val="24"/>
          <w:szCs w:val="24"/>
          <w:lang w:val="es-DO" w:eastAsia="es-ES"/>
        </w:rPr>
        <w:t xml:space="preserve"> Prácticas</w:t>
      </w:r>
      <w:r w:rsidR="00471CB5" w:rsidRPr="00BB231B">
        <w:rPr>
          <w:rFonts w:ascii="Times New Roman" w:eastAsia="Times New Roman" w:hAnsi="Times New Roman" w:cs="Times New Roman"/>
          <w:color w:val="auto"/>
          <w:sz w:val="24"/>
          <w:szCs w:val="24"/>
          <w:lang w:val="es-DO" w:eastAsia="es-ES"/>
        </w:rPr>
        <w:t>.</w:t>
      </w:r>
      <w:r w:rsidRPr="00BB231B">
        <w:rPr>
          <w:rFonts w:ascii="Times New Roman" w:eastAsia="Times New Roman" w:hAnsi="Times New Roman" w:cs="Times New Roman"/>
          <w:color w:val="auto"/>
          <w:sz w:val="24"/>
          <w:szCs w:val="24"/>
          <w:lang w:val="es-DO" w:eastAsia="es-ES"/>
        </w:rPr>
        <w:t xml:space="preserve"> </w:t>
      </w:r>
    </w:p>
    <w:p w:rsidR="00D97BC8" w:rsidRPr="00BB231B" w:rsidRDefault="00D97BC8" w:rsidP="0013776D">
      <w:pPr>
        <w:pStyle w:val="Prrafodelista"/>
        <w:numPr>
          <w:ilvl w:val="0"/>
          <w:numId w:val="46"/>
        </w:num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b/>
          <w:color w:val="auto"/>
          <w:sz w:val="24"/>
          <w:szCs w:val="24"/>
          <w:lang w:val="es-DO" w:eastAsia="es-ES"/>
        </w:rPr>
        <w:lastRenderedPageBreak/>
        <w:t xml:space="preserve">24 </w:t>
      </w:r>
      <w:r w:rsidR="00471CB5" w:rsidRPr="00BB231B">
        <w:rPr>
          <w:rFonts w:ascii="Times New Roman" w:eastAsia="Times New Roman" w:hAnsi="Times New Roman" w:cs="Times New Roman"/>
          <w:b/>
          <w:color w:val="auto"/>
          <w:sz w:val="24"/>
          <w:szCs w:val="24"/>
          <w:lang w:val="es-DO" w:eastAsia="es-ES"/>
        </w:rPr>
        <w:t>noviembre</w:t>
      </w:r>
      <w:r w:rsidRPr="00BB231B">
        <w:rPr>
          <w:rFonts w:ascii="Times New Roman" w:eastAsia="Times New Roman" w:hAnsi="Times New Roman" w:cs="Times New Roman"/>
          <w:color w:val="auto"/>
          <w:sz w:val="24"/>
          <w:szCs w:val="24"/>
          <w:lang w:val="es-DO" w:eastAsia="es-ES"/>
        </w:rPr>
        <w:t xml:space="preserve"> Contraloría implementa nuevo sistema SUAI TRE cheques</w:t>
      </w:r>
      <w:r w:rsidR="00471CB5" w:rsidRPr="00BB231B">
        <w:rPr>
          <w:rFonts w:ascii="Times New Roman" w:eastAsia="Times New Roman" w:hAnsi="Times New Roman" w:cs="Times New Roman"/>
          <w:color w:val="auto"/>
          <w:sz w:val="24"/>
          <w:szCs w:val="24"/>
          <w:lang w:val="es-DO" w:eastAsia="es-ES"/>
        </w:rPr>
        <w:t>.</w:t>
      </w:r>
      <w:r w:rsidRPr="00BB231B">
        <w:rPr>
          <w:rFonts w:ascii="Times New Roman" w:eastAsia="Times New Roman" w:hAnsi="Times New Roman" w:cs="Times New Roman"/>
          <w:color w:val="auto"/>
          <w:sz w:val="24"/>
          <w:szCs w:val="24"/>
          <w:lang w:val="es-DO" w:eastAsia="es-ES"/>
        </w:rPr>
        <w:t xml:space="preserve"> </w:t>
      </w:r>
    </w:p>
    <w:p w:rsidR="00D97BC8" w:rsidRPr="00BB231B" w:rsidRDefault="00D97BC8" w:rsidP="00E23A7F">
      <w:pPr>
        <w:spacing w:line="480" w:lineRule="auto"/>
        <w:rPr>
          <w:rFonts w:ascii="Times New Roman" w:eastAsia="Times New Roman" w:hAnsi="Times New Roman" w:cs="Times New Roman"/>
          <w:b/>
          <w:color w:val="auto"/>
          <w:sz w:val="24"/>
          <w:szCs w:val="24"/>
          <w:lang w:val="es-DO" w:eastAsia="es-ES"/>
        </w:rPr>
      </w:pPr>
    </w:p>
    <w:p w:rsidR="00D97BC8" w:rsidRPr="00BB231B" w:rsidRDefault="00D97BC8" w:rsidP="00E23A7F">
      <w:pPr>
        <w:spacing w:line="480" w:lineRule="auto"/>
        <w:rPr>
          <w:rFonts w:ascii="Times New Roman" w:eastAsia="Times New Roman" w:hAnsi="Times New Roman" w:cs="Times New Roman"/>
          <w:b/>
          <w:color w:val="auto"/>
          <w:sz w:val="24"/>
          <w:szCs w:val="24"/>
          <w:lang w:val="es-DO" w:eastAsia="es-ES"/>
        </w:rPr>
      </w:pPr>
      <w:r w:rsidRPr="00BB231B">
        <w:rPr>
          <w:rFonts w:ascii="Times New Roman" w:eastAsia="Times New Roman" w:hAnsi="Times New Roman" w:cs="Times New Roman"/>
          <w:b/>
          <w:color w:val="auto"/>
          <w:sz w:val="24"/>
          <w:szCs w:val="24"/>
          <w:lang w:val="es-DO" w:eastAsia="es-ES"/>
        </w:rPr>
        <w:t>Además de las notas mencionadas más arriba, en la Web están también:</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 República Dominicana ha avanzado como nunca en transparencia</w:t>
      </w:r>
      <w:r w:rsidR="00B453A5" w:rsidRPr="00BB231B">
        <w:rPr>
          <w:rFonts w:ascii="Times New Roman" w:eastAsia="Times New Roman" w:hAnsi="Times New Roman" w:cs="Times New Roman"/>
          <w:color w:val="auto"/>
          <w:sz w:val="24"/>
          <w:szCs w:val="24"/>
          <w:lang w:val="es-DO" w:eastAsia="es-ES"/>
        </w:rPr>
        <w:t>.</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 Gobierno listo para puesta en vigencia decreto 15</w:t>
      </w:r>
      <w:r w:rsidR="00236480" w:rsidRPr="00BB231B">
        <w:rPr>
          <w:rFonts w:ascii="Times New Roman" w:eastAsia="Times New Roman" w:hAnsi="Times New Roman" w:cs="Times New Roman"/>
          <w:color w:val="auto"/>
          <w:sz w:val="24"/>
          <w:szCs w:val="24"/>
          <w:lang w:val="es-DO" w:eastAsia="es-ES"/>
        </w:rPr>
        <w:t>-</w:t>
      </w:r>
      <w:r w:rsidRPr="00BB231B">
        <w:rPr>
          <w:rFonts w:ascii="Times New Roman" w:eastAsia="Times New Roman" w:hAnsi="Times New Roman" w:cs="Times New Roman"/>
          <w:color w:val="auto"/>
          <w:sz w:val="24"/>
          <w:szCs w:val="24"/>
          <w:lang w:val="es-DO" w:eastAsia="es-ES"/>
        </w:rPr>
        <w:t>17; se elimina discrecionalidad del gasto</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w:t>
      </w:r>
      <w:r w:rsidRPr="00BB231B">
        <w:rPr>
          <w:rFonts w:ascii="Times New Roman" w:hAnsi="Times New Roman" w:cs="Times New Roman"/>
          <w:color w:val="auto"/>
          <w:sz w:val="24"/>
          <w:szCs w:val="24"/>
        </w:rPr>
        <w:t xml:space="preserve"> </w:t>
      </w:r>
      <w:r w:rsidRPr="00BB231B">
        <w:rPr>
          <w:rFonts w:ascii="Times New Roman" w:eastAsia="Times New Roman" w:hAnsi="Times New Roman" w:cs="Times New Roman"/>
          <w:color w:val="auto"/>
          <w:sz w:val="24"/>
          <w:szCs w:val="24"/>
          <w:lang w:val="es-DO" w:eastAsia="es-ES"/>
        </w:rPr>
        <w:t>Ministerio de Educación dispone medidas para resolver problemas de pagos a 57 suplidores de alimentos</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w:t>
      </w:r>
      <w:r w:rsidRPr="00BB231B">
        <w:rPr>
          <w:rFonts w:ascii="Times New Roman" w:hAnsi="Times New Roman" w:cs="Times New Roman"/>
          <w:color w:val="auto"/>
          <w:sz w:val="24"/>
          <w:szCs w:val="24"/>
        </w:rPr>
        <w:t xml:space="preserve"> </w:t>
      </w:r>
      <w:r w:rsidRPr="00BB231B">
        <w:rPr>
          <w:rFonts w:ascii="Times New Roman" w:eastAsia="Times New Roman" w:hAnsi="Times New Roman" w:cs="Times New Roman"/>
          <w:color w:val="auto"/>
          <w:sz w:val="24"/>
          <w:szCs w:val="24"/>
          <w:lang w:val="es-DO" w:eastAsia="es-ES"/>
        </w:rPr>
        <w:t>Nueva vez la Contraloría se ilumina en azul por el autismo</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w:t>
      </w:r>
      <w:r w:rsidR="00501279" w:rsidRPr="00BB231B">
        <w:rPr>
          <w:rFonts w:ascii="Times New Roman" w:eastAsia="Times New Roman" w:hAnsi="Times New Roman" w:cs="Times New Roman"/>
          <w:color w:val="auto"/>
          <w:sz w:val="24"/>
          <w:szCs w:val="24"/>
          <w:lang w:val="es-DO" w:eastAsia="es-ES"/>
        </w:rPr>
        <w:t xml:space="preserve"> </w:t>
      </w:r>
      <w:r w:rsidRPr="00BB231B">
        <w:rPr>
          <w:rFonts w:ascii="Times New Roman" w:eastAsia="Times New Roman" w:hAnsi="Times New Roman" w:cs="Times New Roman"/>
          <w:color w:val="auto"/>
          <w:sz w:val="24"/>
          <w:szCs w:val="24"/>
          <w:lang w:val="es-DO" w:eastAsia="es-ES"/>
        </w:rPr>
        <w:t>Contraloría inicia de elaboración e implementación de nueva versión Carta Compromiso al Ciudadano</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w:t>
      </w:r>
      <w:r w:rsidRPr="00BB231B">
        <w:rPr>
          <w:rFonts w:ascii="Times New Roman" w:hAnsi="Times New Roman" w:cs="Times New Roman"/>
          <w:color w:val="auto"/>
          <w:sz w:val="24"/>
          <w:szCs w:val="24"/>
        </w:rPr>
        <w:t xml:space="preserve"> </w:t>
      </w:r>
      <w:r w:rsidRPr="00BB231B">
        <w:rPr>
          <w:rFonts w:ascii="Times New Roman" w:eastAsia="Times New Roman" w:hAnsi="Times New Roman" w:cs="Times New Roman"/>
          <w:color w:val="auto"/>
          <w:sz w:val="24"/>
          <w:szCs w:val="24"/>
          <w:lang w:val="es-DO" w:eastAsia="es-ES"/>
        </w:rPr>
        <w:t>Contraloría General de la República realiza jornada de reforestación en San Pedro de Macorís</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 Colaboradores de la Contraloría participan en charla por el Día de la Ética Ciudadana</w:t>
      </w:r>
      <w:r w:rsidR="00471CB5" w:rsidRPr="00BB231B">
        <w:rPr>
          <w:rFonts w:ascii="Times New Roman" w:eastAsia="Times New Roman" w:hAnsi="Times New Roman" w:cs="Times New Roman"/>
          <w:color w:val="auto"/>
          <w:sz w:val="24"/>
          <w:szCs w:val="24"/>
          <w:lang w:val="es-DO" w:eastAsia="es-ES"/>
        </w:rPr>
        <w:t>.</w:t>
      </w:r>
    </w:p>
    <w:p w:rsidR="00D97BC8" w:rsidRPr="00BB231B" w:rsidRDefault="00D97BC8" w:rsidP="00E23A7F">
      <w:pPr>
        <w:spacing w:line="480" w:lineRule="auto"/>
        <w:rPr>
          <w:rFonts w:ascii="Times New Roman" w:eastAsia="Times New Roman" w:hAnsi="Times New Roman" w:cs="Times New Roman"/>
          <w:color w:val="auto"/>
          <w:sz w:val="24"/>
          <w:szCs w:val="24"/>
          <w:lang w:val="es-DO" w:eastAsia="es-ES"/>
        </w:rPr>
      </w:pPr>
      <w:r w:rsidRPr="00BB231B">
        <w:rPr>
          <w:rFonts w:ascii="Times New Roman" w:eastAsia="Times New Roman" w:hAnsi="Times New Roman" w:cs="Times New Roman"/>
          <w:color w:val="auto"/>
          <w:sz w:val="24"/>
          <w:szCs w:val="24"/>
          <w:lang w:val="es-DO" w:eastAsia="es-ES"/>
        </w:rPr>
        <w:t>-</w:t>
      </w:r>
      <w:r w:rsidRPr="00BB231B">
        <w:rPr>
          <w:rFonts w:ascii="Times New Roman" w:hAnsi="Times New Roman" w:cs="Times New Roman"/>
          <w:color w:val="auto"/>
          <w:sz w:val="24"/>
          <w:szCs w:val="24"/>
        </w:rPr>
        <w:t xml:space="preserve"> </w:t>
      </w:r>
      <w:r w:rsidRPr="00BB231B">
        <w:rPr>
          <w:rFonts w:ascii="Times New Roman" w:eastAsia="Times New Roman" w:hAnsi="Times New Roman" w:cs="Times New Roman"/>
          <w:color w:val="auto"/>
          <w:sz w:val="24"/>
          <w:szCs w:val="24"/>
          <w:lang w:val="es-DO" w:eastAsia="es-ES"/>
        </w:rPr>
        <w:t>Colaboradores de la Contraloría participan en charla de Crianza Positiva</w:t>
      </w:r>
    </w:p>
    <w:p w:rsidR="00D97BC8" w:rsidRPr="00BB231B" w:rsidRDefault="00D97BC8" w:rsidP="00E23A7F">
      <w:pPr>
        <w:spacing w:line="480" w:lineRule="auto"/>
        <w:rPr>
          <w:rFonts w:ascii="Times New Roman" w:eastAsia="Times New Roman" w:hAnsi="Times New Roman" w:cs="Times New Roman"/>
          <w:b/>
          <w:color w:val="auto"/>
          <w:sz w:val="28"/>
          <w:szCs w:val="24"/>
          <w:lang w:val="es-DO" w:eastAsia="es-ES"/>
        </w:rPr>
      </w:pPr>
      <w:r w:rsidRPr="00BB231B">
        <w:rPr>
          <w:rFonts w:ascii="Times New Roman" w:eastAsia="Times New Roman" w:hAnsi="Times New Roman" w:cs="Times New Roman"/>
          <w:b/>
          <w:color w:val="auto"/>
          <w:sz w:val="28"/>
          <w:szCs w:val="24"/>
          <w:lang w:val="es-DO" w:eastAsia="es-ES"/>
        </w:rPr>
        <w:t>Comunicación Digital:</w:t>
      </w:r>
    </w:p>
    <w:p w:rsidR="00D97BC8" w:rsidRPr="00BB231B" w:rsidRDefault="00D97BC8" w:rsidP="00E23A7F">
      <w:pPr>
        <w:spacing w:line="480" w:lineRule="auto"/>
        <w:rPr>
          <w:rFonts w:ascii="Times New Roman" w:hAnsi="Times New Roman" w:cs="Times New Roman"/>
          <w:b/>
          <w:color w:val="auto"/>
          <w:sz w:val="24"/>
          <w:szCs w:val="24"/>
        </w:rPr>
      </w:pPr>
      <w:r w:rsidRPr="00BB231B">
        <w:rPr>
          <w:rFonts w:ascii="Times New Roman" w:hAnsi="Times New Roman" w:cs="Times New Roman"/>
          <w:b/>
          <w:color w:val="auto"/>
          <w:sz w:val="24"/>
          <w:szCs w:val="24"/>
        </w:rPr>
        <w:t xml:space="preserve">Publicaciones promocionadas en Facebook e </w:t>
      </w:r>
      <w:proofErr w:type="spellStart"/>
      <w:r w:rsidRPr="00BB231B">
        <w:rPr>
          <w:rFonts w:ascii="Times New Roman" w:hAnsi="Times New Roman" w:cs="Times New Roman"/>
          <w:b/>
          <w:color w:val="auto"/>
          <w:sz w:val="24"/>
          <w:szCs w:val="24"/>
        </w:rPr>
        <w:t>Instagram</w:t>
      </w:r>
      <w:proofErr w:type="spellEnd"/>
      <w:r w:rsidRPr="00BB231B">
        <w:rPr>
          <w:rFonts w:ascii="Times New Roman" w:hAnsi="Times New Roman" w:cs="Times New Roman"/>
          <w:b/>
          <w:color w:val="auto"/>
          <w:sz w:val="24"/>
          <w:szCs w:val="24"/>
        </w:rPr>
        <w:t xml:space="preserve"> 2017</w:t>
      </w:r>
      <w:r w:rsidR="00814E08" w:rsidRPr="00BB231B">
        <w:rPr>
          <w:rFonts w:ascii="Times New Roman" w:hAnsi="Times New Roman" w:cs="Times New Roman"/>
          <w:b/>
          <w:color w:val="auto"/>
          <w:sz w:val="24"/>
          <w:szCs w:val="24"/>
        </w:rPr>
        <w:t>:</w:t>
      </w:r>
    </w:p>
    <w:p w:rsidR="00D97BC8" w:rsidRPr="00BB231B" w:rsidRDefault="00D97BC8" w:rsidP="0013776D">
      <w:pPr>
        <w:pStyle w:val="Prrafodelista"/>
        <w:numPr>
          <w:ilvl w:val="0"/>
          <w:numId w:val="45"/>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Publicación: "Contraloría implementa nuevo sistema SUAI TRE cheques</w:t>
      </w:r>
    </w:p>
    <w:p w:rsidR="00D97BC8" w:rsidRPr="00BB231B" w:rsidRDefault="00D97BC8" w:rsidP="0013776D">
      <w:pPr>
        <w:pStyle w:val="Prrafodelista"/>
        <w:numPr>
          <w:ilvl w:val="0"/>
          <w:numId w:val="45"/>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Publicación: "RECUERDA: Todos nuestros servicios son sin costo y sin intermediarios. Si alguien te dice lo contrario, denúncialo enviando un correo a contacto@contraloria.gob.do #</w:t>
      </w:r>
      <w:proofErr w:type="spellStart"/>
      <w:r w:rsidRPr="00BB231B">
        <w:rPr>
          <w:rFonts w:ascii="Times New Roman" w:hAnsi="Times New Roman" w:cs="Times New Roman"/>
          <w:color w:val="auto"/>
          <w:sz w:val="24"/>
          <w:szCs w:val="24"/>
        </w:rPr>
        <w:t>ContraloríaRD</w:t>
      </w:r>
      <w:proofErr w:type="spellEnd"/>
      <w:r w:rsidRPr="00BB231B">
        <w:rPr>
          <w:rFonts w:ascii="Times New Roman" w:hAnsi="Times New Roman" w:cs="Times New Roman"/>
          <w:color w:val="auto"/>
          <w:sz w:val="24"/>
          <w:szCs w:val="24"/>
        </w:rPr>
        <w:t xml:space="preserve"> #</w:t>
      </w:r>
      <w:proofErr w:type="spellStart"/>
      <w:r w:rsidRPr="00BB231B">
        <w:rPr>
          <w:rFonts w:ascii="Times New Roman" w:hAnsi="Times New Roman" w:cs="Times New Roman"/>
          <w:color w:val="auto"/>
          <w:sz w:val="24"/>
          <w:szCs w:val="24"/>
        </w:rPr>
        <w:t>ContraloríaRDTeEscucha</w:t>
      </w:r>
      <w:proofErr w:type="spellEnd"/>
      <w:r w:rsidRPr="00BB231B">
        <w:rPr>
          <w:rFonts w:ascii="Times New Roman" w:hAnsi="Times New Roman" w:cs="Times New Roman"/>
          <w:color w:val="auto"/>
          <w:sz w:val="24"/>
          <w:szCs w:val="24"/>
        </w:rPr>
        <w:t>.</w:t>
      </w:r>
    </w:p>
    <w:p w:rsidR="00D97BC8" w:rsidRPr="00BB231B" w:rsidRDefault="00D97BC8" w:rsidP="0013776D">
      <w:pPr>
        <w:pStyle w:val="Prrafodelista"/>
        <w:numPr>
          <w:ilvl w:val="0"/>
          <w:numId w:val="45"/>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Publicación: "Todos nuestros servicios son sin costo y sin intermediarios. Si un colaborador de la Contraloría te dice lo contrario, denúncialo enviando un correo a contacto@contraloria.gob.do #</w:t>
      </w:r>
      <w:proofErr w:type="spellStart"/>
      <w:r w:rsidRPr="00BB231B">
        <w:rPr>
          <w:rFonts w:ascii="Times New Roman" w:hAnsi="Times New Roman" w:cs="Times New Roman"/>
          <w:color w:val="auto"/>
          <w:sz w:val="24"/>
          <w:szCs w:val="24"/>
        </w:rPr>
        <w:t>ContraloríaRD</w:t>
      </w:r>
      <w:proofErr w:type="spellEnd"/>
      <w:r w:rsidRPr="00BB231B">
        <w:rPr>
          <w:rFonts w:ascii="Times New Roman" w:hAnsi="Times New Roman" w:cs="Times New Roman"/>
          <w:color w:val="auto"/>
          <w:sz w:val="24"/>
          <w:szCs w:val="24"/>
        </w:rPr>
        <w:t xml:space="preserve"> #</w:t>
      </w:r>
      <w:proofErr w:type="spellStart"/>
      <w:r w:rsidRPr="00BB231B">
        <w:rPr>
          <w:rFonts w:ascii="Times New Roman" w:hAnsi="Times New Roman" w:cs="Times New Roman"/>
          <w:color w:val="auto"/>
          <w:sz w:val="24"/>
          <w:szCs w:val="24"/>
        </w:rPr>
        <w:t>ContraloríaRDTeEscucha</w:t>
      </w:r>
      <w:proofErr w:type="spellEnd"/>
      <w:r w:rsidRPr="00BB231B">
        <w:rPr>
          <w:rFonts w:ascii="Times New Roman" w:hAnsi="Times New Roman" w:cs="Times New Roman"/>
          <w:color w:val="auto"/>
          <w:sz w:val="24"/>
          <w:szCs w:val="24"/>
        </w:rPr>
        <w:t>.</w:t>
      </w:r>
    </w:p>
    <w:p w:rsidR="00D97BC8" w:rsidRPr="00BB231B" w:rsidRDefault="00D97BC8" w:rsidP="0013776D">
      <w:pPr>
        <w:pStyle w:val="Prrafodelista"/>
        <w:numPr>
          <w:ilvl w:val="0"/>
          <w:numId w:val="45"/>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Publicación: Como parte de los avances en temas de transparencia, la Contraloría General de la República (CGR) informó que para este 2017 ya cuenta con un Marco Técnico de Auditoría Interna que permitirá modernizar los procesos de rendición de cuentas y establecer mayores controles en este sentido.</w:t>
      </w:r>
    </w:p>
    <w:p w:rsidR="00D97BC8" w:rsidRPr="00BB231B" w:rsidRDefault="00D97BC8" w:rsidP="0013776D">
      <w:pPr>
        <w:pStyle w:val="Prrafodelista"/>
        <w:numPr>
          <w:ilvl w:val="0"/>
          <w:numId w:val="45"/>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Publicación: Contralor afirma: Fortalecimiento del Control Interno asegura la transparencia y el buen uso de los recursos del Estado</w:t>
      </w:r>
    </w:p>
    <w:p w:rsidR="00D97BC8" w:rsidRPr="00BB231B" w:rsidRDefault="00D97BC8" w:rsidP="0013776D">
      <w:pPr>
        <w:pStyle w:val="Prrafodelista"/>
        <w:numPr>
          <w:ilvl w:val="0"/>
          <w:numId w:val="45"/>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Publicación: La Contraloría General de la República (CGR) y el Instituto de Auditores Internos de la República Dominicana (IAIRD) firmaron un acuerdo de colaboración y cooperación que incluye la formación de auditores internos en maestrías, seminarios y cursos de certificaciones internacionales.</w:t>
      </w:r>
    </w:p>
    <w:p w:rsidR="00D97BC8" w:rsidRPr="00BB231B" w:rsidRDefault="00D97BC8" w:rsidP="0013776D">
      <w:pPr>
        <w:pStyle w:val="Prrafodelista"/>
        <w:numPr>
          <w:ilvl w:val="0"/>
          <w:numId w:val="45"/>
        </w:num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Publicación: La Contraloría desarrolla proyectos que fortalecen y elevan la calidad de la auditoría interna en el sector público.</w:t>
      </w:r>
    </w:p>
    <w:p w:rsidR="00AD191A" w:rsidRPr="00BB231B" w:rsidRDefault="00AD191A" w:rsidP="00E23A7F">
      <w:pPr>
        <w:spacing w:line="480" w:lineRule="auto"/>
        <w:rPr>
          <w:rFonts w:ascii="Times New Roman" w:hAnsi="Times New Roman" w:cs="Times New Roman"/>
          <w:b/>
          <w:color w:val="auto"/>
          <w:sz w:val="24"/>
          <w:szCs w:val="24"/>
        </w:rPr>
      </w:pPr>
      <w:r w:rsidRPr="00BB231B">
        <w:rPr>
          <w:rFonts w:ascii="Times New Roman" w:hAnsi="Times New Roman" w:cs="Times New Roman"/>
          <w:b/>
          <w:color w:val="auto"/>
          <w:sz w:val="24"/>
          <w:szCs w:val="24"/>
        </w:rPr>
        <w:t xml:space="preserve">En Facebook: </w:t>
      </w:r>
    </w:p>
    <w:p w:rsidR="00D97BC8" w:rsidRPr="00BB231B" w:rsidRDefault="00D97BC8" w:rsidP="00E23A7F">
      <w:pPr>
        <w:spacing w:line="480" w:lineRule="auto"/>
        <w:rPr>
          <w:rFonts w:ascii="Times New Roman" w:hAnsi="Times New Roman" w:cs="Times New Roman"/>
          <w:b/>
          <w:color w:val="auto"/>
          <w:sz w:val="24"/>
          <w:szCs w:val="24"/>
        </w:rPr>
      </w:pPr>
      <w:r w:rsidRPr="00BB231B">
        <w:rPr>
          <w:rFonts w:ascii="Times New Roman" w:hAnsi="Times New Roman" w:cs="Times New Roman"/>
          <w:b/>
          <w:color w:val="auto"/>
          <w:sz w:val="24"/>
          <w:szCs w:val="24"/>
        </w:rPr>
        <w:t>Total de impresiones: 404.255</w:t>
      </w:r>
    </w:p>
    <w:p w:rsidR="00D97BC8" w:rsidRPr="00BB231B" w:rsidRDefault="00D97BC8" w:rsidP="00E23A7F">
      <w:pPr>
        <w:spacing w:line="480" w:lineRule="auto"/>
        <w:rPr>
          <w:rFonts w:ascii="Times New Roman" w:hAnsi="Times New Roman" w:cs="Times New Roman"/>
          <w:b/>
          <w:color w:val="auto"/>
          <w:sz w:val="24"/>
          <w:szCs w:val="24"/>
        </w:rPr>
      </w:pPr>
      <w:r w:rsidRPr="00BB231B">
        <w:rPr>
          <w:rFonts w:ascii="Times New Roman" w:hAnsi="Times New Roman" w:cs="Times New Roman"/>
          <w:b/>
          <w:color w:val="auto"/>
          <w:sz w:val="24"/>
          <w:szCs w:val="24"/>
        </w:rPr>
        <w:t>Total de personas alcanzadas: 203,947</w:t>
      </w:r>
    </w:p>
    <w:p w:rsidR="00D97BC8" w:rsidRPr="00BB231B" w:rsidRDefault="00D97BC8" w:rsidP="00E23A7F">
      <w:pPr>
        <w:spacing w:line="480" w:lineRule="auto"/>
        <w:rPr>
          <w:rFonts w:ascii="Times New Roman" w:hAnsi="Times New Roman" w:cs="Times New Roman"/>
          <w:b/>
          <w:color w:val="auto"/>
          <w:sz w:val="24"/>
          <w:szCs w:val="24"/>
        </w:rPr>
      </w:pPr>
      <w:proofErr w:type="spellStart"/>
      <w:r w:rsidRPr="00BB231B">
        <w:rPr>
          <w:rFonts w:ascii="Times New Roman" w:hAnsi="Times New Roman" w:cs="Times New Roman"/>
          <w:b/>
          <w:color w:val="auto"/>
          <w:sz w:val="24"/>
          <w:szCs w:val="24"/>
        </w:rPr>
        <w:t>Twitter</w:t>
      </w:r>
      <w:proofErr w:type="spellEnd"/>
      <w:r w:rsidRPr="00BB231B">
        <w:rPr>
          <w:rFonts w:ascii="Times New Roman" w:hAnsi="Times New Roman" w:cs="Times New Roman"/>
          <w:b/>
          <w:color w:val="auto"/>
          <w:sz w:val="24"/>
          <w:szCs w:val="24"/>
        </w:rPr>
        <w:t xml:space="preserve">: </w:t>
      </w:r>
      <w:proofErr w:type="spellStart"/>
      <w:r w:rsidRPr="00BB231B">
        <w:rPr>
          <w:rFonts w:ascii="Times New Roman" w:hAnsi="Times New Roman" w:cs="Times New Roman"/>
          <w:b/>
          <w:color w:val="auto"/>
          <w:sz w:val="24"/>
          <w:szCs w:val="24"/>
        </w:rPr>
        <w:t>Tuits</w:t>
      </w:r>
      <w:proofErr w:type="spellEnd"/>
      <w:r w:rsidRPr="00BB231B">
        <w:rPr>
          <w:rFonts w:ascii="Times New Roman" w:hAnsi="Times New Roman" w:cs="Times New Roman"/>
          <w:b/>
          <w:color w:val="auto"/>
          <w:sz w:val="24"/>
          <w:szCs w:val="24"/>
        </w:rPr>
        <w:t xml:space="preserve"> promocionados:</w:t>
      </w:r>
    </w:p>
    <w:p w:rsidR="00D97BC8" w:rsidRPr="00BB231B" w:rsidRDefault="00D97BC8" w:rsidP="00E23A7F">
      <w:pPr>
        <w:spacing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Todos nuestros servicios son sin costos y sin intermediarios</w:t>
      </w:r>
    </w:p>
    <w:p w:rsidR="00D97BC8" w:rsidRPr="00BB231B" w:rsidRDefault="00D97BC8" w:rsidP="00E23A7F">
      <w:pPr>
        <w:spacing w:line="480" w:lineRule="auto"/>
        <w:rPr>
          <w:rFonts w:ascii="Times New Roman" w:hAnsi="Times New Roman" w:cs="Times New Roman"/>
          <w:b/>
          <w:color w:val="auto"/>
          <w:sz w:val="24"/>
          <w:szCs w:val="24"/>
        </w:rPr>
      </w:pPr>
      <w:r w:rsidRPr="00BB231B">
        <w:rPr>
          <w:rFonts w:ascii="Times New Roman" w:hAnsi="Times New Roman" w:cs="Times New Roman"/>
          <w:b/>
          <w:color w:val="auto"/>
          <w:sz w:val="24"/>
          <w:szCs w:val="24"/>
        </w:rPr>
        <w:t>Total de impresiones: 7,418</w:t>
      </w:r>
    </w:p>
    <w:p w:rsidR="00D97BC8" w:rsidRPr="00BB231B" w:rsidRDefault="00D97BC8" w:rsidP="00E23A7F">
      <w:pPr>
        <w:spacing w:line="480" w:lineRule="auto"/>
        <w:rPr>
          <w:rFonts w:ascii="Times New Roman" w:hAnsi="Times New Roman" w:cs="Times New Roman"/>
          <w:b/>
          <w:color w:val="auto"/>
          <w:sz w:val="24"/>
          <w:szCs w:val="24"/>
        </w:rPr>
      </w:pPr>
      <w:r w:rsidRPr="00BB231B">
        <w:rPr>
          <w:rFonts w:ascii="Times New Roman" w:hAnsi="Times New Roman" w:cs="Times New Roman"/>
          <w:b/>
          <w:color w:val="auto"/>
          <w:sz w:val="24"/>
          <w:szCs w:val="24"/>
        </w:rPr>
        <w:t>Total de interacción: 190</w:t>
      </w:r>
    </w:p>
    <w:p w:rsidR="00D97BC8" w:rsidRPr="00BB231B" w:rsidRDefault="00D97BC8" w:rsidP="00814E08">
      <w:pPr>
        <w:rPr>
          <w:rFonts w:ascii="Times New Roman" w:hAnsi="Times New Roman" w:cs="Times New Roman"/>
          <w:b/>
          <w:color w:val="auto"/>
          <w:sz w:val="28"/>
          <w:szCs w:val="24"/>
        </w:rPr>
      </w:pPr>
      <w:r w:rsidRPr="00BB231B">
        <w:rPr>
          <w:rFonts w:ascii="Times New Roman" w:hAnsi="Times New Roman" w:cs="Times New Roman"/>
          <w:b/>
          <w:color w:val="auto"/>
          <w:sz w:val="28"/>
          <w:szCs w:val="24"/>
        </w:rPr>
        <w:t>Campañas orgánicas realizadas en las Redes Sociales, hasta el 30 de noviembre de 2017</w:t>
      </w:r>
      <w:r w:rsidR="00814E08" w:rsidRPr="00BB231B">
        <w:rPr>
          <w:rFonts w:ascii="Times New Roman" w:hAnsi="Times New Roman" w:cs="Times New Roman"/>
          <w:b/>
          <w:color w:val="auto"/>
          <w:sz w:val="28"/>
          <w:szCs w:val="24"/>
        </w:rPr>
        <w:t>:</w:t>
      </w:r>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w:t>
      </w:r>
      <w:proofErr w:type="spellStart"/>
      <w:r w:rsidRPr="00BB231B">
        <w:rPr>
          <w:rFonts w:ascii="Times New Roman" w:hAnsi="Times New Roman" w:cs="Times New Roman"/>
          <w:color w:val="auto"/>
          <w:sz w:val="24"/>
          <w:szCs w:val="24"/>
        </w:rPr>
        <w:t>ContraloríaRDTeEscucha</w:t>
      </w:r>
      <w:proofErr w:type="spellEnd"/>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w:t>
      </w:r>
      <w:proofErr w:type="spellStart"/>
      <w:r w:rsidRPr="00BB231B">
        <w:rPr>
          <w:rFonts w:ascii="Times New Roman" w:hAnsi="Times New Roman" w:cs="Times New Roman"/>
          <w:color w:val="auto"/>
          <w:sz w:val="24"/>
          <w:szCs w:val="24"/>
        </w:rPr>
        <w:t>RDCreceySeDemocratiza</w:t>
      </w:r>
      <w:proofErr w:type="spellEnd"/>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w:t>
      </w:r>
      <w:proofErr w:type="spellStart"/>
      <w:r w:rsidRPr="00BB231B">
        <w:rPr>
          <w:rFonts w:ascii="Times New Roman" w:hAnsi="Times New Roman" w:cs="Times New Roman"/>
          <w:color w:val="auto"/>
          <w:sz w:val="24"/>
          <w:szCs w:val="24"/>
        </w:rPr>
        <w:t>AulaTransparente</w:t>
      </w:r>
      <w:proofErr w:type="spellEnd"/>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#Ley10_07</w:t>
      </w:r>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w:t>
      </w:r>
      <w:proofErr w:type="spellStart"/>
      <w:r w:rsidRPr="00BB231B">
        <w:rPr>
          <w:rFonts w:ascii="Times New Roman" w:hAnsi="Times New Roman" w:cs="Times New Roman"/>
          <w:color w:val="auto"/>
          <w:sz w:val="24"/>
          <w:szCs w:val="24"/>
        </w:rPr>
        <w:t>DerechoASaber</w:t>
      </w:r>
      <w:proofErr w:type="spellEnd"/>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w:t>
      </w:r>
      <w:proofErr w:type="spellStart"/>
      <w:r w:rsidRPr="00BB231B">
        <w:rPr>
          <w:rFonts w:ascii="Times New Roman" w:hAnsi="Times New Roman" w:cs="Times New Roman"/>
          <w:color w:val="auto"/>
          <w:sz w:val="24"/>
          <w:szCs w:val="24"/>
        </w:rPr>
        <w:t>CGRTransparente</w:t>
      </w:r>
      <w:proofErr w:type="spellEnd"/>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#NOBACI</w:t>
      </w:r>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#SINACI</w:t>
      </w:r>
    </w:p>
    <w:p w:rsidR="00D97BC8" w:rsidRPr="00BB231B" w:rsidRDefault="00D97BC8" w:rsidP="0013776D">
      <w:pPr>
        <w:pStyle w:val="Prrafodelista"/>
        <w:numPr>
          <w:ilvl w:val="0"/>
          <w:numId w:val="44"/>
        </w:numPr>
        <w:suppressAutoHyphens w:val="0"/>
        <w:spacing w:before="0" w:after="200"/>
        <w:jc w:val="left"/>
        <w:rPr>
          <w:rFonts w:ascii="Times New Roman" w:hAnsi="Times New Roman" w:cs="Times New Roman"/>
          <w:color w:val="auto"/>
          <w:sz w:val="24"/>
          <w:szCs w:val="24"/>
        </w:rPr>
      </w:pPr>
      <w:r w:rsidRPr="00BB231B">
        <w:rPr>
          <w:rFonts w:ascii="Times New Roman" w:hAnsi="Times New Roman" w:cs="Times New Roman"/>
          <w:color w:val="auto"/>
          <w:sz w:val="24"/>
          <w:szCs w:val="24"/>
        </w:rPr>
        <w:t>#</w:t>
      </w:r>
      <w:proofErr w:type="spellStart"/>
      <w:r w:rsidRPr="00BB231B">
        <w:rPr>
          <w:rFonts w:ascii="Times New Roman" w:hAnsi="Times New Roman" w:cs="Times New Roman"/>
          <w:color w:val="auto"/>
          <w:sz w:val="24"/>
          <w:szCs w:val="24"/>
        </w:rPr>
        <w:t>DatosAbierto</w:t>
      </w:r>
      <w:proofErr w:type="spellEnd"/>
    </w:p>
    <w:p w:rsidR="00D97BC8" w:rsidRPr="00BB231B" w:rsidRDefault="00D97BC8" w:rsidP="00E23A7F">
      <w:pPr>
        <w:spacing w:line="480" w:lineRule="auto"/>
        <w:rPr>
          <w:rFonts w:ascii="Times New Roman" w:hAnsi="Times New Roman" w:cs="Times New Roman"/>
          <w:b/>
          <w:color w:val="auto"/>
          <w:sz w:val="28"/>
          <w:szCs w:val="28"/>
        </w:rPr>
      </w:pPr>
      <w:r w:rsidRPr="00BB231B">
        <w:rPr>
          <w:rFonts w:ascii="Times New Roman" w:hAnsi="Times New Roman" w:cs="Times New Roman"/>
          <w:b/>
          <w:color w:val="auto"/>
          <w:sz w:val="28"/>
          <w:szCs w:val="28"/>
        </w:rPr>
        <w:t>Campaña Comunicación Interna diseñada y redactada:</w:t>
      </w:r>
    </w:p>
    <w:p w:rsidR="00D97BC8" w:rsidRPr="00BB231B" w:rsidRDefault="00D97BC8" w:rsidP="0013776D">
      <w:pPr>
        <w:pStyle w:val="Prrafodelista"/>
        <w:numPr>
          <w:ilvl w:val="0"/>
          <w:numId w:val="43"/>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Octubre Mes de Sensibilización Sobre el Cáncer de mama</w:t>
      </w:r>
    </w:p>
    <w:p w:rsidR="00D97BC8" w:rsidRPr="00BB231B" w:rsidRDefault="00D97BC8" w:rsidP="0013776D">
      <w:pPr>
        <w:pStyle w:val="Prrafodelista"/>
        <w:numPr>
          <w:ilvl w:val="0"/>
          <w:numId w:val="43"/>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Noviembre Mes de la Familia: Crianza Positiva; imágenes y 4 boletines; iniciativa Charla Crianza Positiva dictada por CONANI</w:t>
      </w:r>
    </w:p>
    <w:p w:rsidR="00D97BC8" w:rsidRPr="00BB231B" w:rsidRDefault="00D97BC8" w:rsidP="0013776D">
      <w:pPr>
        <w:pStyle w:val="Prrafodelista"/>
        <w:numPr>
          <w:ilvl w:val="0"/>
          <w:numId w:val="43"/>
        </w:numPr>
        <w:suppressAutoHyphens w:val="0"/>
        <w:spacing w:before="0" w:after="20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Diciembre: El Espíritu de la Navidad</w:t>
      </w:r>
    </w:p>
    <w:p w:rsidR="00841814" w:rsidRPr="00BB231B" w:rsidRDefault="00D97BC8" w:rsidP="00F91AB8">
      <w:pPr>
        <w:pStyle w:val="Prrafodelista"/>
        <w:numPr>
          <w:ilvl w:val="0"/>
          <w:numId w:val="43"/>
        </w:numPr>
        <w:suppressAutoHyphens w:val="0"/>
        <w:spacing w:before="0" w:after="200" w:line="480" w:lineRule="auto"/>
        <w:rPr>
          <w:rFonts w:ascii="Times New Roman" w:hAnsi="Times New Roman" w:cs="Times New Roman"/>
        </w:rPr>
      </w:pPr>
      <w:r w:rsidRPr="00BB231B">
        <w:rPr>
          <w:rFonts w:ascii="Times New Roman" w:hAnsi="Times New Roman" w:cs="Times New Roman"/>
          <w:color w:val="auto"/>
          <w:sz w:val="24"/>
          <w:szCs w:val="24"/>
        </w:rPr>
        <w:t>Envío de imágenes y mensajes para días especiales: De la Amistad, de la Mujer, Día de las Secretarías, Día de la Madre, Día del Padre, Ética Ciudadana, Días Patrios, Semana Santa, Día del Auditor, Día del Contador…</w:t>
      </w:r>
      <w:bookmarkEnd w:id="40"/>
    </w:p>
    <w:p w:rsidR="00576BCD" w:rsidRPr="00BB231B" w:rsidRDefault="00AB6DB0" w:rsidP="000B4BAD">
      <w:pPr>
        <w:pStyle w:val="Normal-blanco"/>
        <w:spacing w:before="0" w:after="0"/>
        <w:ind w:right="199"/>
        <w:outlineLvl w:val="2"/>
        <w:rPr>
          <w:rStyle w:val="nfasissutil"/>
          <w:rFonts w:ascii="Times New Roman" w:hAnsi="Times New Roman" w:cs="Times New Roman"/>
          <w:color w:val="000000" w:themeColor="text1"/>
          <w:sz w:val="24"/>
          <w:lang w:val="es-DO"/>
        </w:rPr>
      </w:pPr>
      <w:bookmarkStart w:id="41" w:name="_Toc488412839"/>
      <w:bookmarkStart w:id="42" w:name="_Toc500858017"/>
      <w:bookmarkStart w:id="43" w:name="_Toc500858167"/>
      <w:bookmarkStart w:id="44" w:name="_Toc500858681"/>
      <w:bookmarkStart w:id="45" w:name="_Toc500918593"/>
      <w:r w:rsidRPr="00BB231B">
        <w:rPr>
          <w:rStyle w:val="nfasissutil"/>
          <w:rFonts w:ascii="Times New Roman" w:hAnsi="Times New Roman" w:cs="Times New Roman"/>
          <w:b/>
          <w:color w:val="000000" w:themeColor="text1"/>
          <w:sz w:val="28"/>
          <w:lang w:val="es-DO"/>
        </w:rPr>
        <w:t xml:space="preserve">Gestión para </w:t>
      </w:r>
      <w:r w:rsidR="00576BCD" w:rsidRPr="00BB231B">
        <w:rPr>
          <w:rStyle w:val="nfasissutil"/>
          <w:rFonts w:ascii="Times New Roman" w:hAnsi="Times New Roman" w:cs="Times New Roman"/>
          <w:b/>
          <w:color w:val="000000" w:themeColor="text1"/>
          <w:sz w:val="28"/>
          <w:lang w:val="es-DO"/>
        </w:rPr>
        <w:t>Desarrollar y gestionar alianzas con organizaciones relevantes</w:t>
      </w:r>
      <w:bookmarkEnd w:id="41"/>
      <w:r w:rsidR="00E835F5" w:rsidRPr="00BB231B">
        <w:rPr>
          <w:rStyle w:val="nfasissutil"/>
          <w:rFonts w:ascii="Times New Roman" w:hAnsi="Times New Roman" w:cs="Times New Roman"/>
          <w:b/>
          <w:color w:val="000000" w:themeColor="text1"/>
          <w:sz w:val="28"/>
          <w:lang w:val="es-DO"/>
        </w:rPr>
        <w:t>:</w:t>
      </w:r>
      <w:bookmarkEnd w:id="42"/>
      <w:bookmarkEnd w:id="43"/>
      <w:bookmarkEnd w:id="44"/>
      <w:bookmarkEnd w:id="45"/>
    </w:p>
    <w:p w:rsidR="00576BCD" w:rsidRPr="00BB231B" w:rsidRDefault="00576BCD" w:rsidP="00DA13AD">
      <w:pPr>
        <w:pStyle w:val="Normal-blanco"/>
        <w:spacing w:before="0" w:after="0" w:line="360" w:lineRule="auto"/>
        <w:ind w:left="1134" w:right="199"/>
        <w:rPr>
          <w:rStyle w:val="nfasissutil"/>
          <w:rFonts w:ascii="Times New Roman" w:hAnsi="Times New Roman" w:cs="Times New Roman"/>
          <w:color w:val="000000" w:themeColor="text1"/>
          <w:sz w:val="24"/>
          <w:lang w:val="es-DO"/>
        </w:rPr>
      </w:pPr>
    </w:p>
    <w:p w:rsidR="00576BCD" w:rsidRPr="00BB231B" w:rsidRDefault="002E46E2" w:rsidP="00210347">
      <w:pPr>
        <w:pStyle w:val="Normal-blanco"/>
        <w:spacing w:before="0" w:after="0" w:line="480" w:lineRule="auto"/>
        <w:ind w:right="198" w:firstLine="709"/>
        <w:rPr>
          <w:rStyle w:val="nfasissutil"/>
          <w:rFonts w:ascii="Times New Roman" w:hAnsi="Times New Roman" w:cs="Times New Roman"/>
          <w:color w:val="000000" w:themeColor="text1"/>
          <w:sz w:val="24"/>
          <w:lang w:val="es-DO"/>
        </w:rPr>
      </w:pPr>
      <w:r w:rsidRPr="00BB231B">
        <w:rPr>
          <w:rStyle w:val="nfasissutil"/>
          <w:rFonts w:ascii="Times New Roman" w:hAnsi="Times New Roman" w:cs="Times New Roman"/>
          <w:color w:val="000000" w:themeColor="text1"/>
          <w:sz w:val="24"/>
          <w:lang w:val="es-DO"/>
        </w:rPr>
        <w:t>El</w:t>
      </w:r>
      <w:r w:rsidR="00013046" w:rsidRPr="00BB231B">
        <w:rPr>
          <w:rStyle w:val="nfasissutil"/>
          <w:rFonts w:ascii="Times New Roman" w:hAnsi="Times New Roman" w:cs="Times New Roman"/>
          <w:color w:val="000000" w:themeColor="text1"/>
          <w:sz w:val="24"/>
          <w:lang w:val="es-DO"/>
        </w:rPr>
        <w:t xml:space="preserve"> modelo de gestión por proceso y la mejora continua, le permite a la Contraloría gestionar sus procesos desarrollando alianzas con </w:t>
      </w:r>
      <w:r w:rsidR="00576BCD" w:rsidRPr="00BB231B">
        <w:rPr>
          <w:rStyle w:val="nfasissutil"/>
          <w:rFonts w:ascii="Times New Roman" w:hAnsi="Times New Roman" w:cs="Times New Roman"/>
          <w:color w:val="000000" w:themeColor="text1"/>
          <w:sz w:val="24"/>
          <w:lang w:val="es-DO"/>
        </w:rPr>
        <w:t>socios</w:t>
      </w:r>
      <w:r w:rsidR="00013046" w:rsidRPr="00BB231B">
        <w:rPr>
          <w:rStyle w:val="nfasissutil"/>
          <w:rFonts w:ascii="Times New Roman" w:hAnsi="Times New Roman" w:cs="Times New Roman"/>
          <w:color w:val="000000" w:themeColor="text1"/>
          <w:sz w:val="24"/>
          <w:lang w:val="es-DO"/>
        </w:rPr>
        <w:t xml:space="preserve"> </w:t>
      </w:r>
      <w:r w:rsidR="00485C49" w:rsidRPr="00BB231B">
        <w:rPr>
          <w:rStyle w:val="nfasissutil"/>
          <w:rFonts w:ascii="Times New Roman" w:hAnsi="Times New Roman" w:cs="Times New Roman"/>
          <w:color w:val="000000" w:themeColor="text1"/>
          <w:sz w:val="24"/>
          <w:lang w:val="es-DO"/>
        </w:rPr>
        <w:t>estratégicos</w:t>
      </w:r>
      <w:r w:rsidR="00013046" w:rsidRPr="00BB231B">
        <w:rPr>
          <w:rStyle w:val="nfasissutil"/>
          <w:rFonts w:ascii="Times New Roman" w:hAnsi="Times New Roman" w:cs="Times New Roman"/>
          <w:color w:val="000000" w:themeColor="text1"/>
          <w:sz w:val="24"/>
          <w:lang w:val="es-DO"/>
        </w:rPr>
        <w:t xml:space="preserve">, tales como el </w:t>
      </w:r>
      <w:r w:rsidR="00576BCD" w:rsidRPr="00BB231B">
        <w:rPr>
          <w:rStyle w:val="nfasissutil"/>
          <w:rFonts w:ascii="Times New Roman" w:hAnsi="Times New Roman" w:cs="Times New Roman"/>
          <w:color w:val="000000" w:themeColor="text1"/>
          <w:sz w:val="24"/>
          <w:lang w:val="es-DO"/>
        </w:rPr>
        <w:t xml:space="preserve">Ministerio de Administración </w:t>
      </w:r>
      <w:r w:rsidR="00485C49" w:rsidRPr="00BB231B">
        <w:rPr>
          <w:rStyle w:val="nfasissutil"/>
          <w:rFonts w:ascii="Times New Roman" w:hAnsi="Times New Roman" w:cs="Times New Roman"/>
          <w:color w:val="000000" w:themeColor="text1"/>
          <w:sz w:val="24"/>
          <w:lang w:val="es-DO"/>
        </w:rPr>
        <w:t>Pública</w:t>
      </w:r>
      <w:r w:rsidR="00013046" w:rsidRPr="00BB231B">
        <w:rPr>
          <w:rStyle w:val="nfasissutil"/>
          <w:rFonts w:ascii="Times New Roman" w:hAnsi="Times New Roman" w:cs="Times New Roman"/>
          <w:color w:val="000000" w:themeColor="text1"/>
          <w:sz w:val="24"/>
          <w:lang w:val="es-DO"/>
        </w:rPr>
        <w:t xml:space="preserve"> (MAP</w:t>
      </w:r>
      <w:r w:rsidR="00576BCD" w:rsidRPr="00BB231B">
        <w:rPr>
          <w:rStyle w:val="nfasissutil"/>
          <w:rFonts w:ascii="Times New Roman" w:hAnsi="Times New Roman" w:cs="Times New Roman"/>
          <w:color w:val="000000" w:themeColor="text1"/>
          <w:sz w:val="24"/>
          <w:lang w:val="es-DO"/>
        </w:rPr>
        <w:t>), Cámara de Cuentas, el Tribunal Constitucional, la Universidad Autónoma de Santo Domi</w:t>
      </w:r>
      <w:r w:rsidR="003733A4" w:rsidRPr="00BB231B">
        <w:rPr>
          <w:rStyle w:val="nfasissutil"/>
          <w:rFonts w:ascii="Times New Roman" w:hAnsi="Times New Roman" w:cs="Times New Roman"/>
          <w:color w:val="000000" w:themeColor="text1"/>
          <w:sz w:val="24"/>
          <w:lang w:val="es-DO"/>
        </w:rPr>
        <w:t xml:space="preserve">ngo (UASD), y el Banco Central. </w:t>
      </w:r>
      <w:r w:rsidR="00576BCD" w:rsidRPr="00BB231B">
        <w:rPr>
          <w:rStyle w:val="nfasissutil"/>
          <w:rFonts w:ascii="Times New Roman" w:hAnsi="Times New Roman" w:cs="Times New Roman"/>
          <w:color w:val="000000" w:themeColor="text1"/>
          <w:sz w:val="24"/>
          <w:szCs w:val="24"/>
          <w:lang w:val="es-DO"/>
        </w:rPr>
        <w:t xml:space="preserve">A través de las Unidades Estratégicas de Servicios (UES) vinculadas al acuerdo, se lleva un cronograma de trabajo y/o un documento que certifique las acciones contraídas por el acuerdo. En derivación se tiene como evidencia del seguimiento a cada acuerdo los documentos de </w:t>
      </w:r>
      <w:r w:rsidR="001D2607" w:rsidRPr="00BB231B">
        <w:rPr>
          <w:rStyle w:val="nfasissutil"/>
          <w:rFonts w:ascii="Times New Roman" w:hAnsi="Times New Roman" w:cs="Times New Roman"/>
          <w:color w:val="000000" w:themeColor="text1"/>
          <w:sz w:val="24"/>
          <w:szCs w:val="24"/>
          <w:lang w:val="es-DO"/>
        </w:rPr>
        <w:t>trabajo realizados</w:t>
      </w:r>
      <w:r w:rsidR="00576BCD" w:rsidRPr="00BB231B">
        <w:rPr>
          <w:rStyle w:val="nfasissutil"/>
          <w:rFonts w:ascii="Times New Roman" w:hAnsi="Times New Roman" w:cs="Times New Roman"/>
          <w:color w:val="000000" w:themeColor="text1"/>
          <w:sz w:val="24"/>
          <w:szCs w:val="24"/>
          <w:lang w:val="es-DO"/>
        </w:rPr>
        <w:t xml:space="preserve"> por cada área responsable del cumplimiento de estas alianzas, que se ejecutan bajo el conocimiento y aprobación de las respectivas direcciones.</w:t>
      </w:r>
    </w:p>
    <w:p w:rsidR="00576BCD" w:rsidRPr="00BB231B" w:rsidRDefault="00576BCD" w:rsidP="00210347">
      <w:pPr>
        <w:pStyle w:val="Normal-blanco"/>
        <w:spacing w:before="0" w:after="0" w:line="480" w:lineRule="auto"/>
        <w:ind w:right="198" w:firstLine="709"/>
        <w:rPr>
          <w:rStyle w:val="nfasissutil"/>
          <w:rFonts w:ascii="Times New Roman" w:hAnsi="Times New Roman" w:cs="Times New Roman"/>
          <w:color w:val="000000" w:themeColor="text1"/>
          <w:sz w:val="24"/>
          <w:szCs w:val="24"/>
          <w:lang w:val="es-DO"/>
        </w:rPr>
      </w:pPr>
      <w:r w:rsidRPr="00BB231B">
        <w:rPr>
          <w:rStyle w:val="nfasissutil"/>
          <w:rFonts w:ascii="Times New Roman" w:hAnsi="Times New Roman" w:cs="Times New Roman"/>
          <w:color w:val="000000" w:themeColor="text1"/>
          <w:sz w:val="24"/>
          <w:szCs w:val="24"/>
          <w:lang w:val="es-DO"/>
        </w:rPr>
        <w:t xml:space="preserve">Con el conocimiento pleno de los factores necesarios que provee el sector privado para el desarrollo de sus funciones, la CGR incursionó en el fomento del trabajo aunado junto </w:t>
      </w:r>
      <w:r w:rsidR="001D2607" w:rsidRPr="00BB231B">
        <w:rPr>
          <w:rStyle w:val="nfasissutil"/>
          <w:rFonts w:ascii="Times New Roman" w:hAnsi="Times New Roman" w:cs="Times New Roman"/>
          <w:color w:val="000000" w:themeColor="text1"/>
          <w:sz w:val="24"/>
          <w:szCs w:val="24"/>
          <w:lang w:val="es-DO"/>
        </w:rPr>
        <w:t xml:space="preserve">a </w:t>
      </w:r>
      <w:r w:rsidRPr="00BB231B">
        <w:rPr>
          <w:rStyle w:val="nfasissutil"/>
          <w:rFonts w:ascii="Times New Roman" w:hAnsi="Times New Roman" w:cs="Times New Roman"/>
          <w:color w:val="000000" w:themeColor="text1"/>
          <w:sz w:val="24"/>
          <w:szCs w:val="24"/>
          <w:lang w:val="es-DO"/>
        </w:rPr>
        <w:t xml:space="preserve">aquellas entidades fuera del sector gubernamental y que cuentan con los recursos necesarios para apoyar a la </w:t>
      </w:r>
      <w:r w:rsidRPr="00BB231B">
        <w:rPr>
          <w:rStyle w:val="nfasissutil"/>
          <w:rFonts w:ascii="Times New Roman" w:hAnsi="Times New Roman" w:cs="Times New Roman"/>
          <w:color w:val="000000" w:themeColor="text1"/>
          <w:sz w:val="24"/>
          <w:szCs w:val="24"/>
          <w:lang w:val="es-DO"/>
        </w:rPr>
        <w:lastRenderedPageBreak/>
        <w:t xml:space="preserve">institución en su cumplimiento misional. Como resultado, se mantienen en vigencia   </w:t>
      </w:r>
      <w:r w:rsidRPr="00BB231B">
        <w:rPr>
          <w:rStyle w:val="nfasissutil"/>
          <w:rFonts w:ascii="Times New Roman" w:hAnsi="Times New Roman" w:cs="Times New Roman"/>
          <w:b/>
          <w:color w:val="000000" w:themeColor="text1"/>
          <w:sz w:val="24"/>
          <w:szCs w:val="24"/>
          <w:lang w:val="es-DO"/>
        </w:rPr>
        <w:t xml:space="preserve">los acuerdos firmados con la Universidad </w:t>
      </w:r>
      <w:r w:rsidR="00ED1DD4" w:rsidRPr="00BB231B">
        <w:rPr>
          <w:rStyle w:val="nfasissutil"/>
          <w:rFonts w:ascii="Times New Roman" w:hAnsi="Times New Roman" w:cs="Times New Roman"/>
          <w:b/>
          <w:color w:val="000000" w:themeColor="text1"/>
          <w:sz w:val="24"/>
          <w:szCs w:val="24"/>
          <w:lang w:val="es-DO"/>
        </w:rPr>
        <w:t>APEC</w:t>
      </w:r>
      <w:r w:rsidRPr="00BB231B">
        <w:rPr>
          <w:rStyle w:val="nfasissutil"/>
          <w:rFonts w:ascii="Times New Roman" w:hAnsi="Times New Roman" w:cs="Times New Roman"/>
          <w:b/>
          <w:color w:val="000000" w:themeColor="text1"/>
          <w:sz w:val="24"/>
          <w:szCs w:val="24"/>
          <w:lang w:val="es-DO"/>
        </w:rPr>
        <w:t>, y con el Instituto de Auditores Internos</w:t>
      </w:r>
      <w:r w:rsidRPr="00BB231B">
        <w:rPr>
          <w:rStyle w:val="nfasissutil"/>
          <w:rFonts w:ascii="Times New Roman" w:hAnsi="Times New Roman" w:cs="Times New Roman"/>
          <w:color w:val="000000" w:themeColor="text1"/>
          <w:sz w:val="24"/>
          <w:szCs w:val="24"/>
          <w:lang w:val="es-DO"/>
        </w:rPr>
        <w:t>, que buscan mantener los correctos estándares del personal que desempeña funciones en los procesos claves.</w:t>
      </w:r>
    </w:p>
    <w:p w:rsidR="00576BCD" w:rsidRPr="00BB231B" w:rsidRDefault="00576BCD" w:rsidP="00210347">
      <w:pPr>
        <w:pStyle w:val="Normal-blanco"/>
        <w:spacing w:before="0" w:after="0" w:line="480" w:lineRule="auto"/>
        <w:ind w:right="198" w:firstLine="709"/>
        <w:rPr>
          <w:rStyle w:val="nfasissutil"/>
          <w:rFonts w:ascii="Times New Roman" w:hAnsi="Times New Roman" w:cs="Times New Roman"/>
          <w:color w:val="000000" w:themeColor="text1"/>
          <w:sz w:val="24"/>
          <w:szCs w:val="24"/>
          <w:lang w:val="es-DO"/>
        </w:rPr>
      </w:pPr>
      <w:r w:rsidRPr="00BB231B">
        <w:rPr>
          <w:rStyle w:val="nfasissutil"/>
          <w:rFonts w:ascii="Times New Roman" w:hAnsi="Times New Roman" w:cs="Times New Roman"/>
          <w:color w:val="000000" w:themeColor="text1"/>
          <w:sz w:val="24"/>
          <w:szCs w:val="24"/>
          <w:lang w:val="es-DO"/>
        </w:rPr>
        <w:t xml:space="preserve">En los acuerdos están </w:t>
      </w:r>
      <w:r w:rsidR="00485C49" w:rsidRPr="00BB231B">
        <w:rPr>
          <w:rStyle w:val="nfasissutil"/>
          <w:rFonts w:ascii="Times New Roman" w:hAnsi="Times New Roman" w:cs="Times New Roman"/>
          <w:color w:val="000000" w:themeColor="text1"/>
          <w:sz w:val="24"/>
          <w:szCs w:val="24"/>
          <w:lang w:val="es-DO"/>
        </w:rPr>
        <w:t>establecidos</w:t>
      </w:r>
      <w:r w:rsidRPr="00BB231B">
        <w:rPr>
          <w:rStyle w:val="nfasissutil"/>
          <w:rFonts w:ascii="Times New Roman" w:hAnsi="Times New Roman" w:cs="Times New Roman"/>
          <w:color w:val="000000" w:themeColor="text1"/>
          <w:sz w:val="24"/>
          <w:szCs w:val="24"/>
          <w:lang w:val="es-DO"/>
        </w:rPr>
        <w:t xml:space="preserve"> las responsabil</w:t>
      </w:r>
      <w:r w:rsidR="00150FA4" w:rsidRPr="00BB231B">
        <w:rPr>
          <w:rStyle w:val="nfasissutil"/>
          <w:rFonts w:ascii="Times New Roman" w:hAnsi="Times New Roman" w:cs="Times New Roman"/>
          <w:color w:val="000000" w:themeColor="text1"/>
          <w:sz w:val="24"/>
          <w:szCs w:val="24"/>
          <w:lang w:val="es-DO"/>
        </w:rPr>
        <w:t xml:space="preserve">idades de cada socio, </w:t>
      </w:r>
      <w:r w:rsidR="00485C49" w:rsidRPr="00BB231B">
        <w:rPr>
          <w:rStyle w:val="nfasissutil"/>
          <w:rFonts w:ascii="Times New Roman" w:hAnsi="Times New Roman" w:cs="Times New Roman"/>
          <w:color w:val="000000" w:themeColor="text1"/>
          <w:sz w:val="24"/>
          <w:szCs w:val="24"/>
          <w:lang w:val="es-DO"/>
        </w:rPr>
        <w:t>así</w:t>
      </w:r>
      <w:r w:rsidR="00150FA4" w:rsidRPr="00BB231B">
        <w:rPr>
          <w:rStyle w:val="nfasissutil"/>
          <w:rFonts w:ascii="Times New Roman" w:hAnsi="Times New Roman" w:cs="Times New Roman"/>
          <w:color w:val="000000" w:themeColor="text1"/>
          <w:sz w:val="24"/>
          <w:szCs w:val="24"/>
          <w:lang w:val="es-DO"/>
        </w:rPr>
        <w:t xml:space="preserve"> como las metas que deben lograr e indicadores de gestión a fin de monitorear el cumplimiento del </w:t>
      </w:r>
      <w:r w:rsidR="00485C49" w:rsidRPr="00BB231B">
        <w:rPr>
          <w:rStyle w:val="nfasissutil"/>
          <w:rFonts w:ascii="Times New Roman" w:hAnsi="Times New Roman" w:cs="Times New Roman"/>
          <w:color w:val="000000" w:themeColor="text1"/>
          <w:sz w:val="24"/>
          <w:szCs w:val="24"/>
          <w:lang w:val="es-DO"/>
        </w:rPr>
        <w:t>logro de</w:t>
      </w:r>
      <w:r w:rsidR="00150FA4" w:rsidRPr="00BB231B">
        <w:rPr>
          <w:rStyle w:val="nfasissutil"/>
          <w:rFonts w:ascii="Times New Roman" w:hAnsi="Times New Roman" w:cs="Times New Roman"/>
          <w:color w:val="000000" w:themeColor="text1"/>
          <w:sz w:val="24"/>
          <w:szCs w:val="24"/>
          <w:lang w:val="es-DO"/>
        </w:rPr>
        <w:t xml:space="preserve"> las mismas.</w:t>
      </w:r>
    </w:p>
    <w:p w:rsidR="00ED7768" w:rsidRPr="00BB231B" w:rsidRDefault="00ED7768" w:rsidP="00DA13AD">
      <w:pPr>
        <w:pStyle w:val="Normal-blanco"/>
        <w:spacing w:before="0" w:after="0" w:line="360" w:lineRule="auto"/>
        <w:ind w:right="199"/>
        <w:rPr>
          <w:rStyle w:val="nfasissutil"/>
          <w:rFonts w:ascii="Times New Roman" w:hAnsi="Times New Roman" w:cs="Times New Roman"/>
          <w:color w:val="000000" w:themeColor="text1"/>
          <w:sz w:val="24"/>
          <w:szCs w:val="24"/>
          <w:lang w:val="es-DO"/>
        </w:rPr>
      </w:pPr>
    </w:p>
    <w:p w:rsidR="00ED7768" w:rsidRPr="00BB231B" w:rsidRDefault="00ED7768" w:rsidP="000B4BAD">
      <w:pPr>
        <w:pStyle w:val="Normal-blanco"/>
        <w:spacing w:before="0" w:after="0"/>
        <w:ind w:right="199"/>
        <w:rPr>
          <w:rStyle w:val="nfasissutil"/>
          <w:rFonts w:ascii="Times New Roman" w:hAnsi="Times New Roman" w:cs="Times New Roman"/>
          <w:b/>
          <w:color w:val="000000" w:themeColor="text1"/>
          <w:sz w:val="28"/>
          <w:szCs w:val="24"/>
          <w:lang w:val="es-DO"/>
        </w:rPr>
      </w:pPr>
      <w:r w:rsidRPr="00BB231B">
        <w:rPr>
          <w:rStyle w:val="nfasissutil"/>
          <w:rFonts w:ascii="Times New Roman" w:hAnsi="Times New Roman" w:cs="Times New Roman"/>
          <w:b/>
          <w:color w:val="000000" w:themeColor="text1"/>
          <w:sz w:val="28"/>
          <w:szCs w:val="24"/>
          <w:lang w:val="es-DO"/>
        </w:rPr>
        <w:t xml:space="preserve">Participación en </w:t>
      </w:r>
      <w:r w:rsidR="000B4BAD" w:rsidRPr="00BB231B">
        <w:rPr>
          <w:rStyle w:val="nfasissutil"/>
          <w:rFonts w:ascii="Times New Roman" w:hAnsi="Times New Roman" w:cs="Times New Roman"/>
          <w:b/>
          <w:color w:val="000000" w:themeColor="text1"/>
          <w:sz w:val="28"/>
          <w:szCs w:val="24"/>
          <w:lang w:val="es-DO"/>
        </w:rPr>
        <w:t>XXVII Asamblea General de la Organización Latinoamericana y del Caribe de Entidades Fiscalizadoras Superiores (OLACEFS)</w:t>
      </w:r>
    </w:p>
    <w:p w:rsidR="00ED7768" w:rsidRPr="00BB231B" w:rsidRDefault="00ED7768" w:rsidP="00DA13AD">
      <w:pPr>
        <w:pStyle w:val="Normal-blanco"/>
        <w:spacing w:before="0" w:after="0" w:line="360" w:lineRule="auto"/>
        <w:ind w:right="199"/>
        <w:rPr>
          <w:rStyle w:val="nfasissutil"/>
          <w:rFonts w:ascii="Times New Roman" w:hAnsi="Times New Roman" w:cs="Times New Roman"/>
          <w:b/>
          <w:color w:val="000000" w:themeColor="text1"/>
          <w:sz w:val="28"/>
          <w:szCs w:val="24"/>
          <w:lang w:val="es-DO"/>
        </w:rPr>
      </w:pPr>
    </w:p>
    <w:p w:rsidR="00ED7768" w:rsidRPr="00BB231B" w:rsidRDefault="00ED7768" w:rsidP="002E5E61">
      <w:pPr>
        <w:spacing w:line="480" w:lineRule="auto"/>
        <w:ind w:firstLine="709"/>
        <w:rPr>
          <w:rFonts w:ascii="Times New Roman" w:hAnsi="Times New Roman" w:cs="Times New Roman"/>
          <w:color w:val="auto"/>
          <w:sz w:val="24"/>
          <w:szCs w:val="24"/>
          <w:shd w:val="clear" w:color="auto" w:fill="FFFFFF"/>
        </w:rPr>
      </w:pPr>
      <w:r w:rsidRPr="00BB231B">
        <w:rPr>
          <w:rFonts w:ascii="Times New Roman" w:hAnsi="Times New Roman" w:cs="Times New Roman"/>
          <w:color w:val="auto"/>
          <w:sz w:val="24"/>
          <w:szCs w:val="24"/>
        </w:rPr>
        <w:t xml:space="preserve">La Contraloría General de la República Dominicana (CGR) como miembro asociado de la Organización Latinoamericana y del Caribe de Entidades Fiscalizadoras Superiores (OLACEFS) ha participado en la celebración de su XXVII Asamblea Ordinaria la cual ha sido celebrada en la ciudad de Asunción, Paraguay. Con esta participación se ha ratificado el compromiso del </w:t>
      </w:r>
      <w:r w:rsidR="002E5E61" w:rsidRPr="00BB231B">
        <w:rPr>
          <w:rFonts w:ascii="Times New Roman" w:hAnsi="Times New Roman" w:cs="Times New Roman"/>
          <w:color w:val="auto"/>
          <w:sz w:val="24"/>
          <w:szCs w:val="24"/>
        </w:rPr>
        <w:t>E</w:t>
      </w:r>
      <w:r w:rsidRPr="00BB231B">
        <w:rPr>
          <w:rFonts w:ascii="Times New Roman" w:hAnsi="Times New Roman" w:cs="Times New Roman"/>
          <w:color w:val="auto"/>
          <w:sz w:val="24"/>
          <w:szCs w:val="24"/>
        </w:rPr>
        <w:t>stado dominicano de mantener y desarrollar este foro internacional superior de intercambio de ideas y experiencias relacionadas a la fiscalización y al control gubernamental, así como el fomento de las relaciones de cooperación y desarrollo entre entidades de control.</w:t>
      </w:r>
      <w:r w:rsidRPr="00BB231B">
        <w:rPr>
          <w:rFonts w:ascii="Times New Roman" w:hAnsi="Times New Roman" w:cs="Times New Roman"/>
          <w:color w:val="auto"/>
          <w:sz w:val="24"/>
          <w:szCs w:val="24"/>
          <w:shd w:val="clear" w:color="auto" w:fill="FFFFFF"/>
        </w:rPr>
        <w:t xml:space="preserve"> </w:t>
      </w:r>
    </w:p>
    <w:p w:rsidR="00ED7768" w:rsidRPr="00BB231B" w:rsidRDefault="00ED7768" w:rsidP="002E5E61">
      <w:pPr>
        <w:spacing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Actualmente, la OLACEFS cumple funciones de investigación científica especializada y desarrolla tareas de estudio, capacitación, especialización, asesoría y asistencia técnica, información y coordinación al servicio de las </w:t>
      </w:r>
      <w:r w:rsidRPr="00BB231B">
        <w:rPr>
          <w:rFonts w:ascii="Times New Roman" w:hAnsi="Times New Roman" w:cs="Times New Roman"/>
          <w:color w:val="auto"/>
          <w:sz w:val="24"/>
          <w:szCs w:val="24"/>
        </w:rPr>
        <w:lastRenderedPageBreak/>
        <w:t>Entidades Fiscalizadoras Superiores, EFS, de América Latina y del Caribe, todo ello con el objeto de fomentar su desarrollo y perfeccionamiento.</w:t>
      </w:r>
    </w:p>
    <w:p w:rsidR="00ED7768" w:rsidRPr="00BB231B" w:rsidRDefault="00ED7768" w:rsidP="00210347">
      <w:pPr>
        <w:spacing w:line="480" w:lineRule="auto"/>
        <w:ind w:firstLine="709"/>
        <w:rPr>
          <w:rFonts w:ascii="Times New Roman" w:hAnsi="Times New Roman" w:cs="Times New Roman"/>
          <w:strike/>
          <w:color w:val="E62E00" w:themeColor="accent2"/>
          <w:sz w:val="24"/>
          <w:szCs w:val="24"/>
        </w:rPr>
      </w:pPr>
      <w:r w:rsidRPr="00BB231B">
        <w:rPr>
          <w:rFonts w:ascii="Times New Roman" w:hAnsi="Times New Roman" w:cs="Times New Roman"/>
          <w:color w:val="auto"/>
          <w:sz w:val="24"/>
          <w:szCs w:val="24"/>
        </w:rPr>
        <w:t>La República Dominicana está representada en estos momentos por la Cámara de Cuentas, como Miembro Pleno, y por la Contraloría General de la Rep</w:t>
      </w:r>
      <w:r w:rsidR="00210347" w:rsidRPr="00BB231B">
        <w:rPr>
          <w:rFonts w:ascii="Times New Roman" w:hAnsi="Times New Roman" w:cs="Times New Roman"/>
          <w:color w:val="auto"/>
          <w:sz w:val="24"/>
          <w:szCs w:val="24"/>
        </w:rPr>
        <w:t>ú</w:t>
      </w:r>
      <w:r w:rsidRPr="00BB231B">
        <w:rPr>
          <w:rFonts w:ascii="Times New Roman" w:hAnsi="Times New Roman" w:cs="Times New Roman"/>
          <w:color w:val="auto"/>
          <w:sz w:val="24"/>
          <w:szCs w:val="24"/>
        </w:rPr>
        <w:t xml:space="preserve">blica, como miembro asociado. </w:t>
      </w:r>
      <w:r w:rsidR="002E5E61" w:rsidRPr="00BB231B">
        <w:rPr>
          <w:rFonts w:ascii="Times New Roman" w:hAnsi="Times New Roman" w:cs="Times New Roman"/>
          <w:strike/>
          <w:color w:val="E62E00" w:themeColor="accent2"/>
          <w:sz w:val="24"/>
          <w:szCs w:val="24"/>
        </w:rPr>
        <w:t xml:space="preserve"> </w:t>
      </w:r>
    </w:p>
    <w:p w:rsidR="00ED7768" w:rsidRPr="00BB231B" w:rsidRDefault="00ED7768" w:rsidP="002E5E61">
      <w:pPr>
        <w:pStyle w:val="NormalWeb"/>
        <w:shd w:val="clear" w:color="auto" w:fill="FFFFFF"/>
        <w:spacing w:before="0" w:beforeAutospacing="0" w:after="300" w:afterAutospacing="0" w:line="480" w:lineRule="auto"/>
        <w:ind w:firstLine="709"/>
      </w:pPr>
      <w:r w:rsidRPr="00BB231B">
        <w:t xml:space="preserve">Sobre la base de esos dos grandes tópicos se contó con exposiciones que tocaron la situación de las EFS del continente al respecto, mesas de discusión y paneles de expertos, que permitieron profundizar en estos asuntos. Entre los otros temas tratados se destaca un panel sobre control externo y derechos humanos que abrió la puerta para futuros trabajos conjuntos entre la OLACEFS y la Oficina Regional para América del Sur del Alto Comisionado de Naciones Unidas para los Derechos Humanos (ACNUDH). Además, y como punto central de esta reunión se firmó la </w:t>
      </w:r>
      <w:r w:rsidRPr="00BB231B">
        <w:rPr>
          <w:b/>
        </w:rPr>
        <w:t>Declaración de Asunción Sobre Seguridad Presupuestaria y Estabilidad Financiera</w:t>
      </w:r>
      <w:r w:rsidRPr="00BB231B">
        <w:t>, en la que las EFS miembros de OLACEFS realzan la importancia de la estabilidad financiera y autonomía presupuestaria para el adecuado ejercicio de las funciones de control que les competen.</w:t>
      </w:r>
    </w:p>
    <w:p w:rsidR="00ED7768" w:rsidRPr="00BB231B" w:rsidRDefault="00ED7768" w:rsidP="00210347">
      <w:pPr>
        <w:pStyle w:val="NormalWeb"/>
        <w:shd w:val="clear" w:color="auto" w:fill="FFFFFF"/>
        <w:spacing w:before="0" w:beforeAutospacing="0" w:after="0" w:afterAutospacing="0" w:line="480" w:lineRule="auto"/>
        <w:ind w:firstLine="709"/>
      </w:pPr>
      <w:r w:rsidRPr="00BB231B">
        <w:t>En el contexto de las discusiones administrativas, entre los diversos temas de interés para la gestión interna de OLACEFS se aprobaron dos resoluciones que proyectan el trabajo de OLACEFS hacia el exterior y que favorecerán el posicionamiento internacional de la organización. Por una parte, y a propuesta de la Presidencia y Secretaría Ejecutiva, se aprobó la inten</w:t>
      </w:r>
      <w:r w:rsidR="00210347" w:rsidRPr="00BB231B">
        <w:t>c</w:t>
      </w:r>
      <w:r w:rsidRPr="00BB231B">
        <w:t xml:space="preserve">ión de realizar acciones </w:t>
      </w:r>
      <w:r w:rsidRPr="00BB231B">
        <w:lastRenderedPageBreak/>
        <w:t xml:space="preserve">destinadas a poner a disposición de los mecanismos de cooperación regional existentes – OEA, UNASUR, MERCOSUR, SICA u otros – los informes consolidados de auditorías coordinadas emitidos y aquellos que se emitan en el futuro. </w:t>
      </w:r>
    </w:p>
    <w:p w:rsidR="006F21B5" w:rsidRPr="00BB231B" w:rsidRDefault="006F21B5" w:rsidP="00ED7768">
      <w:pPr>
        <w:pStyle w:val="NormalWeb"/>
        <w:shd w:val="clear" w:color="auto" w:fill="FFFFFF"/>
        <w:spacing w:before="0" w:beforeAutospacing="0" w:after="0" w:afterAutospacing="0" w:line="480" w:lineRule="auto"/>
        <w:rPr>
          <w:sz w:val="8"/>
        </w:rPr>
      </w:pPr>
    </w:p>
    <w:p w:rsidR="000B4BAD" w:rsidRPr="00BB231B" w:rsidRDefault="006F21B5" w:rsidP="00ED7768">
      <w:pPr>
        <w:pStyle w:val="NormalWeb"/>
        <w:shd w:val="clear" w:color="auto" w:fill="FFFFFF"/>
        <w:spacing w:before="0" w:beforeAutospacing="0" w:after="0" w:afterAutospacing="0" w:line="480" w:lineRule="auto"/>
        <w:rPr>
          <w:b/>
          <w:sz w:val="28"/>
        </w:rPr>
      </w:pPr>
      <w:r w:rsidRPr="00BB231B">
        <w:rPr>
          <w:b/>
          <w:sz w:val="28"/>
        </w:rPr>
        <w:t>Tópicos tratados durante la asamblea:</w:t>
      </w:r>
    </w:p>
    <w:p w:rsidR="006F21B5" w:rsidRPr="00BB231B" w:rsidRDefault="006F21B5" w:rsidP="006F21B5">
      <w:pPr>
        <w:pStyle w:val="Copiadeltextoprincipal"/>
        <w:rPr>
          <w:rFonts w:ascii="Times New Roman" w:hAnsi="Times New Roman"/>
          <w:b/>
          <w:sz w:val="24"/>
          <w:szCs w:val="24"/>
        </w:rPr>
      </w:pPr>
      <w:r w:rsidRPr="00BB231B">
        <w:rPr>
          <w:rFonts w:ascii="Times New Roman" w:hAnsi="Times New Roman"/>
          <w:b/>
          <w:sz w:val="24"/>
          <w:szCs w:val="24"/>
        </w:rPr>
        <w:t>Tema 1:</w:t>
      </w:r>
      <w:r w:rsidRPr="00BB231B">
        <w:rPr>
          <w:rFonts w:ascii="Times New Roman" w:hAnsi="Times New Roman"/>
          <w:sz w:val="24"/>
          <w:szCs w:val="24"/>
        </w:rPr>
        <w:t xml:space="preserve"> </w:t>
      </w:r>
      <w:r w:rsidRPr="00BB231B">
        <w:rPr>
          <w:rFonts w:ascii="Times New Roman" w:hAnsi="Times New Roman"/>
          <w:b/>
          <w:sz w:val="24"/>
          <w:szCs w:val="24"/>
        </w:rPr>
        <w:t>El Uso del Big Data en la Función Auditora.</w:t>
      </w:r>
    </w:p>
    <w:p w:rsidR="006F21B5" w:rsidRPr="00BB231B" w:rsidRDefault="006F21B5" w:rsidP="00256820">
      <w:pPr>
        <w:spacing w:line="480" w:lineRule="auto"/>
        <w:ind w:firstLine="709"/>
        <w:rPr>
          <w:rFonts w:ascii="Times New Roman" w:hAnsi="Times New Roman" w:cs="Times New Roman"/>
          <w:color w:val="auto"/>
          <w:sz w:val="24"/>
          <w:szCs w:val="24"/>
          <w:lang w:val="es-DO"/>
        </w:rPr>
      </w:pPr>
      <w:r w:rsidRPr="00BB231B">
        <w:rPr>
          <w:rFonts w:ascii="Times New Roman" w:hAnsi="Times New Roman" w:cs="Times New Roman"/>
          <w:color w:val="auto"/>
          <w:sz w:val="24"/>
          <w:szCs w:val="24"/>
          <w:shd w:val="clear" w:color="auto" w:fill="FFFFFF"/>
          <w:lang w:val="es-DO"/>
        </w:rPr>
        <w:t>El Big Data, como herramienta nos permite avanzar en la transformación de la Auditoría Interna enriqueciendo en un área estratégica, moderna y digital como un elemento facilitador para que la Alta Dirección tome adecuadas decisiones frente a los riesgos que se le presenten, sin embargo, habría que evaluar las contralorías de Latinoamérica para determinar las necesidades para implementar este elemento.</w:t>
      </w:r>
    </w:p>
    <w:p w:rsidR="006F21B5" w:rsidRPr="00BB231B" w:rsidRDefault="006F21B5" w:rsidP="006F21B5">
      <w:pPr>
        <w:pStyle w:val="Copiadeltextoprincipal"/>
        <w:jc w:val="both"/>
        <w:rPr>
          <w:rFonts w:ascii="Times New Roman" w:hAnsi="Times New Roman"/>
          <w:b/>
          <w:sz w:val="24"/>
          <w:szCs w:val="24"/>
        </w:rPr>
      </w:pPr>
      <w:r w:rsidRPr="00BB231B">
        <w:rPr>
          <w:rFonts w:ascii="Times New Roman" w:hAnsi="Times New Roman"/>
          <w:b/>
          <w:sz w:val="24"/>
          <w:szCs w:val="24"/>
        </w:rPr>
        <w:t>Tema 2:</w:t>
      </w:r>
      <w:r w:rsidRPr="00BB231B">
        <w:rPr>
          <w:rFonts w:ascii="Times New Roman" w:hAnsi="Times New Roman"/>
          <w:sz w:val="24"/>
          <w:szCs w:val="24"/>
        </w:rPr>
        <w:t xml:space="preserve"> </w:t>
      </w:r>
      <w:r w:rsidR="002632E3" w:rsidRPr="00BB231B">
        <w:rPr>
          <w:rFonts w:ascii="Times New Roman" w:hAnsi="Times New Roman"/>
          <w:b/>
          <w:sz w:val="24"/>
          <w:szCs w:val="24"/>
        </w:rPr>
        <w:t>Auditorí</w:t>
      </w:r>
      <w:r w:rsidRPr="00BB231B">
        <w:rPr>
          <w:rFonts w:ascii="Times New Roman" w:hAnsi="Times New Roman"/>
          <w:b/>
          <w:sz w:val="24"/>
          <w:szCs w:val="24"/>
        </w:rPr>
        <w:t xml:space="preserve">a de Desempeño en la Evaluación de los Objetivos de Desarrollo Sostenible (ODS).  </w:t>
      </w:r>
    </w:p>
    <w:p w:rsidR="006F21B5" w:rsidRPr="00BB231B" w:rsidRDefault="006F21B5" w:rsidP="006F21B5">
      <w:pPr>
        <w:pStyle w:val="Copiadeltextoprincipal"/>
        <w:jc w:val="both"/>
        <w:rPr>
          <w:rFonts w:ascii="Times New Roman" w:hAnsi="Times New Roman"/>
          <w:b/>
          <w:sz w:val="24"/>
          <w:szCs w:val="24"/>
        </w:rPr>
      </w:pPr>
    </w:p>
    <w:p w:rsidR="006F21B5" w:rsidRPr="00BB231B" w:rsidRDefault="006F21B5" w:rsidP="00256820">
      <w:pPr>
        <w:pStyle w:val="NormalWeb"/>
        <w:shd w:val="clear" w:color="auto" w:fill="FFFFFF"/>
        <w:spacing w:before="0" w:beforeAutospacing="0" w:after="0" w:afterAutospacing="0" w:line="480" w:lineRule="auto"/>
        <w:ind w:firstLine="709"/>
        <w:rPr>
          <w:shd w:val="clear" w:color="auto" w:fill="FFFFFF"/>
        </w:rPr>
      </w:pPr>
      <w:r w:rsidRPr="00BB231B">
        <w:t>Tomando en consideración</w:t>
      </w:r>
      <w:r w:rsidRPr="00BB231B">
        <w:rPr>
          <w:b/>
        </w:rPr>
        <w:t xml:space="preserve"> </w:t>
      </w:r>
      <w:r w:rsidRPr="00BB231B">
        <w:t>este tipo de auditor</w:t>
      </w:r>
      <w:r w:rsidR="002632E3" w:rsidRPr="00BB231B">
        <w:t>í</w:t>
      </w:r>
      <w:r w:rsidRPr="00BB231B">
        <w:t xml:space="preserve">a tiene una naturaleza amplia, incluyente e integral; por lo que las </w:t>
      </w:r>
      <w:r w:rsidRPr="00BB231B">
        <w:rPr>
          <w:shd w:val="clear" w:color="auto" w:fill="FFFFFF"/>
        </w:rPr>
        <w:t>Entidades Fiscalizadoras Superiores deben capacitar a su personal para obtener auditorias objetivas y que agreguen valor.</w:t>
      </w:r>
    </w:p>
    <w:p w:rsidR="00BD56EB" w:rsidRPr="00BB231B" w:rsidRDefault="00BD56EB" w:rsidP="006F21B5">
      <w:pPr>
        <w:pStyle w:val="NormalWeb"/>
        <w:shd w:val="clear" w:color="auto" w:fill="FFFFFF"/>
        <w:spacing w:before="0" w:beforeAutospacing="0" w:after="0" w:afterAutospacing="0" w:line="480" w:lineRule="auto"/>
        <w:rPr>
          <w:shd w:val="clear" w:color="auto" w:fill="FFFFFF"/>
        </w:rPr>
      </w:pPr>
    </w:p>
    <w:p w:rsidR="00576BCD" w:rsidRPr="00BB231B" w:rsidRDefault="00AB6DB0" w:rsidP="001C2C6C">
      <w:pPr>
        <w:pStyle w:val="Normal-blanco"/>
        <w:numPr>
          <w:ilvl w:val="0"/>
          <w:numId w:val="23"/>
        </w:numPr>
        <w:spacing w:before="0" w:after="0"/>
        <w:ind w:right="199"/>
        <w:outlineLvl w:val="0"/>
        <w:rPr>
          <w:rStyle w:val="nfasissutil"/>
          <w:rFonts w:ascii="Times New Roman" w:hAnsi="Times New Roman" w:cs="Times New Roman"/>
          <w:b/>
          <w:color w:val="000000" w:themeColor="text1"/>
          <w:sz w:val="32"/>
          <w:szCs w:val="24"/>
          <w:lang w:val="es-DO"/>
        </w:rPr>
      </w:pPr>
      <w:bookmarkStart w:id="46" w:name="_Toc500858018"/>
      <w:bookmarkStart w:id="47" w:name="_Toc500858168"/>
      <w:bookmarkStart w:id="48" w:name="_Toc500918594"/>
      <w:r w:rsidRPr="00BB231B">
        <w:rPr>
          <w:rStyle w:val="nfasissutil"/>
          <w:rFonts w:ascii="Times New Roman" w:hAnsi="Times New Roman" w:cs="Times New Roman"/>
          <w:b/>
          <w:color w:val="000000" w:themeColor="text1"/>
          <w:sz w:val="32"/>
          <w:szCs w:val="24"/>
          <w:lang w:val="es-DO"/>
        </w:rPr>
        <w:t>Gestión Interna</w:t>
      </w:r>
      <w:bookmarkEnd w:id="46"/>
      <w:bookmarkEnd w:id="47"/>
      <w:bookmarkEnd w:id="48"/>
      <w:r w:rsidRPr="00BB231B">
        <w:rPr>
          <w:rStyle w:val="nfasissutil"/>
          <w:rFonts w:ascii="Times New Roman" w:hAnsi="Times New Roman" w:cs="Times New Roman"/>
          <w:b/>
          <w:color w:val="000000" w:themeColor="text1"/>
          <w:sz w:val="32"/>
          <w:szCs w:val="24"/>
          <w:lang w:val="es-DO"/>
        </w:rPr>
        <w:t xml:space="preserve"> </w:t>
      </w:r>
    </w:p>
    <w:p w:rsidR="00AB6DB0" w:rsidRPr="00BB231B" w:rsidRDefault="00AB6DB0" w:rsidP="00AB6DB0">
      <w:pPr>
        <w:pStyle w:val="Normal-blanco"/>
        <w:spacing w:before="0" w:after="0"/>
        <w:ind w:right="199"/>
        <w:rPr>
          <w:rStyle w:val="nfasissutil"/>
          <w:rFonts w:ascii="Times New Roman" w:hAnsi="Times New Roman" w:cs="Times New Roman"/>
          <w:color w:val="000000" w:themeColor="text1"/>
          <w:sz w:val="24"/>
          <w:szCs w:val="24"/>
          <w:lang w:val="es-DO"/>
        </w:rPr>
      </w:pPr>
    </w:p>
    <w:p w:rsidR="00AB6DB0" w:rsidRPr="00BB231B" w:rsidRDefault="00AB6DB0" w:rsidP="001C2C6C">
      <w:pPr>
        <w:pStyle w:val="Normal-blanco"/>
        <w:numPr>
          <w:ilvl w:val="0"/>
          <w:numId w:val="47"/>
        </w:numPr>
        <w:spacing w:before="0" w:after="0"/>
        <w:ind w:right="199"/>
        <w:outlineLvl w:val="1"/>
        <w:rPr>
          <w:rStyle w:val="nfasissutil"/>
          <w:rFonts w:ascii="Times New Roman" w:hAnsi="Times New Roman" w:cs="Times New Roman"/>
          <w:b/>
          <w:color w:val="000000" w:themeColor="text1"/>
          <w:sz w:val="28"/>
          <w:szCs w:val="28"/>
          <w:lang w:val="es-DO"/>
        </w:rPr>
      </w:pPr>
      <w:bookmarkStart w:id="49" w:name="_Toc500858019"/>
      <w:bookmarkStart w:id="50" w:name="_Toc500858169"/>
      <w:bookmarkStart w:id="51" w:name="_Toc500918595"/>
      <w:r w:rsidRPr="00BB231B">
        <w:rPr>
          <w:rStyle w:val="nfasissutil"/>
          <w:rFonts w:ascii="Times New Roman" w:hAnsi="Times New Roman" w:cs="Times New Roman"/>
          <w:b/>
          <w:color w:val="000000" w:themeColor="text1"/>
          <w:sz w:val="28"/>
          <w:szCs w:val="28"/>
          <w:lang w:val="es-DO"/>
        </w:rPr>
        <w:t>Desempeño Financiero:</w:t>
      </w:r>
      <w:bookmarkEnd w:id="49"/>
      <w:bookmarkEnd w:id="50"/>
      <w:bookmarkEnd w:id="51"/>
    </w:p>
    <w:p w:rsidR="00764627" w:rsidRPr="00BB231B" w:rsidRDefault="00764627" w:rsidP="00AB6DB0">
      <w:pPr>
        <w:pStyle w:val="Normal-blanco"/>
        <w:spacing w:before="0" w:after="0"/>
        <w:ind w:right="199"/>
        <w:outlineLvl w:val="2"/>
        <w:rPr>
          <w:rStyle w:val="nfasissutil"/>
          <w:rFonts w:ascii="Times New Roman" w:hAnsi="Times New Roman" w:cs="Times New Roman"/>
          <w:b/>
          <w:color w:val="000000" w:themeColor="text1"/>
          <w:sz w:val="24"/>
          <w:szCs w:val="24"/>
          <w:lang w:val="es-DO"/>
        </w:rPr>
      </w:pPr>
    </w:p>
    <w:p w:rsidR="00F55EB9" w:rsidRPr="00BB231B" w:rsidRDefault="00F55EB9" w:rsidP="009A56D5">
      <w:pPr>
        <w:pStyle w:val="Normal-blanco"/>
        <w:spacing w:before="0" w:after="0"/>
        <w:ind w:left="1134" w:right="199"/>
        <w:rPr>
          <w:rStyle w:val="nfasissutil"/>
          <w:rFonts w:ascii="Times New Roman" w:hAnsi="Times New Roman" w:cs="Times New Roman"/>
          <w:color w:val="000000" w:themeColor="text1"/>
          <w:sz w:val="24"/>
          <w:szCs w:val="24"/>
          <w:lang w:val="es-DO"/>
        </w:rPr>
      </w:pPr>
    </w:p>
    <w:p w:rsidR="007C3924" w:rsidRPr="00BB231B" w:rsidRDefault="00764627" w:rsidP="00256820">
      <w:pPr>
        <w:pStyle w:val="Normal-blanco"/>
        <w:spacing w:before="0" w:after="0" w:line="480" w:lineRule="auto"/>
        <w:ind w:right="199" w:firstLine="709"/>
        <w:rPr>
          <w:rStyle w:val="nfasissutil"/>
          <w:rFonts w:ascii="Times New Roman" w:hAnsi="Times New Roman" w:cs="Times New Roman"/>
          <w:color w:val="000000" w:themeColor="text1"/>
          <w:sz w:val="24"/>
          <w:szCs w:val="24"/>
          <w:lang w:val="es-DO"/>
        </w:rPr>
      </w:pPr>
      <w:r w:rsidRPr="00BB231B">
        <w:rPr>
          <w:rStyle w:val="nfasissutil"/>
          <w:rFonts w:ascii="Times New Roman" w:hAnsi="Times New Roman" w:cs="Times New Roman"/>
          <w:color w:val="000000" w:themeColor="text1"/>
          <w:sz w:val="24"/>
          <w:szCs w:val="24"/>
          <w:lang w:val="es-DO"/>
        </w:rPr>
        <w:lastRenderedPageBreak/>
        <w:t>El presupuesto de la institución está distribuido conforme a las actividades contempladas en el Plan O</w:t>
      </w:r>
      <w:r w:rsidR="00AB6DB0" w:rsidRPr="00BB231B">
        <w:rPr>
          <w:rStyle w:val="nfasissutil"/>
          <w:rFonts w:ascii="Times New Roman" w:hAnsi="Times New Roman" w:cs="Times New Roman"/>
          <w:color w:val="000000" w:themeColor="text1"/>
          <w:sz w:val="24"/>
          <w:szCs w:val="24"/>
          <w:lang w:val="es-DO"/>
        </w:rPr>
        <w:t>perativo Anual (POA) que impacta</w:t>
      </w:r>
      <w:r w:rsidRPr="00BB231B">
        <w:rPr>
          <w:rStyle w:val="nfasissutil"/>
          <w:rFonts w:ascii="Times New Roman" w:hAnsi="Times New Roman" w:cs="Times New Roman"/>
          <w:color w:val="000000" w:themeColor="text1"/>
          <w:sz w:val="24"/>
          <w:szCs w:val="24"/>
          <w:lang w:val="es-DO"/>
        </w:rPr>
        <w:t>n recursos</w:t>
      </w:r>
      <w:r w:rsidR="00485C49" w:rsidRPr="00BB231B">
        <w:rPr>
          <w:rStyle w:val="nfasissutil"/>
          <w:rFonts w:ascii="Times New Roman" w:hAnsi="Times New Roman" w:cs="Times New Roman"/>
          <w:color w:val="000000" w:themeColor="text1"/>
          <w:sz w:val="24"/>
          <w:szCs w:val="24"/>
          <w:lang w:val="es-DO"/>
        </w:rPr>
        <w:t>.</w:t>
      </w:r>
      <w:r w:rsidRPr="00BB231B">
        <w:rPr>
          <w:rStyle w:val="nfasissutil"/>
          <w:rFonts w:ascii="Times New Roman" w:hAnsi="Times New Roman" w:cs="Times New Roman"/>
          <w:color w:val="000000" w:themeColor="text1"/>
          <w:sz w:val="24"/>
          <w:szCs w:val="24"/>
          <w:lang w:val="es-DO"/>
        </w:rPr>
        <w:t xml:space="preserve"> </w:t>
      </w:r>
    </w:p>
    <w:p w:rsidR="00120B48" w:rsidRPr="00BB231B" w:rsidRDefault="005B71F3" w:rsidP="00256820">
      <w:pPr>
        <w:pStyle w:val="Normal-blanco"/>
        <w:spacing w:before="0" w:after="0" w:line="480" w:lineRule="auto"/>
        <w:ind w:right="198" w:firstLine="709"/>
        <w:rPr>
          <w:rStyle w:val="nfasissutil"/>
          <w:rFonts w:ascii="Times New Roman" w:hAnsi="Times New Roman" w:cs="Times New Roman"/>
          <w:color w:val="000000" w:themeColor="text1"/>
          <w:sz w:val="24"/>
          <w:szCs w:val="24"/>
          <w:lang w:val="es-DO"/>
        </w:rPr>
      </w:pPr>
      <w:r w:rsidRPr="00BB231B">
        <w:rPr>
          <w:rStyle w:val="nfasissutil"/>
          <w:rFonts w:ascii="Times New Roman" w:hAnsi="Times New Roman" w:cs="Times New Roman"/>
          <w:color w:val="000000" w:themeColor="text1"/>
          <w:sz w:val="24"/>
          <w:szCs w:val="24"/>
          <w:lang w:val="es-DO"/>
        </w:rPr>
        <w:t>L</w:t>
      </w:r>
      <w:r w:rsidR="007C3924" w:rsidRPr="00BB231B">
        <w:rPr>
          <w:rStyle w:val="nfasissutil"/>
          <w:rFonts w:ascii="Times New Roman" w:hAnsi="Times New Roman" w:cs="Times New Roman"/>
          <w:color w:val="000000" w:themeColor="text1"/>
          <w:sz w:val="24"/>
          <w:szCs w:val="24"/>
          <w:lang w:val="es-DO"/>
        </w:rPr>
        <w:t>a CGR a través del Departamento de Planificación y Desarrollo realiza la evaluación</w:t>
      </w:r>
      <w:r w:rsidR="00120B48" w:rsidRPr="00BB231B">
        <w:rPr>
          <w:rStyle w:val="nfasissutil"/>
          <w:rFonts w:ascii="Times New Roman" w:hAnsi="Times New Roman" w:cs="Times New Roman"/>
          <w:color w:val="000000" w:themeColor="text1"/>
          <w:sz w:val="24"/>
          <w:szCs w:val="24"/>
          <w:lang w:val="es-DO"/>
        </w:rPr>
        <w:t xml:space="preserve"> trimestral </w:t>
      </w:r>
      <w:r w:rsidR="007576CD" w:rsidRPr="00BB231B">
        <w:rPr>
          <w:rStyle w:val="nfasissutil"/>
          <w:rFonts w:ascii="Times New Roman" w:hAnsi="Times New Roman" w:cs="Times New Roman"/>
          <w:color w:val="000000" w:themeColor="text1"/>
          <w:sz w:val="24"/>
          <w:szCs w:val="24"/>
          <w:lang w:val="es-DO"/>
        </w:rPr>
        <w:t>del cumplimiento</w:t>
      </w:r>
      <w:r w:rsidR="007C3924" w:rsidRPr="00BB231B">
        <w:rPr>
          <w:rStyle w:val="nfasissutil"/>
          <w:rFonts w:ascii="Times New Roman" w:hAnsi="Times New Roman" w:cs="Times New Roman"/>
          <w:color w:val="000000" w:themeColor="text1"/>
          <w:sz w:val="24"/>
          <w:szCs w:val="24"/>
          <w:lang w:val="es-DO"/>
        </w:rPr>
        <w:t xml:space="preserve"> de</w:t>
      </w:r>
      <w:r w:rsidR="00120B48" w:rsidRPr="00BB231B">
        <w:rPr>
          <w:rStyle w:val="nfasissutil"/>
          <w:rFonts w:ascii="Times New Roman" w:hAnsi="Times New Roman" w:cs="Times New Roman"/>
          <w:color w:val="000000" w:themeColor="text1"/>
          <w:sz w:val="24"/>
          <w:szCs w:val="24"/>
          <w:lang w:val="es-DO"/>
        </w:rPr>
        <w:t xml:space="preserve"> las metas plasmadas en</w:t>
      </w:r>
      <w:r w:rsidR="007C3924" w:rsidRPr="00BB231B">
        <w:rPr>
          <w:rStyle w:val="nfasissutil"/>
          <w:rFonts w:ascii="Times New Roman" w:hAnsi="Times New Roman" w:cs="Times New Roman"/>
          <w:color w:val="000000" w:themeColor="text1"/>
          <w:sz w:val="24"/>
          <w:szCs w:val="24"/>
          <w:lang w:val="es-DO"/>
        </w:rPr>
        <w:t xml:space="preserve"> los </w:t>
      </w:r>
      <w:proofErr w:type="spellStart"/>
      <w:r w:rsidR="007C3924" w:rsidRPr="00BB231B">
        <w:rPr>
          <w:rStyle w:val="nfasissutil"/>
          <w:rFonts w:ascii="Times New Roman" w:hAnsi="Times New Roman" w:cs="Times New Roman"/>
          <w:color w:val="000000" w:themeColor="text1"/>
          <w:sz w:val="24"/>
          <w:szCs w:val="24"/>
          <w:lang w:val="es-DO"/>
        </w:rPr>
        <w:t>POA’s</w:t>
      </w:r>
      <w:proofErr w:type="spellEnd"/>
      <w:r w:rsidR="007C3924" w:rsidRPr="00BB231B">
        <w:rPr>
          <w:rStyle w:val="nfasissutil"/>
          <w:rFonts w:ascii="Times New Roman" w:hAnsi="Times New Roman" w:cs="Times New Roman"/>
          <w:color w:val="000000" w:themeColor="text1"/>
          <w:sz w:val="24"/>
          <w:szCs w:val="24"/>
          <w:lang w:val="es-DO"/>
        </w:rPr>
        <w:t xml:space="preserve">, y de </w:t>
      </w:r>
      <w:r w:rsidR="007576CD" w:rsidRPr="00BB231B">
        <w:rPr>
          <w:rStyle w:val="nfasissutil"/>
          <w:rFonts w:ascii="Times New Roman" w:hAnsi="Times New Roman" w:cs="Times New Roman"/>
          <w:color w:val="000000" w:themeColor="text1"/>
          <w:sz w:val="24"/>
          <w:szCs w:val="24"/>
          <w:lang w:val="es-DO"/>
        </w:rPr>
        <w:t>los resultados</w:t>
      </w:r>
      <w:r w:rsidR="00AB6DB0" w:rsidRPr="00BB231B">
        <w:rPr>
          <w:rStyle w:val="nfasissutil"/>
          <w:rFonts w:ascii="Times New Roman" w:hAnsi="Times New Roman" w:cs="Times New Roman"/>
          <w:color w:val="000000" w:themeColor="text1"/>
          <w:sz w:val="24"/>
          <w:szCs w:val="24"/>
          <w:lang w:val="es-DO"/>
        </w:rPr>
        <w:t xml:space="preserve"> de los productos con sus respectivas metas físicas y financieras</w:t>
      </w:r>
      <w:r w:rsidR="00285F21" w:rsidRPr="00BB231B">
        <w:rPr>
          <w:rStyle w:val="nfasissutil"/>
          <w:rFonts w:ascii="Times New Roman" w:hAnsi="Times New Roman" w:cs="Times New Roman"/>
          <w:color w:val="000000" w:themeColor="text1"/>
          <w:sz w:val="24"/>
          <w:szCs w:val="24"/>
          <w:lang w:val="es-DO"/>
        </w:rPr>
        <w:t xml:space="preserve">. Ha remitido los informes </w:t>
      </w:r>
      <w:r w:rsidR="007C3924" w:rsidRPr="00BB231B">
        <w:rPr>
          <w:rStyle w:val="nfasissutil"/>
          <w:rFonts w:ascii="Times New Roman" w:hAnsi="Times New Roman" w:cs="Times New Roman"/>
          <w:color w:val="000000" w:themeColor="text1"/>
          <w:sz w:val="24"/>
          <w:szCs w:val="24"/>
          <w:lang w:val="es-DO"/>
        </w:rPr>
        <w:t xml:space="preserve"> al área de evaluación física de la </w:t>
      </w:r>
      <w:r w:rsidR="00485C49" w:rsidRPr="00BB231B">
        <w:rPr>
          <w:rStyle w:val="nfasissutil"/>
          <w:rFonts w:ascii="Times New Roman" w:hAnsi="Times New Roman" w:cs="Times New Roman"/>
          <w:color w:val="000000" w:themeColor="text1"/>
          <w:sz w:val="24"/>
          <w:szCs w:val="24"/>
          <w:lang w:val="es-DO"/>
        </w:rPr>
        <w:t>Dirección</w:t>
      </w:r>
      <w:r w:rsidR="007C3924" w:rsidRPr="00BB231B">
        <w:rPr>
          <w:rStyle w:val="nfasissutil"/>
          <w:rFonts w:ascii="Times New Roman" w:hAnsi="Times New Roman" w:cs="Times New Roman"/>
          <w:color w:val="000000" w:themeColor="text1"/>
          <w:sz w:val="24"/>
          <w:szCs w:val="24"/>
          <w:lang w:val="es-DO"/>
        </w:rPr>
        <w:t xml:space="preserve"> General de Presupuesto (DIGEPRES) como medio de rendición de cuentas de los recursos financier</w:t>
      </w:r>
      <w:r w:rsidR="00120B48" w:rsidRPr="00BB231B">
        <w:rPr>
          <w:rStyle w:val="nfasissutil"/>
          <w:rFonts w:ascii="Times New Roman" w:hAnsi="Times New Roman" w:cs="Times New Roman"/>
          <w:color w:val="000000" w:themeColor="text1"/>
          <w:sz w:val="24"/>
          <w:szCs w:val="24"/>
          <w:lang w:val="es-DO"/>
        </w:rPr>
        <w:t xml:space="preserve">os ejecutados por la </w:t>
      </w:r>
      <w:r w:rsidR="00BD56EB" w:rsidRPr="00BB231B">
        <w:rPr>
          <w:rStyle w:val="nfasissutil"/>
          <w:rFonts w:ascii="Times New Roman" w:hAnsi="Times New Roman" w:cs="Times New Roman"/>
          <w:color w:val="000000" w:themeColor="text1"/>
          <w:sz w:val="24"/>
          <w:szCs w:val="24"/>
          <w:lang w:val="es-DO"/>
        </w:rPr>
        <w:t>Contraloría General de la República</w:t>
      </w:r>
      <w:r w:rsidR="00120B48" w:rsidRPr="00BB231B">
        <w:rPr>
          <w:rStyle w:val="nfasissutil"/>
          <w:rFonts w:ascii="Times New Roman" w:hAnsi="Times New Roman" w:cs="Times New Roman"/>
          <w:color w:val="000000" w:themeColor="text1"/>
          <w:sz w:val="24"/>
          <w:szCs w:val="24"/>
          <w:lang w:val="es-DO"/>
        </w:rPr>
        <w:t xml:space="preserve"> en funció</w:t>
      </w:r>
      <w:r w:rsidR="004A4DB2" w:rsidRPr="00BB231B">
        <w:rPr>
          <w:rStyle w:val="nfasissutil"/>
          <w:rFonts w:ascii="Times New Roman" w:hAnsi="Times New Roman" w:cs="Times New Roman"/>
          <w:color w:val="000000" w:themeColor="text1"/>
          <w:sz w:val="24"/>
          <w:szCs w:val="24"/>
          <w:lang w:val="es-DO"/>
        </w:rPr>
        <w:t xml:space="preserve">n de alcanzar su </w:t>
      </w:r>
      <w:proofErr w:type="spellStart"/>
      <w:r w:rsidR="004A4DB2" w:rsidRPr="00BB231B">
        <w:rPr>
          <w:rStyle w:val="nfasissutil"/>
          <w:rFonts w:ascii="Times New Roman" w:hAnsi="Times New Roman" w:cs="Times New Roman"/>
          <w:color w:val="000000" w:themeColor="text1"/>
          <w:sz w:val="24"/>
          <w:szCs w:val="24"/>
          <w:lang w:val="es-DO"/>
        </w:rPr>
        <w:t>misionalidad</w:t>
      </w:r>
      <w:proofErr w:type="spellEnd"/>
      <w:r w:rsidR="004A4DB2" w:rsidRPr="00BB231B">
        <w:rPr>
          <w:rStyle w:val="nfasissutil"/>
          <w:rFonts w:ascii="Times New Roman" w:hAnsi="Times New Roman" w:cs="Times New Roman"/>
          <w:color w:val="000000" w:themeColor="text1"/>
          <w:sz w:val="24"/>
          <w:szCs w:val="24"/>
          <w:lang w:val="es-DO"/>
        </w:rPr>
        <w:t xml:space="preserve">. </w:t>
      </w:r>
      <w:r w:rsidR="00120B48" w:rsidRPr="00BB231B">
        <w:rPr>
          <w:rStyle w:val="nfasissutil"/>
          <w:rFonts w:ascii="Times New Roman" w:hAnsi="Times New Roman" w:cs="Times New Roman"/>
          <w:color w:val="000000" w:themeColor="text1"/>
          <w:sz w:val="24"/>
          <w:szCs w:val="24"/>
          <w:lang w:val="es-DO"/>
        </w:rPr>
        <w:t>El propósito del proceso de formulación física y financiera en la CGR, trasciende a la transparencia y la evaluación del debido recaudo, manejo, uso e inversión de los recursos públicos.</w:t>
      </w:r>
    </w:p>
    <w:p w:rsidR="00576BCD" w:rsidRPr="00BB231B" w:rsidRDefault="002C230B" w:rsidP="00256820">
      <w:pPr>
        <w:pStyle w:val="Normal-blanco"/>
        <w:spacing w:before="0" w:after="0" w:line="480" w:lineRule="auto"/>
        <w:ind w:right="199" w:firstLine="709"/>
        <w:rPr>
          <w:rFonts w:ascii="Times New Roman" w:hAnsi="Times New Roman" w:cs="Times New Roman"/>
          <w:color w:val="000000"/>
          <w:sz w:val="24"/>
          <w:szCs w:val="24"/>
        </w:rPr>
      </w:pPr>
      <w:r w:rsidRPr="00BB231B">
        <w:rPr>
          <w:rFonts w:ascii="Times New Roman" w:hAnsi="Times New Roman" w:cs="Times New Roman"/>
          <w:color w:val="000000"/>
          <w:sz w:val="24"/>
          <w:szCs w:val="24"/>
        </w:rPr>
        <w:t>La institución concentra sus operaciones financieras integrada</w:t>
      </w:r>
      <w:r w:rsidR="00BD56EB" w:rsidRPr="00BB231B">
        <w:rPr>
          <w:rFonts w:ascii="Times New Roman" w:hAnsi="Times New Roman" w:cs="Times New Roman"/>
          <w:color w:val="000000"/>
          <w:sz w:val="24"/>
          <w:szCs w:val="24"/>
        </w:rPr>
        <w:t>s</w:t>
      </w:r>
      <w:r w:rsidRPr="00BB231B">
        <w:rPr>
          <w:rFonts w:ascii="Times New Roman" w:hAnsi="Times New Roman" w:cs="Times New Roman"/>
          <w:color w:val="000000"/>
          <w:sz w:val="24"/>
          <w:szCs w:val="24"/>
        </w:rPr>
        <w:t xml:space="preserve"> al Sistema de Información de Gestión Financiera (SIGEF). De igual forma, en la página </w:t>
      </w:r>
      <w:r w:rsidR="00BD56EB" w:rsidRPr="00BB231B">
        <w:rPr>
          <w:rFonts w:ascii="Times New Roman" w:hAnsi="Times New Roman" w:cs="Times New Roman"/>
          <w:color w:val="000000"/>
          <w:sz w:val="24"/>
          <w:szCs w:val="24"/>
        </w:rPr>
        <w:t>W</w:t>
      </w:r>
      <w:r w:rsidRPr="00BB231B">
        <w:rPr>
          <w:rFonts w:ascii="Times New Roman" w:hAnsi="Times New Roman" w:cs="Times New Roman"/>
          <w:color w:val="000000"/>
          <w:sz w:val="24"/>
          <w:szCs w:val="24"/>
        </w:rPr>
        <w:t>eb</w:t>
      </w:r>
      <w:r w:rsidR="004A4DB2" w:rsidRPr="00BB231B">
        <w:rPr>
          <w:rFonts w:ascii="Times New Roman" w:hAnsi="Times New Roman" w:cs="Times New Roman"/>
          <w:color w:val="000000"/>
          <w:sz w:val="24"/>
          <w:szCs w:val="24"/>
        </w:rPr>
        <w:t xml:space="preserve"> institucional se colocaron tres (</w:t>
      </w:r>
      <w:r w:rsidRPr="00BB231B">
        <w:rPr>
          <w:rFonts w:ascii="Times New Roman" w:hAnsi="Times New Roman" w:cs="Times New Roman"/>
          <w:color w:val="000000"/>
          <w:sz w:val="24"/>
          <w:szCs w:val="24"/>
        </w:rPr>
        <w:t>3</w:t>
      </w:r>
      <w:r w:rsidR="004A4DB2" w:rsidRPr="00BB231B">
        <w:rPr>
          <w:rFonts w:ascii="Times New Roman" w:hAnsi="Times New Roman" w:cs="Times New Roman"/>
          <w:color w:val="000000"/>
          <w:sz w:val="24"/>
          <w:szCs w:val="24"/>
        </w:rPr>
        <w:t>)</w:t>
      </w:r>
      <w:r w:rsidRPr="00BB231B">
        <w:rPr>
          <w:rFonts w:ascii="Times New Roman" w:hAnsi="Times New Roman" w:cs="Times New Roman"/>
          <w:color w:val="000000"/>
          <w:sz w:val="24"/>
          <w:szCs w:val="24"/>
        </w:rPr>
        <w:t xml:space="preserve"> apartados (Presupuesto, Compras y Contrataciones, y F</w:t>
      </w:r>
      <w:r w:rsidR="00DA47C3" w:rsidRPr="00BB231B">
        <w:rPr>
          <w:rFonts w:ascii="Times New Roman" w:hAnsi="Times New Roman" w:cs="Times New Roman"/>
          <w:color w:val="000000"/>
          <w:sz w:val="24"/>
          <w:szCs w:val="24"/>
        </w:rPr>
        <w:t>inanzas) en los cuales se encuentran a disposición de los grupos de interés y sociedad en general</w:t>
      </w:r>
      <w:r w:rsidRPr="00BB231B">
        <w:rPr>
          <w:rFonts w:ascii="Times New Roman" w:hAnsi="Times New Roman" w:cs="Times New Roman"/>
          <w:color w:val="000000"/>
          <w:sz w:val="24"/>
          <w:szCs w:val="24"/>
        </w:rPr>
        <w:t xml:space="preserve"> todos los documentos concernientes a estas áreas</w:t>
      </w:r>
      <w:r w:rsidR="00DA47C3" w:rsidRPr="00BB231B">
        <w:rPr>
          <w:rFonts w:ascii="Times New Roman" w:hAnsi="Times New Roman" w:cs="Times New Roman"/>
          <w:color w:val="000000"/>
          <w:sz w:val="24"/>
          <w:szCs w:val="24"/>
        </w:rPr>
        <w:t>.</w:t>
      </w:r>
    </w:p>
    <w:p w:rsidR="00DA47C3" w:rsidRPr="00BB231B" w:rsidRDefault="00DA47C3" w:rsidP="00256820">
      <w:pPr>
        <w:pStyle w:val="Normal-blanco"/>
        <w:spacing w:before="0" w:after="0" w:line="480" w:lineRule="auto"/>
        <w:ind w:left="1134" w:right="199"/>
        <w:rPr>
          <w:rFonts w:ascii="Times New Roman" w:hAnsi="Times New Roman" w:cs="Times New Roman"/>
          <w:color w:val="000000"/>
          <w:sz w:val="24"/>
          <w:szCs w:val="24"/>
        </w:rPr>
      </w:pPr>
    </w:p>
    <w:p w:rsidR="002E46E2" w:rsidRPr="00BB231B" w:rsidRDefault="00256820" w:rsidP="00256820">
      <w:pPr>
        <w:pStyle w:val="Normal-blanco"/>
        <w:spacing w:before="0" w:after="0" w:line="480" w:lineRule="auto"/>
        <w:ind w:right="199" w:firstLine="360"/>
        <w:rPr>
          <w:rFonts w:ascii="Times New Roman" w:hAnsi="Times New Roman" w:cs="Times New Roman"/>
          <w:color w:val="000000"/>
          <w:sz w:val="24"/>
          <w:szCs w:val="24"/>
        </w:rPr>
      </w:pPr>
      <w:r w:rsidRPr="00BB231B">
        <w:rPr>
          <w:rFonts w:ascii="Times New Roman" w:hAnsi="Times New Roman" w:cs="Times New Roman"/>
        </w:rPr>
        <w:t>Í</w:t>
      </w:r>
      <w:r>
        <w:rPr>
          <w:rFonts w:ascii="Times New Roman" w:hAnsi="Times New Roman" w:cs="Times New Roman"/>
        </w:rPr>
        <w:tab/>
      </w:r>
      <w:r w:rsidR="00073E6D" w:rsidRPr="00BB231B">
        <w:rPr>
          <w:rFonts w:ascii="Times New Roman" w:hAnsi="Times New Roman" w:cs="Times New Roman"/>
          <w:color w:val="000000"/>
          <w:sz w:val="24"/>
          <w:szCs w:val="24"/>
        </w:rPr>
        <w:t xml:space="preserve">En el caso particular de la CGR, se ejecuta una asignación presupuestaria acorde a los proyectos definidos en el PEI 2017-2020, </w:t>
      </w:r>
      <w:r w:rsidR="00073E6D" w:rsidRPr="00BB231B">
        <w:rPr>
          <w:rFonts w:ascii="Times New Roman" w:hAnsi="Times New Roman" w:cs="Times New Roman"/>
          <w:color w:val="000000"/>
          <w:sz w:val="24"/>
          <w:szCs w:val="24"/>
        </w:rPr>
        <w:lastRenderedPageBreak/>
        <w:t xml:space="preserve">cumpliendo con los lineamientos de la Ley No.10-07 de Control Interno, la Ley 340-06  y sus  modificaciones en la ley 449-06 de Compras y Contrataciones, y la Ley 126-01de contabilidad.  Es decir que, se actúa bajo lineamientos establecidos por el marco jurídico del país. </w:t>
      </w:r>
    </w:p>
    <w:p w:rsidR="00073E6D" w:rsidRPr="00BB231B" w:rsidRDefault="00A94C84" w:rsidP="00256820">
      <w:pPr>
        <w:pStyle w:val="Normal-blanco"/>
        <w:spacing w:before="0" w:after="0" w:line="480" w:lineRule="auto"/>
        <w:ind w:right="199" w:firstLine="709"/>
        <w:rPr>
          <w:rFonts w:ascii="Times New Roman" w:hAnsi="Times New Roman" w:cs="Times New Roman"/>
          <w:color w:val="000000"/>
          <w:sz w:val="24"/>
          <w:szCs w:val="24"/>
        </w:rPr>
      </w:pPr>
      <w:r w:rsidRPr="00BB231B">
        <w:rPr>
          <w:rFonts w:ascii="Times New Roman" w:hAnsi="Times New Roman" w:cs="Times New Roman"/>
          <w:color w:val="000000"/>
          <w:sz w:val="24"/>
          <w:szCs w:val="24"/>
        </w:rPr>
        <w:t>El proceso de previsiones presupuestaria</w:t>
      </w:r>
      <w:r w:rsidR="00A74392" w:rsidRPr="00BB231B">
        <w:rPr>
          <w:rFonts w:ascii="Times New Roman" w:hAnsi="Times New Roman" w:cs="Times New Roman"/>
          <w:color w:val="000000"/>
          <w:sz w:val="24"/>
          <w:szCs w:val="24"/>
        </w:rPr>
        <w:t>s</w:t>
      </w:r>
      <w:r w:rsidRPr="00BB231B">
        <w:rPr>
          <w:rFonts w:ascii="Times New Roman" w:hAnsi="Times New Roman" w:cs="Times New Roman"/>
          <w:color w:val="000000"/>
          <w:sz w:val="24"/>
          <w:szCs w:val="24"/>
        </w:rPr>
        <w:t xml:space="preserve"> y de gasto</w:t>
      </w:r>
      <w:r w:rsidR="00A74392" w:rsidRPr="00BB231B">
        <w:rPr>
          <w:rFonts w:ascii="Times New Roman" w:hAnsi="Times New Roman" w:cs="Times New Roman"/>
          <w:color w:val="000000"/>
          <w:sz w:val="24"/>
          <w:szCs w:val="24"/>
        </w:rPr>
        <w:t>s</w:t>
      </w:r>
      <w:r w:rsidRPr="00BB231B">
        <w:rPr>
          <w:rFonts w:ascii="Times New Roman" w:hAnsi="Times New Roman" w:cs="Times New Roman"/>
          <w:color w:val="000000"/>
          <w:sz w:val="24"/>
          <w:szCs w:val="24"/>
        </w:rPr>
        <w:t xml:space="preserve"> </w:t>
      </w:r>
      <w:r w:rsidR="00C96795" w:rsidRPr="00BB231B">
        <w:rPr>
          <w:rFonts w:ascii="Times New Roman" w:hAnsi="Times New Roman" w:cs="Times New Roman"/>
          <w:color w:val="000000"/>
          <w:sz w:val="24"/>
          <w:szCs w:val="24"/>
        </w:rPr>
        <w:t xml:space="preserve">de la CGR, </w:t>
      </w:r>
      <w:r w:rsidR="00DA7C46" w:rsidRPr="00BB231B">
        <w:rPr>
          <w:rFonts w:ascii="Times New Roman" w:hAnsi="Times New Roman" w:cs="Times New Roman"/>
          <w:color w:val="000000"/>
          <w:sz w:val="24"/>
          <w:szCs w:val="24"/>
        </w:rPr>
        <w:t>está</w:t>
      </w:r>
      <w:r w:rsidR="00C96795" w:rsidRPr="00BB231B">
        <w:rPr>
          <w:rFonts w:ascii="Times New Roman" w:hAnsi="Times New Roman" w:cs="Times New Roman"/>
          <w:color w:val="000000"/>
          <w:sz w:val="24"/>
          <w:szCs w:val="24"/>
        </w:rPr>
        <w:t xml:space="preserve"> fortalecido por análisis puntuales sobre </w:t>
      </w:r>
      <w:r w:rsidR="00485C49" w:rsidRPr="00BB231B">
        <w:rPr>
          <w:rFonts w:ascii="Times New Roman" w:hAnsi="Times New Roman" w:cs="Times New Roman"/>
          <w:color w:val="000000"/>
          <w:sz w:val="24"/>
          <w:szCs w:val="24"/>
        </w:rPr>
        <w:t>necesidades</w:t>
      </w:r>
      <w:r w:rsidR="00C96795" w:rsidRPr="00BB231B">
        <w:rPr>
          <w:rFonts w:ascii="Times New Roman" w:hAnsi="Times New Roman" w:cs="Times New Roman"/>
          <w:color w:val="000000"/>
          <w:sz w:val="24"/>
          <w:szCs w:val="24"/>
        </w:rPr>
        <w:t xml:space="preserve"> de recursos que conlleven </w:t>
      </w:r>
      <w:r w:rsidR="00022871" w:rsidRPr="00BB231B">
        <w:rPr>
          <w:rFonts w:ascii="Times New Roman" w:hAnsi="Times New Roman" w:cs="Times New Roman"/>
          <w:color w:val="000000"/>
          <w:sz w:val="24"/>
          <w:szCs w:val="24"/>
        </w:rPr>
        <w:t xml:space="preserve">planes de </w:t>
      </w:r>
      <w:r w:rsidR="00C96795" w:rsidRPr="00BB231B">
        <w:rPr>
          <w:rFonts w:ascii="Times New Roman" w:hAnsi="Times New Roman" w:cs="Times New Roman"/>
          <w:color w:val="000000"/>
          <w:sz w:val="24"/>
          <w:szCs w:val="24"/>
        </w:rPr>
        <w:t>acciones de inversión</w:t>
      </w:r>
      <w:r w:rsidR="00022871" w:rsidRPr="00BB231B">
        <w:rPr>
          <w:rFonts w:ascii="Times New Roman" w:hAnsi="Times New Roman" w:cs="Times New Roman"/>
          <w:color w:val="000000"/>
          <w:sz w:val="24"/>
          <w:szCs w:val="24"/>
        </w:rPr>
        <w:t xml:space="preserve"> y de control</w:t>
      </w:r>
      <w:r w:rsidR="00C96795" w:rsidRPr="00BB231B">
        <w:rPr>
          <w:rFonts w:ascii="Times New Roman" w:hAnsi="Times New Roman" w:cs="Times New Roman"/>
          <w:color w:val="000000"/>
          <w:sz w:val="24"/>
          <w:szCs w:val="24"/>
        </w:rPr>
        <w:t xml:space="preserve">, en los mismos </w:t>
      </w:r>
      <w:r w:rsidRPr="00BB231B">
        <w:rPr>
          <w:rFonts w:ascii="Times New Roman" w:hAnsi="Times New Roman" w:cs="Times New Roman"/>
          <w:color w:val="000000"/>
          <w:sz w:val="24"/>
          <w:szCs w:val="24"/>
        </w:rPr>
        <w:t xml:space="preserve">se evalúan </w:t>
      </w:r>
      <w:r w:rsidR="00C96795" w:rsidRPr="00BB231B">
        <w:rPr>
          <w:rFonts w:ascii="Times New Roman" w:hAnsi="Times New Roman" w:cs="Times New Roman"/>
          <w:color w:val="000000"/>
          <w:sz w:val="24"/>
          <w:szCs w:val="24"/>
        </w:rPr>
        <w:t>impactos de cambios y mejoras. Además</w:t>
      </w:r>
      <w:r w:rsidR="00022871" w:rsidRPr="00BB231B">
        <w:rPr>
          <w:rFonts w:ascii="Times New Roman" w:hAnsi="Times New Roman" w:cs="Times New Roman"/>
          <w:color w:val="000000"/>
          <w:sz w:val="24"/>
          <w:szCs w:val="24"/>
        </w:rPr>
        <w:t xml:space="preserve">, todo el proceso para la toma de decisiones de los planes de acción son sometidas a la presentación, discusión y aprobación del </w:t>
      </w:r>
      <w:r w:rsidR="00C96795" w:rsidRPr="00BB231B">
        <w:rPr>
          <w:rFonts w:ascii="Times New Roman" w:hAnsi="Times New Roman" w:cs="Times New Roman"/>
          <w:color w:val="000000"/>
          <w:sz w:val="24"/>
          <w:szCs w:val="24"/>
        </w:rPr>
        <w:t xml:space="preserve">Comité de Compras y Contrataciones de la CGR, </w:t>
      </w:r>
      <w:r w:rsidR="00A74392" w:rsidRPr="00BB231B">
        <w:rPr>
          <w:rFonts w:ascii="Times New Roman" w:hAnsi="Times New Roman" w:cs="Times New Roman"/>
          <w:color w:val="000000"/>
          <w:sz w:val="24"/>
          <w:szCs w:val="24"/>
        </w:rPr>
        <w:t xml:space="preserve">mediante </w:t>
      </w:r>
      <w:r w:rsidR="00C96795" w:rsidRPr="00BB231B">
        <w:rPr>
          <w:rFonts w:ascii="Times New Roman" w:hAnsi="Times New Roman" w:cs="Times New Roman"/>
          <w:color w:val="000000"/>
          <w:sz w:val="24"/>
          <w:szCs w:val="24"/>
        </w:rPr>
        <w:t xml:space="preserve">el cual se </w:t>
      </w:r>
      <w:r w:rsidR="00A74392" w:rsidRPr="00BB231B">
        <w:rPr>
          <w:rFonts w:ascii="Times New Roman" w:hAnsi="Times New Roman" w:cs="Times New Roman"/>
          <w:color w:val="000000"/>
          <w:sz w:val="24"/>
          <w:szCs w:val="24"/>
        </w:rPr>
        <w:t>cumplen</w:t>
      </w:r>
      <w:r w:rsidR="00C96795" w:rsidRPr="00BB231B">
        <w:rPr>
          <w:rFonts w:ascii="Times New Roman" w:hAnsi="Times New Roman" w:cs="Times New Roman"/>
          <w:color w:val="000000"/>
          <w:sz w:val="24"/>
          <w:szCs w:val="24"/>
        </w:rPr>
        <w:t xml:space="preserve"> los </w:t>
      </w:r>
      <w:r w:rsidR="00A74392" w:rsidRPr="00BB231B">
        <w:rPr>
          <w:rFonts w:ascii="Times New Roman" w:hAnsi="Times New Roman" w:cs="Times New Roman"/>
          <w:color w:val="000000"/>
          <w:sz w:val="24"/>
          <w:szCs w:val="24"/>
        </w:rPr>
        <w:t>procedimientos establecidos</w:t>
      </w:r>
      <w:r w:rsidR="00022871" w:rsidRPr="00BB231B">
        <w:rPr>
          <w:rFonts w:ascii="Times New Roman" w:hAnsi="Times New Roman" w:cs="Times New Roman"/>
          <w:color w:val="000000"/>
          <w:sz w:val="24"/>
          <w:szCs w:val="24"/>
        </w:rPr>
        <w:t xml:space="preserve"> en la Ley 340-06 y se fomenta un ambiente ético y democrático, donde cada colaborador se siente en libertad de ofrecer su opinión.</w:t>
      </w:r>
    </w:p>
    <w:p w:rsidR="0095222C" w:rsidRPr="00BB231B" w:rsidRDefault="0095222C" w:rsidP="00256820">
      <w:pPr>
        <w:pStyle w:val="Normal-blanco"/>
        <w:spacing w:before="0" w:after="0" w:line="480" w:lineRule="auto"/>
        <w:ind w:right="199" w:firstLine="709"/>
        <w:rPr>
          <w:rFonts w:ascii="Times New Roman" w:hAnsi="Times New Roman" w:cs="Times New Roman"/>
          <w:color w:val="000000"/>
          <w:sz w:val="24"/>
          <w:szCs w:val="24"/>
        </w:rPr>
      </w:pPr>
      <w:r w:rsidRPr="00BB231B">
        <w:rPr>
          <w:rFonts w:ascii="Times New Roman" w:hAnsi="Times New Roman" w:cs="Times New Roman"/>
          <w:color w:val="000000"/>
          <w:sz w:val="24"/>
          <w:szCs w:val="24"/>
        </w:rPr>
        <w:t>Los resultados generados del ejercicio fiscal de</w:t>
      </w:r>
      <w:r w:rsidR="00A74392" w:rsidRPr="00BB231B">
        <w:rPr>
          <w:rFonts w:ascii="Times New Roman" w:hAnsi="Times New Roman" w:cs="Times New Roman"/>
          <w:color w:val="000000"/>
          <w:sz w:val="24"/>
          <w:szCs w:val="24"/>
        </w:rPr>
        <w:t>l</w:t>
      </w:r>
      <w:r w:rsidRPr="00BB231B">
        <w:rPr>
          <w:rFonts w:ascii="Times New Roman" w:hAnsi="Times New Roman" w:cs="Times New Roman"/>
          <w:color w:val="000000"/>
          <w:sz w:val="24"/>
          <w:szCs w:val="24"/>
        </w:rPr>
        <w:t xml:space="preserve"> gasto presupuestario, se subdivide</w:t>
      </w:r>
      <w:r w:rsidR="00A74392" w:rsidRPr="00BB231B">
        <w:rPr>
          <w:rFonts w:ascii="Times New Roman" w:hAnsi="Times New Roman" w:cs="Times New Roman"/>
          <w:color w:val="000000"/>
          <w:sz w:val="24"/>
          <w:szCs w:val="24"/>
        </w:rPr>
        <w:t>n en perí</w:t>
      </w:r>
      <w:r w:rsidRPr="00BB231B">
        <w:rPr>
          <w:rFonts w:ascii="Times New Roman" w:hAnsi="Times New Roman" w:cs="Times New Roman"/>
          <w:color w:val="000000"/>
          <w:sz w:val="24"/>
          <w:szCs w:val="24"/>
        </w:rPr>
        <w:t xml:space="preserve">odos de evaluación trimestral, donde se monitorea el desempeño de la  ejecución financiera respecto a las metas físicas consignadas en los </w:t>
      </w:r>
      <w:proofErr w:type="spellStart"/>
      <w:r w:rsidRPr="00BB231B">
        <w:rPr>
          <w:rFonts w:ascii="Times New Roman" w:hAnsi="Times New Roman" w:cs="Times New Roman"/>
          <w:color w:val="000000"/>
          <w:sz w:val="24"/>
          <w:szCs w:val="24"/>
        </w:rPr>
        <w:t>POA’s</w:t>
      </w:r>
      <w:proofErr w:type="spellEnd"/>
      <w:r w:rsidRPr="00BB231B">
        <w:rPr>
          <w:rFonts w:ascii="Times New Roman" w:hAnsi="Times New Roman" w:cs="Times New Roman"/>
          <w:color w:val="000000"/>
          <w:sz w:val="24"/>
          <w:szCs w:val="24"/>
        </w:rPr>
        <w:t xml:space="preserve"> y Planes Anuales de Compras y Contrataciones (PACC),  se toman en cuenta posibles desviaciones y se requiere las evidencias que las justifiquen.</w:t>
      </w:r>
    </w:p>
    <w:p w:rsidR="00D51127" w:rsidRPr="00BB231B" w:rsidRDefault="00D51127" w:rsidP="00256820">
      <w:pPr>
        <w:spacing w:before="0" w:after="0" w:line="480" w:lineRule="auto"/>
        <w:ind w:firstLine="709"/>
        <w:rPr>
          <w:rFonts w:ascii="Times New Roman" w:hAnsi="Times New Roman" w:cs="Times New Roman"/>
          <w:iCs/>
          <w:color w:val="auto"/>
          <w:sz w:val="24"/>
          <w:szCs w:val="24"/>
        </w:rPr>
      </w:pPr>
      <w:r w:rsidRPr="00BB231B">
        <w:rPr>
          <w:rFonts w:ascii="Times New Roman" w:hAnsi="Times New Roman" w:cs="Times New Roman"/>
          <w:iCs/>
          <w:color w:val="auto"/>
          <w:sz w:val="24"/>
          <w:szCs w:val="24"/>
        </w:rPr>
        <w:t xml:space="preserve">En cuanto a la ejecución presupuestaria podemos señalar que el presupuesto aprobado mediante Ley para el año 2017 fue de </w:t>
      </w:r>
      <w:r w:rsidRPr="00BB231B">
        <w:rPr>
          <w:rFonts w:ascii="Times New Roman" w:hAnsi="Times New Roman" w:cs="Times New Roman"/>
          <w:b/>
          <w:iCs/>
          <w:color w:val="auto"/>
          <w:sz w:val="24"/>
          <w:szCs w:val="24"/>
        </w:rPr>
        <w:t>RD$</w:t>
      </w:r>
      <w:r w:rsidRPr="00BB231B">
        <w:rPr>
          <w:rFonts w:ascii="Times New Roman" w:hAnsi="Times New Roman" w:cs="Times New Roman"/>
          <w:b/>
          <w:color w:val="auto"/>
          <w:sz w:val="24"/>
          <w:szCs w:val="24"/>
        </w:rPr>
        <w:t>1</w:t>
      </w:r>
      <w:proofErr w:type="gramStart"/>
      <w:r w:rsidR="008128D7">
        <w:rPr>
          <w:rFonts w:ascii="Times New Roman" w:hAnsi="Times New Roman" w:cs="Times New Roman"/>
          <w:b/>
          <w:color w:val="auto"/>
          <w:sz w:val="24"/>
          <w:szCs w:val="24"/>
        </w:rPr>
        <w:t>,</w:t>
      </w:r>
      <w:r w:rsidR="008128D7" w:rsidRPr="00BB231B">
        <w:rPr>
          <w:rFonts w:ascii="Times New Roman" w:hAnsi="Times New Roman" w:cs="Times New Roman"/>
          <w:b/>
          <w:color w:val="auto"/>
          <w:sz w:val="24"/>
          <w:szCs w:val="24"/>
        </w:rPr>
        <w:t>455,031,377.00</w:t>
      </w:r>
      <w:proofErr w:type="gramEnd"/>
      <w:r w:rsidRPr="00BB231B">
        <w:rPr>
          <w:rFonts w:ascii="Times New Roman" w:hAnsi="Times New Roman" w:cs="Times New Roman"/>
          <w:b/>
          <w:color w:val="auto"/>
          <w:sz w:val="24"/>
          <w:szCs w:val="24"/>
        </w:rPr>
        <w:t xml:space="preserve"> </w:t>
      </w:r>
      <w:r w:rsidRPr="00BB231B">
        <w:rPr>
          <w:rFonts w:ascii="Times New Roman" w:hAnsi="Times New Roman" w:cs="Times New Roman"/>
          <w:iCs/>
          <w:color w:val="auto"/>
          <w:sz w:val="24"/>
          <w:szCs w:val="24"/>
        </w:rPr>
        <w:t xml:space="preserve">(Mil Cuatrocientos Cincuenta y Cinco Millones Treinta y </w:t>
      </w:r>
      <w:r w:rsidRPr="00BB231B">
        <w:rPr>
          <w:rFonts w:ascii="Times New Roman" w:hAnsi="Times New Roman" w:cs="Times New Roman"/>
          <w:iCs/>
          <w:color w:val="auto"/>
          <w:sz w:val="24"/>
          <w:szCs w:val="24"/>
        </w:rPr>
        <w:lastRenderedPageBreak/>
        <w:t>Un Mil Trescientos Setenta y Siete pesos 00/100)</w:t>
      </w:r>
      <w:r w:rsidR="00CD30A2" w:rsidRPr="00BB231B">
        <w:rPr>
          <w:rFonts w:ascii="Times New Roman" w:hAnsi="Times New Roman" w:cs="Times New Roman"/>
          <w:iCs/>
          <w:color w:val="auto"/>
          <w:sz w:val="24"/>
          <w:szCs w:val="24"/>
        </w:rPr>
        <w:t>.</w:t>
      </w:r>
      <w:r w:rsidRPr="00BB231B">
        <w:rPr>
          <w:rFonts w:ascii="Times New Roman" w:hAnsi="Times New Roman" w:cs="Times New Roman"/>
          <w:iCs/>
          <w:color w:val="auto"/>
          <w:sz w:val="24"/>
          <w:szCs w:val="24"/>
        </w:rPr>
        <w:t xml:space="preserve"> </w:t>
      </w:r>
      <w:r w:rsidR="00CD30A2" w:rsidRPr="00BB231B">
        <w:rPr>
          <w:rFonts w:ascii="Times New Roman" w:hAnsi="Times New Roman" w:cs="Times New Roman"/>
          <w:iCs/>
          <w:color w:val="auto"/>
          <w:sz w:val="24"/>
          <w:szCs w:val="24"/>
        </w:rPr>
        <w:t>La</w:t>
      </w:r>
      <w:r w:rsidRPr="00BB231B">
        <w:rPr>
          <w:rFonts w:ascii="Times New Roman" w:hAnsi="Times New Roman" w:cs="Times New Roman"/>
          <w:iCs/>
          <w:color w:val="auto"/>
          <w:sz w:val="24"/>
          <w:szCs w:val="24"/>
        </w:rPr>
        <w:t xml:space="preserve"> distribución de estos fondos se  hizo en base a  las  necesidades de la Institución, con criterio de  eficacia y equidad. Se emitieron  libramientos de  pago  por  un  monto  de  </w:t>
      </w:r>
      <w:r w:rsidRPr="00BB231B">
        <w:rPr>
          <w:rFonts w:ascii="Times New Roman" w:hAnsi="Times New Roman" w:cs="Times New Roman"/>
          <w:b/>
          <w:iCs/>
          <w:color w:val="auto"/>
          <w:sz w:val="24"/>
          <w:szCs w:val="24"/>
        </w:rPr>
        <w:t>RD$ 1,255,944,296.58 (</w:t>
      </w:r>
      <w:r w:rsidRPr="00BB231B">
        <w:rPr>
          <w:rFonts w:ascii="Times New Roman" w:hAnsi="Times New Roman" w:cs="Times New Roman"/>
          <w:iCs/>
          <w:color w:val="auto"/>
          <w:sz w:val="24"/>
          <w:szCs w:val="24"/>
        </w:rPr>
        <w:t xml:space="preserve">Mil Doscientos Cincuenta y Cinco Millones Novecientos Cuarenta y Cuatro Mil Doscientos Noventa y Seis pesos con 58/100) equivalentes a un 86.32% del presupuesto aprobado, para cubrir compromisos de pago por concepto de Remuneraciones y Contribuciones, Contratación de Servicios, Materiales y Suministros, Transferencias Corrientes y Bienes Muebles e Intangibles, los cuales son requeridos para el buen funcionamiento de la Institución. </w:t>
      </w:r>
    </w:p>
    <w:p w:rsidR="00D51127" w:rsidRPr="00BB231B" w:rsidRDefault="00D51127" w:rsidP="008128D7">
      <w:pPr>
        <w:spacing w:before="0" w:after="0" w:line="480" w:lineRule="auto"/>
        <w:ind w:firstLine="709"/>
        <w:rPr>
          <w:rFonts w:ascii="Times New Roman" w:hAnsi="Times New Roman" w:cs="Times New Roman"/>
          <w:b/>
          <w:iCs/>
          <w:color w:val="auto"/>
          <w:sz w:val="24"/>
          <w:szCs w:val="24"/>
        </w:rPr>
      </w:pPr>
      <w:r w:rsidRPr="00BB231B">
        <w:rPr>
          <w:rFonts w:ascii="Times New Roman" w:hAnsi="Times New Roman" w:cs="Times New Roman"/>
          <w:iCs/>
          <w:color w:val="auto"/>
          <w:sz w:val="24"/>
          <w:szCs w:val="24"/>
        </w:rPr>
        <w:t xml:space="preserve">Los desembolsos realizados por concepto de Remuneraciones y Contribuciones ascienden a </w:t>
      </w:r>
      <w:r w:rsidRPr="00BB231B">
        <w:rPr>
          <w:rFonts w:ascii="Times New Roman" w:hAnsi="Times New Roman" w:cs="Times New Roman"/>
          <w:b/>
          <w:iCs/>
          <w:color w:val="auto"/>
          <w:sz w:val="24"/>
          <w:szCs w:val="24"/>
        </w:rPr>
        <w:t>RD$1</w:t>
      </w:r>
      <w:proofErr w:type="gramStart"/>
      <w:r w:rsidRPr="00BB231B">
        <w:rPr>
          <w:rFonts w:ascii="Times New Roman" w:hAnsi="Times New Roman" w:cs="Times New Roman"/>
          <w:b/>
          <w:iCs/>
          <w:color w:val="auto"/>
          <w:sz w:val="24"/>
          <w:szCs w:val="24"/>
        </w:rPr>
        <w:t>,082,426,088.68</w:t>
      </w:r>
      <w:proofErr w:type="gramEnd"/>
      <w:r w:rsidRPr="00BB231B">
        <w:rPr>
          <w:rFonts w:ascii="Times New Roman" w:hAnsi="Times New Roman" w:cs="Times New Roman"/>
          <w:b/>
          <w:iCs/>
          <w:color w:val="auto"/>
          <w:sz w:val="24"/>
          <w:szCs w:val="24"/>
        </w:rPr>
        <w:t xml:space="preserve">  </w:t>
      </w:r>
      <w:r w:rsidRPr="00BB231B">
        <w:rPr>
          <w:rFonts w:ascii="Times New Roman" w:hAnsi="Times New Roman" w:cs="Times New Roman"/>
          <w:iCs/>
          <w:color w:val="auto"/>
          <w:sz w:val="24"/>
          <w:szCs w:val="24"/>
        </w:rPr>
        <w:t xml:space="preserve">(Mil Ochenta y Dos Millones Cuatrocientos Veinte Seis Mil Ochenta y Ocho pesos con 68/100) para un </w:t>
      </w:r>
      <w:r w:rsidRPr="00BB231B">
        <w:rPr>
          <w:rFonts w:ascii="Times New Roman" w:hAnsi="Times New Roman" w:cs="Times New Roman"/>
          <w:b/>
          <w:iCs/>
          <w:color w:val="auto"/>
          <w:sz w:val="24"/>
          <w:szCs w:val="24"/>
        </w:rPr>
        <w:t xml:space="preserve">86.18% </w:t>
      </w:r>
      <w:r w:rsidRPr="00BB231B">
        <w:rPr>
          <w:rFonts w:ascii="Times New Roman" w:hAnsi="Times New Roman" w:cs="Times New Roman"/>
          <w:iCs/>
          <w:color w:val="auto"/>
          <w:sz w:val="24"/>
          <w:szCs w:val="24"/>
        </w:rPr>
        <w:t>del total devengado. Asimismo</w:t>
      </w:r>
      <w:r w:rsidR="002632E3" w:rsidRPr="00BB231B">
        <w:rPr>
          <w:rFonts w:ascii="Times New Roman" w:hAnsi="Times New Roman" w:cs="Times New Roman"/>
          <w:iCs/>
          <w:color w:val="auto"/>
          <w:sz w:val="24"/>
          <w:szCs w:val="24"/>
        </w:rPr>
        <w:t>, la</w:t>
      </w:r>
      <w:r w:rsidRPr="00BB231B">
        <w:rPr>
          <w:rFonts w:ascii="Times New Roman" w:hAnsi="Times New Roman" w:cs="Times New Roman"/>
          <w:iCs/>
          <w:color w:val="auto"/>
          <w:sz w:val="24"/>
          <w:szCs w:val="24"/>
        </w:rPr>
        <w:t xml:space="preserve"> Contratación de Servicios</w:t>
      </w:r>
      <w:r w:rsidR="00973461" w:rsidRPr="00BB231B">
        <w:rPr>
          <w:rFonts w:ascii="Times New Roman" w:hAnsi="Times New Roman" w:cs="Times New Roman"/>
          <w:iCs/>
          <w:color w:val="auto"/>
          <w:sz w:val="24"/>
          <w:szCs w:val="24"/>
        </w:rPr>
        <w:t xml:space="preserve"> representó</w:t>
      </w:r>
      <w:r w:rsidRPr="00BB231B">
        <w:rPr>
          <w:rFonts w:ascii="Times New Roman" w:hAnsi="Times New Roman" w:cs="Times New Roman"/>
          <w:b/>
          <w:iCs/>
          <w:color w:val="auto"/>
          <w:sz w:val="24"/>
          <w:szCs w:val="24"/>
        </w:rPr>
        <w:t xml:space="preserve"> RD$91, 910,977.12   </w:t>
      </w:r>
      <w:r w:rsidRPr="00BB231B">
        <w:rPr>
          <w:rFonts w:ascii="Times New Roman" w:hAnsi="Times New Roman" w:cs="Times New Roman"/>
          <w:iCs/>
          <w:color w:val="auto"/>
          <w:sz w:val="24"/>
          <w:szCs w:val="24"/>
        </w:rPr>
        <w:t xml:space="preserve">(Noventa y Un Millones Novecientos Diez Mil Novecientos Setenta y Siete pesos con 12/100) para un </w:t>
      </w:r>
      <w:r w:rsidRPr="00BB231B">
        <w:rPr>
          <w:rFonts w:ascii="Times New Roman" w:hAnsi="Times New Roman" w:cs="Times New Roman"/>
          <w:b/>
          <w:iCs/>
          <w:color w:val="auto"/>
          <w:sz w:val="24"/>
          <w:szCs w:val="24"/>
        </w:rPr>
        <w:t xml:space="preserve">7.32%. </w:t>
      </w:r>
      <w:r w:rsidRPr="00BB231B">
        <w:rPr>
          <w:rFonts w:ascii="Times New Roman" w:hAnsi="Times New Roman" w:cs="Times New Roman"/>
          <w:iCs/>
          <w:color w:val="auto"/>
          <w:sz w:val="24"/>
          <w:szCs w:val="24"/>
        </w:rPr>
        <w:t>De igual manera en Materiales y Suministro</w:t>
      </w:r>
      <w:r w:rsidRPr="00BB231B">
        <w:rPr>
          <w:rFonts w:ascii="Times New Roman" w:hAnsi="Times New Roman" w:cs="Times New Roman"/>
          <w:b/>
          <w:iCs/>
          <w:color w:val="auto"/>
          <w:sz w:val="24"/>
          <w:szCs w:val="24"/>
        </w:rPr>
        <w:t xml:space="preserve"> RD$42, 630,266.18</w:t>
      </w:r>
      <w:r w:rsidRPr="00BB231B">
        <w:rPr>
          <w:rFonts w:ascii="Times New Roman" w:hAnsi="Times New Roman" w:cs="Times New Roman"/>
          <w:iCs/>
          <w:color w:val="auto"/>
          <w:sz w:val="24"/>
          <w:szCs w:val="24"/>
        </w:rPr>
        <w:t xml:space="preserve">   (Cuarenta y Dos Millones Seiscientos Treinta Mil Doscientos Sesenta y Seis pesos con 18/100) para un </w:t>
      </w:r>
      <w:r w:rsidRPr="00BB231B">
        <w:rPr>
          <w:rFonts w:ascii="Times New Roman" w:hAnsi="Times New Roman" w:cs="Times New Roman"/>
          <w:b/>
          <w:iCs/>
          <w:color w:val="auto"/>
          <w:sz w:val="24"/>
          <w:szCs w:val="24"/>
        </w:rPr>
        <w:t>3.39%.</w:t>
      </w:r>
      <w:r w:rsidRPr="00BB231B">
        <w:rPr>
          <w:rFonts w:ascii="Times New Roman" w:hAnsi="Times New Roman" w:cs="Times New Roman"/>
          <w:iCs/>
          <w:color w:val="auto"/>
          <w:sz w:val="24"/>
          <w:szCs w:val="24"/>
        </w:rPr>
        <w:t xml:space="preserve"> Correspondientes a las Transferencias Corrientes</w:t>
      </w:r>
      <w:r w:rsidRPr="00BB231B">
        <w:rPr>
          <w:rFonts w:ascii="Times New Roman" w:hAnsi="Times New Roman" w:cs="Times New Roman"/>
          <w:b/>
          <w:iCs/>
          <w:color w:val="auto"/>
          <w:sz w:val="24"/>
          <w:szCs w:val="24"/>
        </w:rPr>
        <w:t xml:space="preserve"> RD$7,761,588.95 </w:t>
      </w:r>
      <w:r w:rsidRPr="00BB231B">
        <w:rPr>
          <w:rFonts w:ascii="Times New Roman" w:hAnsi="Times New Roman" w:cs="Times New Roman"/>
          <w:iCs/>
          <w:color w:val="auto"/>
          <w:sz w:val="24"/>
          <w:szCs w:val="24"/>
        </w:rPr>
        <w:t xml:space="preserve">(Siete Millones Setecientos Sesenta y Un Mil Quinientos Ochenta y Ocho pesos con 95/100) para un </w:t>
      </w:r>
      <w:r w:rsidR="00973461" w:rsidRPr="00BB231B">
        <w:rPr>
          <w:rFonts w:ascii="Times New Roman" w:hAnsi="Times New Roman" w:cs="Times New Roman"/>
          <w:b/>
          <w:iCs/>
          <w:color w:val="auto"/>
          <w:sz w:val="24"/>
          <w:szCs w:val="24"/>
        </w:rPr>
        <w:t>0.62%;</w:t>
      </w:r>
      <w:r w:rsidRPr="00BB231B">
        <w:rPr>
          <w:rFonts w:ascii="Times New Roman" w:hAnsi="Times New Roman" w:cs="Times New Roman"/>
          <w:b/>
          <w:iCs/>
          <w:color w:val="auto"/>
          <w:sz w:val="24"/>
          <w:szCs w:val="24"/>
        </w:rPr>
        <w:t xml:space="preserve"> </w:t>
      </w:r>
      <w:r w:rsidRPr="00BB231B">
        <w:rPr>
          <w:rFonts w:ascii="Times New Roman" w:hAnsi="Times New Roman" w:cs="Times New Roman"/>
          <w:iCs/>
          <w:color w:val="auto"/>
          <w:sz w:val="24"/>
          <w:szCs w:val="24"/>
        </w:rPr>
        <w:t>por concepto de</w:t>
      </w:r>
      <w:r w:rsidRPr="00BB231B">
        <w:rPr>
          <w:rFonts w:ascii="Times New Roman" w:hAnsi="Times New Roman" w:cs="Times New Roman"/>
          <w:b/>
          <w:iCs/>
          <w:color w:val="auto"/>
          <w:sz w:val="24"/>
          <w:szCs w:val="24"/>
        </w:rPr>
        <w:t xml:space="preserve"> </w:t>
      </w:r>
      <w:r w:rsidRPr="00BB231B">
        <w:rPr>
          <w:rFonts w:ascii="Times New Roman" w:hAnsi="Times New Roman" w:cs="Times New Roman"/>
          <w:iCs/>
          <w:color w:val="auto"/>
          <w:sz w:val="24"/>
          <w:szCs w:val="24"/>
        </w:rPr>
        <w:t xml:space="preserve">Bienes Muebles, Inmuebles e Intangibles </w:t>
      </w:r>
      <w:r w:rsidRPr="00BB231B">
        <w:rPr>
          <w:rFonts w:ascii="Times New Roman" w:hAnsi="Times New Roman" w:cs="Times New Roman"/>
          <w:b/>
          <w:iCs/>
          <w:color w:val="auto"/>
          <w:sz w:val="24"/>
          <w:szCs w:val="24"/>
        </w:rPr>
        <w:t xml:space="preserve">RD$17,472,295.58 </w:t>
      </w:r>
      <w:r w:rsidRPr="00BB231B">
        <w:rPr>
          <w:rFonts w:ascii="Times New Roman" w:hAnsi="Times New Roman" w:cs="Times New Roman"/>
          <w:iCs/>
          <w:color w:val="auto"/>
          <w:sz w:val="24"/>
          <w:szCs w:val="24"/>
        </w:rPr>
        <w:t xml:space="preserve">(Diecisiete Millones Cuatrocientos Setenta y Dos </w:t>
      </w:r>
      <w:r w:rsidRPr="00BB231B">
        <w:rPr>
          <w:rFonts w:ascii="Times New Roman" w:hAnsi="Times New Roman" w:cs="Times New Roman"/>
          <w:iCs/>
          <w:color w:val="auto"/>
          <w:sz w:val="24"/>
          <w:szCs w:val="24"/>
        </w:rPr>
        <w:lastRenderedPageBreak/>
        <w:t xml:space="preserve">Mil Doscientos Noventa y Cinco pesos con 58/100) para un </w:t>
      </w:r>
      <w:r w:rsidRPr="00BB231B">
        <w:rPr>
          <w:rFonts w:ascii="Times New Roman" w:hAnsi="Times New Roman" w:cs="Times New Roman"/>
          <w:b/>
          <w:iCs/>
          <w:color w:val="auto"/>
          <w:sz w:val="24"/>
          <w:szCs w:val="24"/>
        </w:rPr>
        <w:t xml:space="preserve">1.39%. </w:t>
      </w:r>
      <w:r w:rsidRPr="00BB231B">
        <w:rPr>
          <w:rFonts w:ascii="Times New Roman" w:hAnsi="Times New Roman" w:cs="Times New Roman"/>
          <w:iCs/>
          <w:color w:val="auto"/>
          <w:sz w:val="24"/>
          <w:szCs w:val="24"/>
        </w:rPr>
        <w:t>Finalmente</w:t>
      </w:r>
      <w:r w:rsidR="00973461" w:rsidRPr="00BB231B">
        <w:rPr>
          <w:rFonts w:ascii="Times New Roman" w:hAnsi="Times New Roman" w:cs="Times New Roman"/>
          <w:iCs/>
          <w:color w:val="auto"/>
          <w:sz w:val="24"/>
          <w:szCs w:val="24"/>
        </w:rPr>
        <w:t>,</w:t>
      </w:r>
      <w:r w:rsidRPr="00BB231B">
        <w:rPr>
          <w:rFonts w:ascii="Times New Roman" w:hAnsi="Times New Roman" w:cs="Times New Roman"/>
          <w:iCs/>
          <w:color w:val="auto"/>
          <w:sz w:val="24"/>
          <w:szCs w:val="24"/>
        </w:rPr>
        <w:t xml:space="preserve"> en Obras</w:t>
      </w:r>
      <w:r w:rsidR="00973461" w:rsidRPr="00BB231B">
        <w:rPr>
          <w:rFonts w:ascii="Times New Roman" w:hAnsi="Times New Roman" w:cs="Times New Roman"/>
          <w:iCs/>
          <w:color w:val="auto"/>
          <w:sz w:val="24"/>
          <w:szCs w:val="24"/>
        </w:rPr>
        <w:t xml:space="preserve"> se invirtieron </w:t>
      </w:r>
      <w:r w:rsidR="005D2C05" w:rsidRPr="00BB231B">
        <w:rPr>
          <w:rFonts w:ascii="Times New Roman" w:hAnsi="Times New Roman" w:cs="Times New Roman"/>
          <w:b/>
          <w:iCs/>
          <w:color w:val="auto"/>
          <w:sz w:val="24"/>
          <w:szCs w:val="24"/>
        </w:rPr>
        <w:t>RD$13</w:t>
      </w:r>
      <w:proofErr w:type="gramStart"/>
      <w:r w:rsidR="005D2C05" w:rsidRPr="00BB231B">
        <w:rPr>
          <w:rFonts w:ascii="Times New Roman" w:hAnsi="Times New Roman" w:cs="Times New Roman"/>
          <w:b/>
          <w:iCs/>
          <w:color w:val="auto"/>
          <w:sz w:val="24"/>
          <w:szCs w:val="24"/>
        </w:rPr>
        <w:t>,</w:t>
      </w:r>
      <w:r w:rsidRPr="00BB231B">
        <w:rPr>
          <w:rFonts w:ascii="Times New Roman" w:hAnsi="Times New Roman" w:cs="Times New Roman"/>
          <w:b/>
          <w:iCs/>
          <w:color w:val="auto"/>
          <w:sz w:val="24"/>
          <w:szCs w:val="24"/>
        </w:rPr>
        <w:t>743,080.07</w:t>
      </w:r>
      <w:proofErr w:type="gramEnd"/>
      <w:r w:rsidRPr="00BB231B">
        <w:rPr>
          <w:rFonts w:ascii="Times New Roman" w:hAnsi="Times New Roman" w:cs="Times New Roman"/>
          <w:iCs/>
          <w:color w:val="auto"/>
          <w:sz w:val="24"/>
          <w:szCs w:val="24"/>
        </w:rPr>
        <w:t xml:space="preserve"> (Trece Millones Setecientos Cuarenta y Tres Mil Ochenta pesos con 07/100), para un</w:t>
      </w:r>
      <w:r w:rsidRPr="00BB231B">
        <w:rPr>
          <w:rFonts w:ascii="Times New Roman" w:hAnsi="Times New Roman" w:cs="Times New Roman"/>
          <w:b/>
          <w:iCs/>
          <w:color w:val="auto"/>
          <w:sz w:val="24"/>
          <w:szCs w:val="24"/>
        </w:rPr>
        <w:t xml:space="preserve"> 1.09%. </w:t>
      </w:r>
    </w:p>
    <w:p w:rsidR="001E5164" w:rsidRPr="00BB231B" w:rsidRDefault="001E5164" w:rsidP="008128D7">
      <w:pPr>
        <w:spacing w:before="0" w:after="0" w:line="480" w:lineRule="auto"/>
        <w:ind w:firstLine="709"/>
        <w:rPr>
          <w:rFonts w:ascii="Times New Roman" w:hAnsi="Times New Roman" w:cs="Times New Roman"/>
          <w:iCs/>
          <w:color w:val="auto"/>
          <w:sz w:val="24"/>
          <w:szCs w:val="24"/>
        </w:rPr>
      </w:pPr>
      <w:r w:rsidRPr="00BB231B">
        <w:rPr>
          <w:rFonts w:ascii="Times New Roman" w:hAnsi="Times New Roman" w:cs="Times New Roman"/>
          <w:iCs/>
          <w:color w:val="auto"/>
          <w:sz w:val="24"/>
          <w:szCs w:val="24"/>
        </w:rPr>
        <w:t xml:space="preserve">Tenemos una disponibilidad presupuestaria de </w:t>
      </w:r>
      <w:r w:rsidRPr="00BB231B">
        <w:rPr>
          <w:rFonts w:ascii="Times New Roman" w:hAnsi="Times New Roman" w:cs="Times New Roman"/>
          <w:b/>
          <w:iCs/>
          <w:color w:val="auto"/>
          <w:sz w:val="24"/>
          <w:szCs w:val="24"/>
        </w:rPr>
        <w:t xml:space="preserve">RD$199,087,080.42 </w:t>
      </w:r>
      <w:r w:rsidRPr="00BB231B">
        <w:rPr>
          <w:rFonts w:ascii="Times New Roman" w:hAnsi="Times New Roman" w:cs="Times New Roman"/>
          <w:iCs/>
          <w:color w:val="auto"/>
          <w:sz w:val="24"/>
          <w:szCs w:val="24"/>
        </w:rPr>
        <w:t>(Ciento Noventa y Nueve Millones Ochenta y Siete Mil Ochenta pesos con 42/1000),</w:t>
      </w:r>
      <w:r w:rsidRPr="00BB231B">
        <w:rPr>
          <w:rFonts w:ascii="Times New Roman" w:hAnsi="Times New Roman" w:cs="Times New Roman"/>
          <w:b/>
          <w:iCs/>
          <w:color w:val="auto"/>
          <w:sz w:val="24"/>
          <w:szCs w:val="24"/>
        </w:rPr>
        <w:t xml:space="preserve"> </w:t>
      </w:r>
      <w:r w:rsidRPr="00BB231B">
        <w:rPr>
          <w:rFonts w:ascii="Times New Roman" w:hAnsi="Times New Roman" w:cs="Times New Roman"/>
          <w:iCs/>
          <w:color w:val="auto"/>
          <w:sz w:val="24"/>
          <w:szCs w:val="24"/>
        </w:rPr>
        <w:t xml:space="preserve">que representa un </w:t>
      </w:r>
      <w:r w:rsidRPr="00BB231B">
        <w:rPr>
          <w:rFonts w:ascii="Times New Roman" w:hAnsi="Times New Roman" w:cs="Times New Roman"/>
          <w:b/>
          <w:iCs/>
          <w:color w:val="auto"/>
          <w:sz w:val="24"/>
          <w:szCs w:val="24"/>
        </w:rPr>
        <w:t xml:space="preserve">13.68% </w:t>
      </w:r>
      <w:r w:rsidRPr="00BB231B">
        <w:rPr>
          <w:rFonts w:ascii="Times New Roman" w:hAnsi="Times New Roman" w:cs="Times New Roman"/>
          <w:iCs/>
          <w:color w:val="auto"/>
          <w:sz w:val="24"/>
          <w:szCs w:val="24"/>
        </w:rPr>
        <w:t xml:space="preserve">del presupuesto aprobado por Ley, de los cuales el equivalente al </w:t>
      </w:r>
      <w:r w:rsidRPr="00BB231B">
        <w:rPr>
          <w:rFonts w:ascii="Times New Roman" w:hAnsi="Times New Roman" w:cs="Times New Roman"/>
          <w:b/>
          <w:iCs/>
          <w:color w:val="auto"/>
          <w:sz w:val="24"/>
          <w:szCs w:val="24"/>
        </w:rPr>
        <w:t xml:space="preserve">33.24% </w:t>
      </w:r>
      <w:r w:rsidRPr="00BB231B">
        <w:rPr>
          <w:rFonts w:ascii="Times New Roman" w:hAnsi="Times New Roman" w:cs="Times New Roman"/>
          <w:iCs/>
          <w:color w:val="auto"/>
          <w:sz w:val="24"/>
          <w:szCs w:val="24"/>
        </w:rPr>
        <w:t xml:space="preserve">corresponden de los Preventivos de Contratos y Anticipos Financieros, por valor de </w:t>
      </w:r>
      <w:r w:rsidRPr="00BB231B">
        <w:rPr>
          <w:rFonts w:ascii="Times New Roman" w:hAnsi="Times New Roman" w:cs="Times New Roman"/>
          <w:b/>
          <w:iCs/>
          <w:color w:val="auto"/>
          <w:sz w:val="24"/>
          <w:szCs w:val="24"/>
        </w:rPr>
        <w:t>RD$66,178,221.81</w:t>
      </w:r>
      <w:r w:rsidRPr="00BB231B">
        <w:rPr>
          <w:rFonts w:ascii="Times New Roman" w:hAnsi="Times New Roman" w:cs="Times New Roman"/>
          <w:iCs/>
          <w:color w:val="auto"/>
          <w:sz w:val="24"/>
          <w:szCs w:val="24"/>
        </w:rPr>
        <w:t xml:space="preserve"> (Sesenta y Seis Millones Ciento Setenta y Ocho Mil Cientos Veintiún pesos con 81/100), resultando </w:t>
      </w:r>
      <w:r w:rsidRPr="00BB231B">
        <w:rPr>
          <w:rFonts w:ascii="Times New Roman" w:hAnsi="Times New Roman" w:cs="Times New Roman"/>
          <w:b/>
          <w:iCs/>
          <w:color w:val="auto"/>
          <w:sz w:val="24"/>
          <w:szCs w:val="24"/>
        </w:rPr>
        <w:t xml:space="preserve">RD$132,908,858.61 </w:t>
      </w:r>
      <w:r w:rsidRPr="00BB231B">
        <w:rPr>
          <w:rFonts w:ascii="Times New Roman" w:hAnsi="Times New Roman" w:cs="Times New Roman"/>
          <w:iCs/>
          <w:color w:val="auto"/>
          <w:sz w:val="24"/>
          <w:szCs w:val="24"/>
        </w:rPr>
        <w:t xml:space="preserve">(Ciento Treinta y Dos Millones Novecientos Ocho Mil Ochocientos Cincuenta y Ocho pesos con 61/100) lo que representa el </w:t>
      </w:r>
      <w:r w:rsidRPr="00BB231B">
        <w:rPr>
          <w:rFonts w:ascii="Times New Roman" w:hAnsi="Times New Roman" w:cs="Times New Roman"/>
          <w:b/>
          <w:iCs/>
          <w:color w:val="auto"/>
          <w:sz w:val="24"/>
          <w:szCs w:val="24"/>
        </w:rPr>
        <w:t>66.76%</w:t>
      </w:r>
      <w:r w:rsidRPr="00BB231B">
        <w:rPr>
          <w:rFonts w:ascii="Times New Roman" w:hAnsi="Times New Roman" w:cs="Times New Roman"/>
          <w:iCs/>
          <w:color w:val="auto"/>
          <w:sz w:val="24"/>
          <w:szCs w:val="24"/>
        </w:rPr>
        <w:t xml:space="preserve"> de la disponibilidad en las diferentes cuentas. </w:t>
      </w:r>
    </w:p>
    <w:p w:rsidR="001E5164" w:rsidRPr="00BB231B" w:rsidRDefault="001E5164" w:rsidP="00712CAC">
      <w:pPr>
        <w:spacing w:beforeLines="40" w:before="96" w:afterLines="40" w:after="96" w:line="480" w:lineRule="auto"/>
        <w:ind w:firstLine="709"/>
        <w:rPr>
          <w:rFonts w:ascii="Times New Roman" w:hAnsi="Times New Roman" w:cs="Times New Roman"/>
          <w:iCs/>
          <w:color w:val="auto"/>
          <w:sz w:val="24"/>
          <w:szCs w:val="24"/>
        </w:rPr>
      </w:pPr>
      <w:r w:rsidRPr="00BB231B">
        <w:rPr>
          <w:rFonts w:ascii="Times New Roman" w:hAnsi="Times New Roman" w:cs="Times New Roman"/>
          <w:iCs/>
          <w:color w:val="auto"/>
          <w:sz w:val="24"/>
          <w:szCs w:val="24"/>
        </w:rPr>
        <w:t xml:space="preserve">En cuanto a la Cuenta Interna (Gastos Globales) los créditos  ascendieron a un valor total de  </w:t>
      </w:r>
      <w:r w:rsidRPr="00BB231B">
        <w:rPr>
          <w:rFonts w:ascii="Times New Roman" w:hAnsi="Times New Roman" w:cs="Times New Roman"/>
          <w:b/>
          <w:iCs/>
          <w:color w:val="auto"/>
          <w:sz w:val="24"/>
          <w:szCs w:val="24"/>
        </w:rPr>
        <w:t xml:space="preserve">RD$2,663,485.91 </w:t>
      </w:r>
      <w:r w:rsidRPr="00BB231B">
        <w:rPr>
          <w:rFonts w:ascii="Times New Roman" w:hAnsi="Times New Roman" w:cs="Times New Roman"/>
          <w:iCs/>
          <w:color w:val="auto"/>
          <w:sz w:val="24"/>
          <w:szCs w:val="24"/>
        </w:rPr>
        <w:t xml:space="preserve">(Dos Millones Seiscientos Sesenta y Tres Mil Cuatrocientos Ochenta y Cinco pesos con 91/100), de los cuales  se repuso un valor de </w:t>
      </w:r>
      <w:r w:rsidRPr="00BB231B">
        <w:rPr>
          <w:rFonts w:ascii="Times New Roman" w:hAnsi="Times New Roman" w:cs="Times New Roman"/>
          <w:b/>
          <w:iCs/>
          <w:color w:val="auto"/>
          <w:sz w:val="24"/>
          <w:szCs w:val="24"/>
        </w:rPr>
        <w:t xml:space="preserve">RD$2,064,536.36 </w:t>
      </w:r>
      <w:r w:rsidRPr="00BB231B">
        <w:rPr>
          <w:rFonts w:ascii="Times New Roman" w:hAnsi="Times New Roman" w:cs="Times New Roman"/>
          <w:iCs/>
          <w:color w:val="auto"/>
          <w:sz w:val="24"/>
          <w:szCs w:val="24"/>
        </w:rPr>
        <w:t xml:space="preserve">(Dos Millones Sesenta y Cuatro Mil Quinientos Treinta y Seis pesos con 36/100), atreves de cuatro (04) regularizaciones, contamos con un balance según libro de </w:t>
      </w:r>
      <w:r w:rsidRPr="00BB231B">
        <w:rPr>
          <w:rFonts w:ascii="Times New Roman" w:hAnsi="Times New Roman" w:cs="Times New Roman"/>
          <w:b/>
          <w:iCs/>
          <w:color w:val="auto"/>
          <w:sz w:val="24"/>
          <w:szCs w:val="24"/>
        </w:rPr>
        <w:t>RD$342,099.62</w:t>
      </w:r>
      <w:r w:rsidRPr="00BB231B">
        <w:rPr>
          <w:rFonts w:ascii="Times New Roman" w:hAnsi="Times New Roman" w:cs="Times New Roman"/>
          <w:iCs/>
          <w:color w:val="auto"/>
          <w:sz w:val="24"/>
          <w:szCs w:val="24"/>
        </w:rPr>
        <w:t xml:space="preserve"> (Trescientos Cuarenta y Dos Mil Noventa y Nueve pesos con  pesos con 62/100). </w:t>
      </w:r>
    </w:p>
    <w:p w:rsidR="001E5164" w:rsidRPr="00BB231B" w:rsidRDefault="001E5164" w:rsidP="00712CAC">
      <w:pPr>
        <w:spacing w:beforeLines="40" w:before="96" w:afterLines="40" w:after="96" w:line="480" w:lineRule="auto"/>
        <w:ind w:firstLine="709"/>
        <w:rPr>
          <w:rFonts w:ascii="Times New Roman" w:hAnsi="Times New Roman" w:cs="Times New Roman"/>
          <w:iCs/>
          <w:color w:val="auto"/>
          <w:sz w:val="24"/>
          <w:szCs w:val="24"/>
        </w:rPr>
      </w:pPr>
      <w:r w:rsidRPr="00BB231B">
        <w:rPr>
          <w:rFonts w:ascii="Times New Roman" w:hAnsi="Times New Roman" w:cs="Times New Roman"/>
          <w:iCs/>
          <w:color w:val="auto"/>
          <w:sz w:val="24"/>
          <w:szCs w:val="24"/>
        </w:rPr>
        <w:t xml:space="preserve">Al 30 de noviembre se presenta un balance de las cuentas por pagar de </w:t>
      </w:r>
      <w:r w:rsidRPr="00BB231B">
        <w:rPr>
          <w:rFonts w:ascii="Times New Roman" w:hAnsi="Times New Roman" w:cs="Times New Roman"/>
          <w:b/>
          <w:iCs/>
          <w:color w:val="auto"/>
          <w:sz w:val="24"/>
          <w:szCs w:val="24"/>
        </w:rPr>
        <w:t>RD$514,040.68</w:t>
      </w:r>
      <w:r w:rsidRPr="00BB231B">
        <w:rPr>
          <w:rFonts w:ascii="Times New Roman" w:hAnsi="Times New Roman" w:cs="Times New Roman"/>
          <w:iCs/>
          <w:color w:val="auto"/>
          <w:sz w:val="24"/>
          <w:szCs w:val="24"/>
        </w:rPr>
        <w:t xml:space="preserve"> (Quinientos Catorce Mil Cuarenta pesos con 68/100). </w:t>
      </w:r>
    </w:p>
    <w:p w:rsidR="001E5164" w:rsidRPr="00BB231B" w:rsidRDefault="001E5164" w:rsidP="00712CAC">
      <w:pPr>
        <w:spacing w:beforeLines="40" w:before="96" w:afterLines="40" w:after="96" w:line="480" w:lineRule="auto"/>
        <w:ind w:firstLine="709"/>
        <w:rPr>
          <w:rFonts w:ascii="Times New Roman" w:hAnsi="Times New Roman" w:cs="Times New Roman"/>
          <w:iCs/>
          <w:color w:val="auto"/>
          <w:sz w:val="24"/>
          <w:szCs w:val="24"/>
        </w:rPr>
      </w:pPr>
      <w:r w:rsidRPr="00BB231B">
        <w:rPr>
          <w:rFonts w:ascii="Times New Roman" w:hAnsi="Times New Roman" w:cs="Times New Roman"/>
          <w:iCs/>
          <w:color w:val="auto"/>
          <w:sz w:val="24"/>
          <w:szCs w:val="24"/>
        </w:rPr>
        <w:lastRenderedPageBreak/>
        <w:t xml:space="preserve">Dentro del marco impositivo la Institución realizó pagos al Colector de Impuestos Internos,  por concepto de retenciones a empleados y suplidores por anticipos de ISR del 2% 5% 10% e ITBIS, ascendentes a </w:t>
      </w:r>
      <w:r w:rsidRPr="00BB231B">
        <w:rPr>
          <w:rFonts w:ascii="Times New Roman" w:hAnsi="Times New Roman" w:cs="Times New Roman"/>
          <w:b/>
          <w:iCs/>
          <w:color w:val="auto"/>
          <w:sz w:val="24"/>
          <w:szCs w:val="24"/>
        </w:rPr>
        <w:t>RD$64</w:t>
      </w:r>
      <w:r w:rsidR="004B292D" w:rsidRPr="00BB231B">
        <w:rPr>
          <w:rFonts w:ascii="Times New Roman" w:hAnsi="Times New Roman" w:cs="Times New Roman"/>
          <w:b/>
          <w:iCs/>
          <w:color w:val="auto"/>
          <w:sz w:val="24"/>
          <w:szCs w:val="24"/>
        </w:rPr>
        <w:t>, 559,627.07</w:t>
      </w:r>
      <w:r w:rsidRPr="00BB231B">
        <w:rPr>
          <w:rFonts w:ascii="Times New Roman" w:hAnsi="Times New Roman" w:cs="Times New Roman"/>
          <w:iCs/>
          <w:color w:val="auto"/>
          <w:sz w:val="24"/>
          <w:szCs w:val="24"/>
        </w:rPr>
        <w:t xml:space="preserve"> (Sesenta y Cuatro Millones Quinientos Cincuenta y Nueve Mil Seiscientos Veintisiete  pesos con 07/100). </w:t>
      </w:r>
    </w:p>
    <w:p w:rsidR="001E5164" w:rsidRPr="00BB231B" w:rsidRDefault="00973461" w:rsidP="008128D7">
      <w:pPr>
        <w:spacing w:beforeLines="40" w:before="96" w:afterLines="40" w:after="96" w:line="480" w:lineRule="auto"/>
        <w:ind w:firstLine="709"/>
        <w:rPr>
          <w:rFonts w:ascii="Times New Roman" w:hAnsi="Times New Roman" w:cs="Times New Roman"/>
          <w:i/>
          <w:iCs/>
          <w:color w:val="auto"/>
          <w:sz w:val="24"/>
          <w:szCs w:val="24"/>
        </w:rPr>
      </w:pPr>
      <w:r w:rsidRPr="00BB231B">
        <w:rPr>
          <w:rFonts w:ascii="Times New Roman" w:hAnsi="Times New Roman" w:cs="Times New Roman"/>
          <w:iCs/>
          <w:color w:val="auto"/>
          <w:sz w:val="24"/>
          <w:szCs w:val="24"/>
        </w:rPr>
        <w:t>Finalmente, hacemos constar</w:t>
      </w:r>
      <w:r w:rsidR="001E5164" w:rsidRPr="00BB231B">
        <w:rPr>
          <w:rFonts w:ascii="Times New Roman" w:hAnsi="Times New Roman" w:cs="Times New Roman"/>
          <w:iCs/>
          <w:color w:val="auto"/>
          <w:sz w:val="24"/>
          <w:szCs w:val="24"/>
        </w:rPr>
        <w:t xml:space="preserve"> que los datos suministrados corresponden al período del 01 de enero hasta 30  de noviembre 2017.</w:t>
      </w:r>
    </w:p>
    <w:p w:rsidR="001E5164" w:rsidRPr="00BB231B" w:rsidRDefault="001E5164" w:rsidP="001C2C6C">
      <w:pPr>
        <w:pStyle w:val="Prrafodelista"/>
        <w:numPr>
          <w:ilvl w:val="0"/>
          <w:numId w:val="47"/>
        </w:numPr>
        <w:spacing w:beforeLines="40" w:before="96" w:afterLines="40" w:after="96" w:line="480" w:lineRule="auto"/>
        <w:outlineLvl w:val="1"/>
        <w:rPr>
          <w:rFonts w:ascii="Times New Roman" w:hAnsi="Times New Roman" w:cs="Times New Roman"/>
          <w:b/>
          <w:iCs/>
          <w:color w:val="auto"/>
          <w:sz w:val="28"/>
          <w:szCs w:val="24"/>
        </w:rPr>
      </w:pPr>
      <w:bookmarkStart w:id="52" w:name="_Toc500858020"/>
      <w:bookmarkStart w:id="53" w:name="_Toc500858170"/>
      <w:bookmarkStart w:id="54" w:name="_Toc500918596"/>
      <w:r w:rsidRPr="00BB231B">
        <w:rPr>
          <w:rFonts w:ascii="Times New Roman" w:hAnsi="Times New Roman" w:cs="Times New Roman"/>
          <w:b/>
          <w:iCs/>
          <w:color w:val="auto"/>
          <w:sz w:val="28"/>
          <w:szCs w:val="24"/>
        </w:rPr>
        <w:t>Contrataciones y Adquisiciones:</w:t>
      </w:r>
      <w:bookmarkEnd w:id="52"/>
      <w:bookmarkEnd w:id="53"/>
      <w:bookmarkEnd w:id="54"/>
    </w:p>
    <w:p w:rsidR="001E5164" w:rsidRPr="008128D7" w:rsidRDefault="001E5164" w:rsidP="008128D7">
      <w:pPr>
        <w:spacing w:beforeLines="40" w:before="96" w:afterLines="40" w:after="96" w:line="480" w:lineRule="auto"/>
        <w:ind w:firstLine="709"/>
        <w:rPr>
          <w:rFonts w:ascii="Times New Roman" w:hAnsi="Times New Roman" w:cs="Times New Roman"/>
          <w:iCs/>
          <w:color w:val="auto"/>
          <w:sz w:val="24"/>
          <w:szCs w:val="24"/>
        </w:rPr>
      </w:pPr>
      <w:r w:rsidRPr="008128D7">
        <w:rPr>
          <w:rFonts w:ascii="Times New Roman" w:hAnsi="Times New Roman" w:cs="Times New Roman"/>
          <w:iCs/>
          <w:color w:val="auto"/>
          <w:sz w:val="24"/>
          <w:szCs w:val="24"/>
        </w:rPr>
        <w:t>Durante el año 2017, trabajamos simultáneamente los procesos de compras en las plataformas tecnológicas SIGEF y el Portal Transaccional de la DGCP, a part</w:t>
      </w:r>
      <w:r w:rsidR="00712CAC" w:rsidRPr="008128D7">
        <w:rPr>
          <w:rFonts w:ascii="Times New Roman" w:hAnsi="Times New Roman" w:cs="Times New Roman"/>
          <w:iCs/>
          <w:color w:val="auto"/>
          <w:sz w:val="24"/>
          <w:szCs w:val="24"/>
        </w:rPr>
        <w:t xml:space="preserve">ir del 1ro de noviembre </w:t>
      </w:r>
      <w:r w:rsidRPr="008128D7">
        <w:rPr>
          <w:rFonts w:ascii="Times New Roman" w:hAnsi="Times New Roman" w:cs="Times New Roman"/>
          <w:iCs/>
          <w:color w:val="auto"/>
          <w:sz w:val="24"/>
          <w:szCs w:val="24"/>
        </w:rPr>
        <w:t>se inicia oficialmente los  trabajos  exclusivamente en el Portal Transaccional</w:t>
      </w:r>
      <w:r w:rsidR="00973461" w:rsidRPr="008128D7">
        <w:rPr>
          <w:rFonts w:ascii="Times New Roman" w:hAnsi="Times New Roman" w:cs="Times New Roman"/>
          <w:iCs/>
          <w:color w:val="auto"/>
          <w:sz w:val="24"/>
          <w:szCs w:val="24"/>
        </w:rPr>
        <w:t>,</w:t>
      </w:r>
      <w:r w:rsidRPr="008128D7">
        <w:rPr>
          <w:rFonts w:ascii="Times New Roman" w:hAnsi="Times New Roman" w:cs="Times New Roman"/>
          <w:iCs/>
          <w:color w:val="auto"/>
          <w:sz w:val="24"/>
          <w:szCs w:val="24"/>
        </w:rPr>
        <w:t xml:space="preserve">  según lo estable el decreto 350-17.</w:t>
      </w:r>
    </w:p>
    <w:p w:rsidR="001E5164" w:rsidRPr="00BB231B" w:rsidRDefault="001E5164" w:rsidP="008128D7">
      <w:pPr>
        <w:spacing w:beforeLines="40" w:before="96" w:afterLines="40" w:after="96" w:line="480" w:lineRule="auto"/>
        <w:ind w:firstLine="709"/>
        <w:rPr>
          <w:rFonts w:ascii="Times New Roman" w:eastAsia="Times New Roman" w:hAnsi="Times New Roman" w:cs="Times New Roman"/>
          <w:color w:val="auto"/>
          <w:sz w:val="24"/>
          <w:szCs w:val="24"/>
          <w:lang w:eastAsia="es-DO"/>
        </w:rPr>
      </w:pPr>
      <w:r w:rsidRPr="008128D7">
        <w:rPr>
          <w:rFonts w:ascii="Times New Roman" w:hAnsi="Times New Roman" w:cs="Times New Roman"/>
          <w:iCs/>
          <w:color w:val="auto"/>
          <w:sz w:val="24"/>
          <w:szCs w:val="24"/>
        </w:rPr>
        <w:t>Generamos 393 solicitudes para adquisición de bienes y/o contratación de servicios,</w:t>
      </w:r>
      <w:r w:rsidR="00712CAC" w:rsidRPr="008128D7">
        <w:rPr>
          <w:rFonts w:ascii="Times New Roman" w:hAnsi="Times New Roman" w:cs="Times New Roman"/>
          <w:iCs/>
          <w:color w:val="auto"/>
          <w:sz w:val="24"/>
          <w:szCs w:val="24"/>
        </w:rPr>
        <w:t xml:space="preserve"> </w:t>
      </w:r>
      <w:r w:rsidRPr="008128D7">
        <w:rPr>
          <w:rFonts w:ascii="Times New Roman" w:hAnsi="Times New Roman" w:cs="Times New Roman"/>
          <w:iCs/>
          <w:color w:val="auto"/>
          <w:sz w:val="24"/>
          <w:szCs w:val="24"/>
        </w:rPr>
        <w:t>emitiendo 493 Ordenes de Compras por valor de RD$165,890,665.62  (Ciento Sesenta y Cinco Millones Ochocientos Noventa Mil Seiscientos Sesenta y Cinco Pesos  con  62/100),  de las que  se ejecutaron 473</w:t>
      </w:r>
      <w:r w:rsidR="00973461" w:rsidRPr="008128D7">
        <w:rPr>
          <w:rFonts w:ascii="Times New Roman" w:hAnsi="Times New Roman" w:cs="Times New Roman"/>
          <w:iCs/>
          <w:color w:val="auto"/>
          <w:sz w:val="24"/>
          <w:szCs w:val="24"/>
        </w:rPr>
        <w:t>,</w:t>
      </w:r>
      <w:r w:rsidRPr="008128D7">
        <w:rPr>
          <w:rFonts w:ascii="Times New Roman" w:hAnsi="Times New Roman" w:cs="Times New Roman"/>
          <w:iCs/>
          <w:color w:val="auto"/>
          <w:sz w:val="24"/>
          <w:szCs w:val="24"/>
        </w:rPr>
        <w:t xml:space="preserve"> por valor de RD$164,127,090.04 (Ciento Sesenta y Cuatro Millones</w:t>
      </w:r>
      <w:r w:rsidRPr="00BB231B">
        <w:rPr>
          <w:rFonts w:ascii="Times New Roman" w:eastAsia="Times New Roman" w:hAnsi="Times New Roman" w:cs="Times New Roman"/>
          <w:color w:val="auto"/>
          <w:sz w:val="24"/>
          <w:szCs w:val="24"/>
          <w:lang w:eastAsia="es-DO"/>
        </w:rPr>
        <w:t xml:space="preserve"> Ciento Vente y Siete Mil Noventa pesos con 04/100) y 20 fueron an</w:t>
      </w:r>
      <w:r w:rsidR="00712CAC" w:rsidRPr="00BB231B">
        <w:rPr>
          <w:rFonts w:ascii="Times New Roman" w:eastAsia="Times New Roman" w:hAnsi="Times New Roman" w:cs="Times New Roman"/>
          <w:color w:val="auto"/>
          <w:sz w:val="24"/>
          <w:szCs w:val="24"/>
          <w:lang w:eastAsia="es-DO"/>
        </w:rPr>
        <w:t xml:space="preserve">uladas por razones diversas, </w:t>
      </w:r>
      <w:r w:rsidRPr="00BB231B">
        <w:rPr>
          <w:rFonts w:ascii="Times New Roman" w:eastAsia="Times New Roman" w:hAnsi="Times New Roman" w:cs="Times New Roman"/>
          <w:color w:val="auto"/>
          <w:sz w:val="24"/>
          <w:szCs w:val="24"/>
          <w:lang w:eastAsia="es-DO"/>
        </w:rPr>
        <w:t xml:space="preserve">para un total de RD$1,763,575.58/100 (Un millón Setecientos Sesenta y Tres Mil Quinientos Setenta y Cinco Pesos con 58/100.) 349 se realizaron por debajo del umbral, lo que representa un 73%, se emitieron 36 compras menores para un 0.07%,  50 procesos de excepción iguales  al 10 %,  por  comparación  </w:t>
      </w:r>
      <w:r w:rsidRPr="00BB231B">
        <w:rPr>
          <w:rFonts w:ascii="Times New Roman" w:eastAsia="Times New Roman" w:hAnsi="Times New Roman" w:cs="Times New Roman"/>
          <w:color w:val="auto"/>
          <w:sz w:val="24"/>
          <w:szCs w:val="24"/>
          <w:lang w:eastAsia="es-DO"/>
        </w:rPr>
        <w:lastRenderedPageBreak/>
        <w:t>Precio/Competencia  14 para  un  0.02%  y   05   licitaciones  públicas nacionales que representa el 0.01%. Se utilizaron 80 rubros diferentes del catálogo de bienes y servicios con un total de 150 proveedores.</w:t>
      </w:r>
    </w:p>
    <w:p w:rsidR="001E5164" w:rsidRPr="001F187F" w:rsidRDefault="001E5164" w:rsidP="001F187F">
      <w:pPr>
        <w:spacing w:after="0" w:line="480" w:lineRule="auto"/>
        <w:ind w:firstLine="709"/>
        <w:rPr>
          <w:rFonts w:ascii="Times New Roman" w:hAnsi="Times New Roman" w:cs="Times New Roman"/>
          <w:iCs/>
          <w:color w:val="auto"/>
          <w:sz w:val="24"/>
          <w:szCs w:val="24"/>
        </w:rPr>
      </w:pPr>
      <w:r w:rsidRPr="001F187F">
        <w:rPr>
          <w:rFonts w:ascii="Times New Roman" w:hAnsi="Times New Roman" w:cs="Times New Roman"/>
          <w:iCs/>
          <w:color w:val="auto"/>
          <w:sz w:val="24"/>
          <w:szCs w:val="24"/>
        </w:rPr>
        <w:t>Como parte del cumplimiento de la Ley 340-06 y su modificación, en la cual se establece  que mínimo el 20% de las compras  se  deben  realizar  a  MIPYMES,  el  0.10%  del  total  de  órdenes  de  compras corresponden a  este sector económico,   alcanzando un monto de RD$17,357,230.10    (Diez y S</w:t>
      </w:r>
      <w:r w:rsidR="006C3543" w:rsidRPr="001F187F">
        <w:rPr>
          <w:rFonts w:ascii="Times New Roman" w:hAnsi="Times New Roman" w:cs="Times New Roman"/>
          <w:iCs/>
          <w:color w:val="auto"/>
          <w:sz w:val="24"/>
          <w:szCs w:val="24"/>
        </w:rPr>
        <w:t>iete</w:t>
      </w:r>
      <w:r w:rsidRPr="001F187F">
        <w:rPr>
          <w:rFonts w:ascii="Times New Roman" w:hAnsi="Times New Roman" w:cs="Times New Roman"/>
          <w:iCs/>
          <w:color w:val="auto"/>
          <w:sz w:val="24"/>
          <w:szCs w:val="24"/>
        </w:rPr>
        <w:t xml:space="preserve"> Millones Trescientos Cincuenta y Siete Mil Doscientos Treinta Pesos  con 10/100),  mediante 91 órdenes de compras, emitidas a 35 beneficiarios lo que rep</w:t>
      </w:r>
      <w:r w:rsidR="004B5EAE" w:rsidRPr="001F187F">
        <w:rPr>
          <w:rFonts w:ascii="Times New Roman" w:hAnsi="Times New Roman" w:cs="Times New Roman"/>
          <w:iCs/>
          <w:color w:val="auto"/>
          <w:sz w:val="24"/>
          <w:szCs w:val="24"/>
        </w:rPr>
        <w:t>resenta el 0.19% de las ordenes.</w:t>
      </w:r>
      <w:r w:rsidRPr="001F187F">
        <w:rPr>
          <w:rFonts w:ascii="Times New Roman" w:hAnsi="Times New Roman" w:cs="Times New Roman"/>
          <w:iCs/>
          <w:color w:val="auto"/>
          <w:sz w:val="24"/>
          <w:szCs w:val="24"/>
        </w:rPr>
        <w:t xml:space="preserve"> De igual manera</w:t>
      </w:r>
      <w:r w:rsidR="004B5EAE" w:rsidRPr="001F187F">
        <w:rPr>
          <w:rFonts w:ascii="Times New Roman" w:hAnsi="Times New Roman" w:cs="Times New Roman"/>
          <w:iCs/>
          <w:color w:val="auto"/>
          <w:sz w:val="24"/>
          <w:szCs w:val="24"/>
        </w:rPr>
        <w:t>,</w:t>
      </w:r>
      <w:r w:rsidRPr="001F187F">
        <w:rPr>
          <w:rFonts w:ascii="Times New Roman" w:hAnsi="Times New Roman" w:cs="Times New Roman"/>
          <w:iCs/>
          <w:color w:val="auto"/>
          <w:sz w:val="24"/>
          <w:szCs w:val="24"/>
        </w:rPr>
        <w:t xml:space="preserve"> el 73% corresponden a Empresas No Clasificadas en el portal de Compras y Contrataciones a través de 361 Órdenes de Compras.   Mientras que las compras a Grandes Empresas representan el 0.02%.</w:t>
      </w:r>
    </w:p>
    <w:p w:rsidR="00AD191A" w:rsidRPr="00BB231B" w:rsidRDefault="00AD191A" w:rsidP="006C3543">
      <w:pPr>
        <w:spacing w:after="0" w:line="480" w:lineRule="auto"/>
        <w:ind w:left="360" w:firstLine="349"/>
        <w:rPr>
          <w:rFonts w:ascii="Times New Roman" w:eastAsia="Times New Roman" w:hAnsi="Times New Roman" w:cs="Times New Roman"/>
          <w:color w:val="auto"/>
          <w:sz w:val="24"/>
          <w:szCs w:val="24"/>
          <w:lang w:eastAsia="es-DO"/>
        </w:rPr>
      </w:pPr>
    </w:p>
    <w:p w:rsidR="00AD191A" w:rsidRPr="00BB231B" w:rsidRDefault="00AD191A" w:rsidP="006C3543">
      <w:pPr>
        <w:spacing w:after="0" w:line="480" w:lineRule="auto"/>
        <w:ind w:left="360" w:firstLine="349"/>
        <w:rPr>
          <w:rFonts w:ascii="Times New Roman" w:eastAsia="Times New Roman" w:hAnsi="Times New Roman" w:cs="Times New Roman"/>
          <w:color w:val="auto"/>
          <w:sz w:val="24"/>
          <w:szCs w:val="24"/>
          <w:lang w:eastAsia="es-DO"/>
        </w:rPr>
      </w:pPr>
    </w:p>
    <w:p w:rsidR="001E5164" w:rsidRPr="00BB231B" w:rsidRDefault="00FA07A4" w:rsidP="001C2C6C">
      <w:pPr>
        <w:pStyle w:val="Prrafodelista"/>
        <w:numPr>
          <w:ilvl w:val="0"/>
          <w:numId w:val="47"/>
        </w:numPr>
        <w:spacing w:beforeLines="40" w:before="96" w:afterLines="40" w:after="96" w:line="480" w:lineRule="auto"/>
        <w:outlineLvl w:val="1"/>
        <w:rPr>
          <w:rFonts w:ascii="Times New Roman" w:hAnsi="Times New Roman" w:cs="Times New Roman"/>
          <w:b/>
          <w:iCs/>
          <w:color w:val="auto"/>
          <w:sz w:val="28"/>
          <w:szCs w:val="24"/>
        </w:rPr>
      </w:pPr>
      <w:bookmarkStart w:id="55" w:name="_Toc500858021"/>
      <w:bookmarkStart w:id="56" w:name="_Toc500858171"/>
      <w:bookmarkStart w:id="57" w:name="_Toc500918597"/>
      <w:r w:rsidRPr="00BB231B">
        <w:rPr>
          <w:rFonts w:ascii="Times New Roman" w:hAnsi="Times New Roman" w:cs="Times New Roman"/>
          <w:b/>
          <w:iCs/>
          <w:color w:val="auto"/>
          <w:sz w:val="28"/>
          <w:szCs w:val="24"/>
        </w:rPr>
        <w:t>Transparencia, Acceso a la Información:</w:t>
      </w:r>
      <w:bookmarkEnd w:id="55"/>
      <w:bookmarkEnd w:id="56"/>
      <w:bookmarkEnd w:id="57"/>
    </w:p>
    <w:p w:rsidR="003A006F" w:rsidRPr="00BB231B" w:rsidRDefault="00035DAC" w:rsidP="001F187F">
      <w:pPr>
        <w:pStyle w:val="Normal-blanco"/>
        <w:spacing w:before="0" w:after="0" w:line="480" w:lineRule="auto"/>
        <w:ind w:right="199" w:firstLine="70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color w:val="auto"/>
          <w:sz w:val="24"/>
          <w:szCs w:val="24"/>
          <w:lang w:val="es-DO"/>
        </w:rPr>
        <w:t>La CGR con la implementación del sistema SUAI TRE, dio un paso trascendental</w:t>
      </w:r>
      <w:r w:rsidR="003A006F" w:rsidRPr="00BB231B">
        <w:rPr>
          <w:rStyle w:val="nfasissutil"/>
          <w:rFonts w:ascii="Times New Roman" w:hAnsi="Times New Roman" w:cs="Times New Roman"/>
          <w:color w:val="auto"/>
          <w:sz w:val="24"/>
          <w:szCs w:val="24"/>
          <w:lang w:val="es-DO"/>
        </w:rPr>
        <w:t xml:space="preserve"> a</w:t>
      </w:r>
      <w:r w:rsidRPr="00BB231B">
        <w:rPr>
          <w:rStyle w:val="nfasissutil"/>
          <w:rFonts w:ascii="Times New Roman" w:hAnsi="Times New Roman" w:cs="Times New Roman"/>
          <w:color w:val="auto"/>
          <w:sz w:val="24"/>
          <w:szCs w:val="24"/>
          <w:lang w:val="es-DO"/>
        </w:rPr>
        <w:t>l transparentar los</w:t>
      </w:r>
      <w:r w:rsidR="003A006F" w:rsidRPr="00BB231B">
        <w:rPr>
          <w:rStyle w:val="nfasissutil"/>
          <w:rFonts w:ascii="Times New Roman" w:hAnsi="Times New Roman" w:cs="Times New Roman"/>
          <w:color w:val="auto"/>
          <w:sz w:val="24"/>
          <w:szCs w:val="24"/>
          <w:lang w:val="es-DO"/>
        </w:rPr>
        <w:t xml:space="preserve"> procesos conferidos en el artículo 247 de la Constitución de la República, dado que ha puesto a disposición de todos los grupos de interés que tengan procesos de contratos y pago</w:t>
      </w:r>
      <w:r w:rsidR="00CF7118" w:rsidRPr="00BB231B">
        <w:rPr>
          <w:rStyle w:val="nfasissutil"/>
          <w:rFonts w:ascii="Times New Roman" w:hAnsi="Times New Roman" w:cs="Times New Roman"/>
          <w:color w:val="auto"/>
          <w:sz w:val="24"/>
          <w:szCs w:val="24"/>
          <w:lang w:val="es-DO"/>
        </w:rPr>
        <w:t>s</w:t>
      </w:r>
      <w:r w:rsidR="003A006F" w:rsidRPr="00BB231B">
        <w:rPr>
          <w:rStyle w:val="nfasissutil"/>
          <w:rFonts w:ascii="Times New Roman" w:hAnsi="Times New Roman" w:cs="Times New Roman"/>
          <w:color w:val="auto"/>
          <w:sz w:val="24"/>
          <w:szCs w:val="24"/>
          <w:lang w:val="es-DO"/>
        </w:rPr>
        <w:t xml:space="preserve"> con el Estado, la </w:t>
      </w:r>
      <w:r w:rsidR="003A006F" w:rsidRPr="00BB231B">
        <w:rPr>
          <w:rStyle w:val="nfasissutil"/>
          <w:rFonts w:ascii="Times New Roman" w:hAnsi="Times New Roman" w:cs="Times New Roman"/>
          <w:color w:val="auto"/>
          <w:sz w:val="24"/>
          <w:szCs w:val="24"/>
          <w:lang w:val="es-DO"/>
        </w:rPr>
        <w:lastRenderedPageBreak/>
        <w:t>facilidad de consulta de cada actividad o etapa de los mismos, desde su inicio hasta la recepción del producto o servicio.</w:t>
      </w:r>
    </w:p>
    <w:p w:rsidR="003A006F" w:rsidRPr="00BB231B" w:rsidRDefault="003A006F" w:rsidP="001F187F">
      <w:pPr>
        <w:pStyle w:val="Normal-blanco"/>
        <w:spacing w:before="0" w:after="0" w:line="480" w:lineRule="auto"/>
        <w:ind w:right="199" w:firstLine="70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color w:val="auto"/>
          <w:sz w:val="24"/>
          <w:szCs w:val="24"/>
          <w:lang w:val="es-DO"/>
        </w:rPr>
        <w:t xml:space="preserve">Por otra parte, la </w:t>
      </w:r>
      <w:r w:rsidR="00CF7118" w:rsidRPr="00BB231B">
        <w:rPr>
          <w:rStyle w:val="nfasissutil"/>
          <w:rFonts w:ascii="Times New Roman" w:hAnsi="Times New Roman" w:cs="Times New Roman"/>
          <w:color w:val="auto"/>
          <w:sz w:val="24"/>
          <w:szCs w:val="24"/>
          <w:lang w:val="es-DO"/>
        </w:rPr>
        <w:t>Contraloría General de la República</w:t>
      </w:r>
      <w:r w:rsidRPr="00BB231B">
        <w:rPr>
          <w:rStyle w:val="nfasissutil"/>
          <w:rFonts w:ascii="Times New Roman" w:hAnsi="Times New Roman" w:cs="Times New Roman"/>
          <w:color w:val="auto"/>
          <w:sz w:val="24"/>
          <w:szCs w:val="24"/>
          <w:lang w:val="es-DO"/>
        </w:rPr>
        <w:t xml:space="preserve"> está inmersa en un proceso de transformación y cambio desde el año 2014, bajo un enfoque de gestión por proceso y mejora continua, apalancándose del uso de herramientas tecnológicas, que sin lugar a dudas apoyan al fortalecimiento de la capacidad institucional y a la modernización de la administración, y por consiguiente dar respuesta de forma más ágil y eficaz a los requerimientos de los ciudadanos/clientes.</w:t>
      </w:r>
    </w:p>
    <w:p w:rsidR="003A006F" w:rsidRPr="00BB231B" w:rsidRDefault="003A006F" w:rsidP="001F187F">
      <w:pPr>
        <w:pStyle w:val="Normal-blanco"/>
        <w:spacing w:before="0" w:after="0" w:line="480" w:lineRule="auto"/>
        <w:ind w:right="199" w:firstLine="70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color w:val="auto"/>
          <w:sz w:val="24"/>
          <w:szCs w:val="24"/>
          <w:lang w:val="es-DO"/>
        </w:rPr>
        <w:t>Sobre la base de la m</w:t>
      </w:r>
      <w:r w:rsidR="00CD5F56" w:rsidRPr="00BB231B">
        <w:rPr>
          <w:rStyle w:val="nfasissutil"/>
          <w:rFonts w:ascii="Times New Roman" w:hAnsi="Times New Roman" w:cs="Times New Roman"/>
          <w:color w:val="auto"/>
          <w:sz w:val="24"/>
          <w:szCs w:val="24"/>
          <w:lang w:val="es-DO"/>
        </w:rPr>
        <w:t>odernización de las operaciones</w:t>
      </w:r>
      <w:r w:rsidR="00035DAC" w:rsidRPr="00BB231B">
        <w:rPr>
          <w:rStyle w:val="nfasissutil"/>
          <w:rFonts w:ascii="Times New Roman" w:hAnsi="Times New Roman" w:cs="Times New Roman"/>
          <w:color w:val="auto"/>
          <w:sz w:val="24"/>
          <w:szCs w:val="24"/>
          <w:lang w:val="es-DO"/>
        </w:rPr>
        <w:t>, la</w:t>
      </w:r>
      <w:r w:rsidRPr="00BB231B">
        <w:rPr>
          <w:rStyle w:val="nfasissutil"/>
          <w:rFonts w:ascii="Times New Roman" w:hAnsi="Times New Roman" w:cs="Times New Roman"/>
          <w:color w:val="auto"/>
          <w:sz w:val="24"/>
          <w:szCs w:val="24"/>
          <w:lang w:val="es-DO"/>
        </w:rPr>
        <w:t xml:space="preserve"> Contraloría durante el </w:t>
      </w:r>
      <w:r w:rsidR="0092445B" w:rsidRPr="00BB231B">
        <w:rPr>
          <w:rStyle w:val="nfasissutil"/>
          <w:rFonts w:ascii="Times New Roman" w:hAnsi="Times New Roman" w:cs="Times New Roman"/>
          <w:color w:val="auto"/>
          <w:sz w:val="24"/>
          <w:szCs w:val="24"/>
          <w:lang w:val="es-DO"/>
        </w:rPr>
        <w:t>2017</w:t>
      </w:r>
      <w:r w:rsidR="00CD5F56" w:rsidRPr="00BB231B">
        <w:rPr>
          <w:rStyle w:val="nfasissutil"/>
          <w:rFonts w:ascii="Times New Roman" w:hAnsi="Times New Roman" w:cs="Times New Roman"/>
          <w:color w:val="auto"/>
          <w:sz w:val="24"/>
          <w:szCs w:val="24"/>
          <w:lang w:val="es-DO"/>
        </w:rPr>
        <w:t>,</w:t>
      </w:r>
      <w:r w:rsidR="00035DAC" w:rsidRPr="00BB231B">
        <w:rPr>
          <w:rStyle w:val="nfasissutil"/>
          <w:rFonts w:ascii="Times New Roman" w:hAnsi="Times New Roman" w:cs="Times New Roman"/>
          <w:color w:val="auto"/>
          <w:sz w:val="24"/>
          <w:szCs w:val="24"/>
          <w:lang w:val="es-DO"/>
        </w:rPr>
        <w:t xml:space="preserve"> incorporó aspectos</w:t>
      </w:r>
      <w:r w:rsidRPr="00BB231B">
        <w:rPr>
          <w:rStyle w:val="nfasissutil"/>
          <w:rFonts w:ascii="Times New Roman" w:hAnsi="Times New Roman" w:cs="Times New Roman"/>
          <w:color w:val="auto"/>
          <w:sz w:val="24"/>
          <w:szCs w:val="24"/>
          <w:lang w:val="es-DO"/>
        </w:rPr>
        <w:t xml:space="preserve"> relacionados a la transparencia de las informaciones de los ciudadanos/ clientes, </w:t>
      </w:r>
      <w:r w:rsidR="005B71F3" w:rsidRPr="00BB231B">
        <w:rPr>
          <w:rStyle w:val="nfasissutil"/>
          <w:rFonts w:ascii="Times New Roman" w:hAnsi="Times New Roman" w:cs="Times New Roman"/>
          <w:color w:val="auto"/>
          <w:sz w:val="24"/>
          <w:szCs w:val="24"/>
          <w:lang w:val="es-DO"/>
        </w:rPr>
        <w:t>con reingeniería de procesos:</w:t>
      </w:r>
    </w:p>
    <w:p w:rsidR="003A006F" w:rsidRPr="00BB231B" w:rsidRDefault="003A006F" w:rsidP="0013776D">
      <w:pPr>
        <w:pStyle w:val="Normal-blanco"/>
        <w:numPr>
          <w:ilvl w:val="0"/>
          <w:numId w:val="37"/>
        </w:numPr>
        <w:spacing w:before="0" w:after="0" w:line="480" w:lineRule="auto"/>
        <w:ind w:right="199"/>
        <w:rPr>
          <w:rStyle w:val="nfasissutil"/>
          <w:rFonts w:ascii="Times New Roman" w:hAnsi="Times New Roman" w:cs="Times New Roman"/>
          <w:color w:val="auto"/>
          <w:sz w:val="24"/>
          <w:szCs w:val="24"/>
          <w:lang w:val="es-DO"/>
        </w:rPr>
      </w:pPr>
      <w:proofErr w:type="spellStart"/>
      <w:r w:rsidRPr="00BB231B">
        <w:rPr>
          <w:rStyle w:val="nfasissutil"/>
          <w:rFonts w:ascii="Times New Roman" w:hAnsi="Times New Roman" w:cs="Times New Roman"/>
          <w:b/>
          <w:color w:val="auto"/>
          <w:sz w:val="24"/>
          <w:szCs w:val="24"/>
          <w:lang w:val="es-DO"/>
        </w:rPr>
        <w:t>TransDoc</w:t>
      </w:r>
      <w:proofErr w:type="spellEnd"/>
      <w:r w:rsidRPr="00BB231B">
        <w:rPr>
          <w:rStyle w:val="nfasissutil"/>
          <w:rFonts w:ascii="Times New Roman" w:hAnsi="Times New Roman" w:cs="Times New Roman"/>
          <w:b/>
          <w:color w:val="auto"/>
          <w:sz w:val="24"/>
          <w:szCs w:val="24"/>
          <w:lang w:val="es-DO"/>
        </w:rPr>
        <w:t>, consulta en línea para las correspondencias enviadas a la CGR</w:t>
      </w:r>
      <w:r w:rsidRPr="00BB231B">
        <w:rPr>
          <w:rStyle w:val="nfasissutil"/>
          <w:rFonts w:ascii="Times New Roman" w:hAnsi="Times New Roman" w:cs="Times New Roman"/>
          <w:color w:val="auto"/>
          <w:sz w:val="24"/>
          <w:szCs w:val="24"/>
          <w:lang w:val="es-DO"/>
        </w:rPr>
        <w:t>:</w:t>
      </w:r>
      <w:r w:rsidR="0004159C" w:rsidRPr="00BB231B">
        <w:rPr>
          <w:rStyle w:val="nfasissutil"/>
          <w:rFonts w:ascii="Times New Roman" w:hAnsi="Times New Roman" w:cs="Times New Roman"/>
          <w:color w:val="auto"/>
          <w:sz w:val="24"/>
          <w:szCs w:val="24"/>
          <w:lang w:val="es-DO"/>
        </w:rPr>
        <w:t xml:space="preserve"> </w:t>
      </w:r>
      <w:r w:rsidRPr="00BB231B">
        <w:rPr>
          <w:rStyle w:val="nfasissutil"/>
          <w:rFonts w:ascii="Times New Roman" w:hAnsi="Times New Roman" w:cs="Times New Roman"/>
          <w:color w:val="auto"/>
          <w:sz w:val="24"/>
          <w:szCs w:val="24"/>
          <w:lang w:val="es-DO"/>
        </w:rPr>
        <w:t xml:space="preserve">Es una herramienta que procura la transparencia y agilidad en la gestión de la correspondencia oficial, que ingresa, que circula al interior, o que sale de la institución. También está orientado a dar soporte a la política de “cero papel”. </w:t>
      </w:r>
      <w:r w:rsidR="0004159C" w:rsidRPr="00BB231B">
        <w:rPr>
          <w:rStyle w:val="nfasissutil"/>
          <w:rFonts w:ascii="Times New Roman" w:hAnsi="Times New Roman" w:cs="Times New Roman"/>
          <w:color w:val="auto"/>
          <w:sz w:val="24"/>
          <w:szCs w:val="24"/>
          <w:lang w:val="es-DO"/>
        </w:rPr>
        <w:t xml:space="preserve"> El ciudadano puede monitorear el estatus de su comunicación a través de un acceso a la </w:t>
      </w:r>
      <w:r w:rsidR="00CF7118" w:rsidRPr="00BB231B">
        <w:rPr>
          <w:rStyle w:val="nfasissutil"/>
          <w:rFonts w:ascii="Times New Roman" w:hAnsi="Times New Roman" w:cs="Times New Roman"/>
          <w:color w:val="auto"/>
          <w:sz w:val="24"/>
          <w:szCs w:val="24"/>
          <w:lang w:val="es-DO"/>
        </w:rPr>
        <w:t>W</w:t>
      </w:r>
      <w:r w:rsidR="0004159C" w:rsidRPr="00BB231B">
        <w:rPr>
          <w:rStyle w:val="nfasissutil"/>
          <w:rFonts w:ascii="Times New Roman" w:hAnsi="Times New Roman" w:cs="Times New Roman"/>
          <w:color w:val="auto"/>
          <w:sz w:val="24"/>
          <w:szCs w:val="24"/>
          <w:lang w:val="es-DO"/>
        </w:rPr>
        <w:t>eb que se le entrega mediante acuse de recibo de la comunicación.</w:t>
      </w:r>
    </w:p>
    <w:p w:rsidR="003A006F" w:rsidRPr="00BB231B" w:rsidRDefault="003A006F" w:rsidP="0013776D">
      <w:pPr>
        <w:pStyle w:val="Normal-blanco"/>
        <w:numPr>
          <w:ilvl w:val="0"/>
          <w:numId w:val="48"/>
        </w:numPr>
        <w:spacing w:before="0" w:after="0" w:line="480" w:lineRule="auto"/>
        <w:ind w:right="199"/>
        <w:rPr>
          <w:rStyle w:val="nfasissutil"/>
          <w:rFonts w:ascii="Times New Roman" w:hAnsi="Times New Roman" w:cs="Times New Roman"/>
          <w:b/>
          <w:color w:val="auto"/>
          <w:sz w:val="24"/>
          <w:szCs w:val="24"/>
          <w:lang w:val="es-DO"/>
        </w:rPr>
      </w:pPr>
      <w:r w:rsidRPr="00BB231B">
        <w:rPr>
          <w:rStyle w:val="nfasissutil"/>
          <w:rFonts w:ascii="Times New Roman" w:hAnsi="Times New Roman" w:cs="Times New Roman"/>
          <w:b/>
          <w:color w:val="auto"/>
          <w:sz w:val="24"/>
          <w:szCs w:val="24"/>
          <w:lang w:val="es-DO"/>
        </w:rPr>
        <w:t>Sistema TRE Contratos</w:t>
      </w:r>
      <w:r w:rsidR="0004159C" w:rsidRPr="00BB231B">
        <w:rPr>
          <w:rStyle w:val="nfasissutil"/>
          <w:rFonts w:ascii="Times New Roman" w:hAnsi="Times New Roman" w:cs="Times New Roman"/>
          <w:color w:val="auto"/>
          <w:sz w:val="24"/>
          <w:szCs w:val="24"/>
          <w:lang w:val="es-DO"/>
        </w:rPr>
        <w:t xml:space="preserve">: </w:t>
      </w:r>
      <w:r w:rsidRPr="00BB231B">
        <w:rPr>
          <w:rStyle w:val="nfasissutil"/>
          <w:rFonts w:ascii="Times New Roman" w:hAnsi="Times New Roman" w:cs="Times New Roman"/>
          <w:color w:val="auto"/>
          <w:sz w:val="24"/>
          <w:szCs w:val="24"/>
          <w:lang w:val="es-DO"/>
        </w:rPr>
        <w:t>La Contraloría pone al servicio de todas las instituciones gubernamentales la oportunidad de auto servirse en la c</w:t>
      </w:r>
      <w:r w:rsidR="00D36571" w:rsidRPr="00BB231B">
        <w:rPr>
          <w:rStyle w:val="nfasissutil"/>
          <w:rFonts w:ascii="Times New Roman" w:hAnsi="Times New Roman" w:cs="Times New Roman"/>
          <w:color w:val="auto"/>
          <w:sz w:val="24"/>
          <w:szCs w:val="24"/>
          <w:lang w:val="es-DO"/>
        </w:rPr>
        <w:t>reación de la solicitud de los Registros de c</w:t>
      </w:r>
      <w:r w:rsidRPr="00BB231B">
        <w:rPr>
          <w:rStyle w:val="nfasissutil"/>
          <w:rFonts w:ascii="Times New Roman" w:hAnsi="Times New Roman" w:cs="Times New Roman"/>
          <w:color w:val="auto"/>
          <w:sz w:val="24"/>
          <w:szCs w:val="24"/>
          <w:lang w:val="es-DO"/>
        </w:rPr>
        <w:t xml:space="preserve">ontratos y saber en todo </w:t>
      </w:r>
      <w:r w:rsidRPr="00BB231B">
        <w:rPr>
          <w:rStyle w:val="nfasissutil"/>
          <w:rFonts w:ascii="Times New Roman" w:hAnsi="Times New Roman" w:cs="Times New Roman"/>
          <w:color w:val="auto"/>
          <w:sz w:val="24"/>
          <w:szCs w:val="24"/>
          <w:lang w:val="es-DO"/>
        </w:rPr>
        <w:lastRenderedPageBreak/>
        <w:t xml:space="preserve">momento el estatus actual de dicha solicitud, recibiendo de forma digital las certificaciones inmediatamente las mismas son aprobadas, reduciendo el tiempo de respuesta y haciendo el proceso más eficiente. </w:t>
      </w:r>
      <w:r w:rsidR="00D36571" w:rsidRPr="00BB231B">
        <w:rPr>
          <w:rStyle w:val="nfasissutil"/>
          <w:rFonts w:ascii="Times New Roman" w:hAnsi="Times New Roman" w:cs="Times New Roman"/>
          <w:color w:val="auto"/>
          <w:sz w:val="24"/>
          <w:szCs w:val="24"/>
          <w:lang w:val="es-DO"/>
        </w:rPr>
        <w:t xml:space="preserve">Durante el 2017 la CGR ha </w:t>
      </w:r>
      <w:r w:rsidR="00EB5CBD" w:rsidRPr="00BB231B">
        <w:rPr>
          <w:rStyle w:val="nfasissutil"/>
          <w:rFonts w:ascii="Times New Roman" w:hAnsi="Times New Roman" w:cs="Times New Roman"/>
          <w:color w:val="auto"/>
          <w:sz w:val="24"/>
          <w:szCs w:val="24"/>
          <w:lang w:val="es-DO"/>
        </w:rPr>
        <w:t>incorporado a 236 instituciones</w:t>
      </w:r>
      <w:r w:rsidRPr="00BB231B">
        <w:rPr>
          <w:rStyle w:val="nfasissutil"/>
          <w:rFonts w:ascii="Times New Roman" w:hAnsi="Times New Roman" w:cs="Times New Roman"/>
          <w:color w:val="auto"/>
          <w:sz w:val="24"/>
          <w:szCs w:val="24"/>
          <w:lang w:val="es-DO"/>
        </w:rPr>
        <w:t xml:space="preserve"> a </w:t>
      </w:r>
      <w:r w:rsidR="00CF7118" w:rsidRPr="00BB231B">
        <w:rPr>
          <w:rStyle w:val="nfasissutil"/>
          <w:rFonts w:ascii="Times New Roman" w:hAnsi="Times New Roman" w:cs="Times New Roman"/>
          <w:color w:val="auto"/>
          <w:sz w:val="24"/>
          <w:szCs w:val="24"/>
          <w:lang w:val="es-DO"/>
        </w:rPr>
        <w:t>tramitar</w:t>
      </w:r>
      <w:r w:rsidRPr="00BB231B">
        <w:rPr>
          <w:rStyle w:val="nfasissutil"/>
          <w:rFonts w:ascii="Times New Roman" w:hAnsi="Times New Roman" w:cs="Times New Roman"/>
          <w:color w:val="auto"/>
          <w:sz w:val="24"/>
          <w:szCs w:val="24"/>
          <w:lang w:val="es-DO"/>
        </w:rPr>
        <w:t xml:space="preserve"> directamente las solicitudes de Registro de Contratos e incluye a la UAI</w:t>
      </w:r>
      <w:r w:rsidR="00EB5CBD" w:rsidRPr="00BB231B">
        <w:rPr>
          <w:rStyle w:val="nfasissutil"/>
          <w:rFonts w:ascii="Times New Roman" w:hAnsi="Times New Roman" w:cs="Times New Roman"/>
          <w:color w:val="auto"/>
          <w:sz w:val="24"/>
          <w:szCs w:val="24"/>
          <w:lang w:val="es-DO"/>
        </w:rPr>
        <w:t xml:space="preserve"> como parte del proceso de </w:t>
      </w:r>
      <w:r w:rsidR="001C3111" w:rsidRPr="00BB231B">
        <w:rPr>
          <w:rStyle w:val="nfasissutil"/>
          <w:rFonts w:ascii="Times New Roman" w:hAnsi="Times New Roman" w:cs="Times New Roman"/>
          <w:color w:val="auto"/>
          <w:sz w:val="24"/>
          <w:szCs w:val="24"/>
          <w:lang w:val="es-DO"/>
        </w:rPr>
        <w:t>revisión y</w:t>
      </w:r>
      <w:r w:rsidR="00D33DA1" w:rsidRPr="00BB231B">
        <w:rPr>
          <w:rStyle w:val="nfasissutil"/>
          <w:rFonts w:ascii="Times New Roman" w:hAnsi="Times New Roman" w:cs="Times New Roman"/>
          <w:color w:val="auto"/>
          <w:sz w:val="24"/>
          <w:szCs w:val="24"/>
          <w:lang w:val="es-DO"/>
        </w:rPr>
        <w:t xml:space="preserve"> control</w:t>
      </w:r>
      <w:r w:rsidR="001C3111" w:rsidRPr="00BB231B">
        <w:rPr>
          <w:rStyle w:val="nfasissutil"/>
          <w:rFonts w:ascii="Times New Roman" w:hAnsi="Times New Roman" w:cs="Times New Roman"/>
          <w:color w:val="auto"/>
          <w:sz w:val="24"/>
          <w:szCs w:val="24"/>
          <w:lang w:val="es-DO"/>
        </w:rPr>
        <w:t xml:space="preserve"> del cumplimiento de las normativas</w:t>
      </w:r>
      <w:r w:rsidR="00D33DA1" w:rsidRPr="00BB231B">
        <w:rPr>
          <w:rStyle w:val="nfasissutil"/>
          <w:rFonts w:ascii="Times New Roman" w:hAnsi="Times New Roman" w:cs="Times New Roman"/>
          <w:color w:val="auto"/>
          <w:sz w:val="24"/>
          <w:szCs w:val="24"/>
          <w:lang w:val="es-DO"/>
        </w:rPr>
        <w:t xml:space="preserve"> </w:t>
      </w:r>
      <w:r w:rsidRPr="00BB231B">
        <w:rPr>
          <w:rStyle w:val="nfasissutil"/>
          <w:rFonts w:ascii="Times New Roman" w:hAnsi="Times New Roman" w:cs="Times New Roman"/>
          <w:color w:val="auto"/>
          <w:sz w:val="24"/>
          <w:szCs w:val="24"/>
          <w:lang w:val="es-DO"/>
        </w:rPr>
        <w:t>(Unidad de Auditoría Interna).</w:t>
      </w:r>
    </w:p>
    <w:p w:rsidR="003A006F" w:rsidRPr="00BB231B" w:rsidRDefault="003A006F" w:rsidP="0013776D">
      <w:pPr>
        <w:pStyle w:val="Normal-blanco"/>
        <w:numPr>
          <w:ilvl w:val="0"/>
          <w:numId w:val="48"/>
        </w:numPr>
        <w:spacing w:before="0" w:after="0" w:line="480" w:lineRule="auto"/>
        <w:ind w:right="19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b/>
          <w:color w:val="auto"/>
          <w:sz w:val="24"/>
          <w:szCs w:val="24"/>
          <w:lang w:val="es-DO"/>
        </w:rPr>
        <w:t>Sistema TRE Pagos</w:t>
      </w:r>
      <w:r w:rsidR="0092445B" w:rsidRPr="00BB231B">
        <w:rPr>
          <w:rStyle w:val="nfasissutil"/>
          <w:rFonts w:ascii="Times New Roman" w:hAnsi="Times New Roman" w:cs="Times New Roman"/>
          <w:color w:val="auto"/>
          <w:sz w:val="24"/>
          <w:szCs w:val="24"/>
          <w:lang w:val="es-DO"/>
        </w:rPr>
        <w:t>: Esta</w:t>
      </w:r>
      <w:r w:rsidRPr="00BB231B">
        <w:rPr>
          <w:rStyle w:val="nfasissutil"/>
          <w:rFonts w:ascii="Times New Roman" w:hAnsi="Times New Roman" w:cs="Times New Roman"/>
          <w:color w:val="auto"/>
          <w:sz w:val="24"/>
          <w:szCs w:val="24"/>
          <w:lang w:val="es-DO"/>
        </w:rPr>
        <w:t xml:space="preserve"> herramienta permite a las instituciones gubernamentales realizar sus solicitudes y realizar las validaciones en línea del cumplimiento de los requisitos según el tipo de pago que se vaya a realizar. Cada tipo de trámite ha sido definido en el sistema con todos los requisitos que la ley exige. El sistema TRE hace la validación en línea y permite anexar las evidencias que sustentan el trámite de los expedientes. Con este sistema los proveedores y beneficiarios del Estado podrán saber el estatus de su solicitud de pago, desde el momento en que la institución genera la propuesta de solicitud hasta la de aprobación del mismo.</w:t>
      </w:r>
    </w:p>
    <w:p w:rsidR="003A006F" w:rsidRPr="00BB231B" w:rsidRDefault="003A006F" w:rsidP="0013776D">
      <w:pPr>
        <w:pStyle w:val="Normal-blanco"/>
        <w:numPr>
          <w:ilvl w:val="0"/>
          <w:numId w:val="48"/>
        </w:numPr>
        <w:spacing w:before="0" w:after="0" w:line="480" w:lineRule="auto"/>
        <w:ind w:right="199"/>
        <w:rPr>
          <w:rStyle w:val="nfasissutil"/>
          <w:rFonts w:ascii="Times New Roman" w:hAnsi="Times New Roman" w:cs="Times New Roman"/>
          <w:b/>
          <w:color w:val="auto"/>
          <w:sz w:val="24"/>
          <w:szCs w:val="24"/>
          <w:lang w:val="es-DO"/>
        </w:rPr>
      </w:pPr>
      <w:r w:rsidRPr="00BB231B">
        <w:rPr>
          <w:rStyle w:val="nfasissutil"/>
          <w:rFonts w:ascii="Times New Roman" w:hAnsi="Times New Roman" w:cs="Times New Roman"/>
          <w:b/>
          <w:color w:val="auto"/>
          <w:sz w:val="24"/>
          <w:szCs w:val="24"/>
          <w:lang w:val="es-DO"/>
        </w:rPr>
        <w:t>Consulta en línea Órdenes de Pago a los proveedores del Estado</w:t>
      </w:r>
    </w:p>
    <w:p w:rsidR="003A006F" w:rsidRPr="00BB231B" w:rsidRDefault="003A006F" w:rsidP="0013776D">
      <w:pPr>
        <w:pStyle w:val="Normal-blanco"/>
        <w:numPr>
          <w:ilvl w:val="0"/>
          <w:numId w:val="27"/>
        </w:numPr>
        <w:spacing w:before="0" w:after="0" w:line="480" w:lineRule="auto"/>
        <w:ind w:right="19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color w:val="auto"/>
          <w:sz w:val="24"/>
          <w:szCs w:val="24"/>
          <w:lang w:val="es-DO"/>
        </w:rPr>
        <w:t>Este sistema de consulta se desarrolló con el objetivo de que los proveedores del Estado puedan verificar el status de su orden de pago a través del portal web de la Contraloría General de la República.</w:t>
      </w:r>
    </w:p>
    <w:p w:rsidR="003A006F" w:rsidRPr="00BB231B" w:rsidRDefault="003A006F" w:rsidP="005C5140">
      <w:pPr>
        <w:pStyle w:val="Normal-blanco"/>
        <w:spacing w:before="0" w:after="0" w:line="480" w:lineRule="auto"/>
        <w:ind w:left="1134" w:right="199"/>
        <w:rPr>
          <w:rStyle w:val="nfasissutil"/>
          <w:rFonts w:ascii="Times New Roman" w:hAnsi="Times New Roman" w:cs="Times New Roman"/>
          <w:color w:val="auto"/>
          <w:sz w:val="24"/>
          <w:szCs w:val="24"/>
          <w:lang w:val="es-DO"/>
        </w:rPr>
      </w:pPr>
    </w:p>
    <w:p w:rsidR="003A006F" w:rsidRPr="00BB231B" w:rsidRDefault="003A006F" w:rsidP="0013776D">
      <w:pPr>
        <w:pStyle w:val="Normal-blanco"/>
        <w:numPr>
          <w:ilvl w:val="0"/>
          <w:numId w:val="48"/>
        </w:numPr>
        <w:spacing w:before="0" w:after="0" w:line="480" w:lineRule="auto"/>
        <w:ind w:right="19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color w:val="auto"/>
          <w:sz w:val="24"/>
          <w:szCs w:val="24"/>
          <w:lang w:val="es-DO"/>
        </w:rPr>
        <w:t>La institución dispone de un program</w:t>
      </w:r>
      <w:r w:rsidR="00035DAC" w:rsidRPr="00BB231B">
        <w:rPr>
          <w:rStyle w:val="nfasissutil"/>
          <w:rFonts w:ascii="Times New Roman" w:hAnsi="Times New Roman" w:cs="Times New Roman"/>
          <w:color w:val="auto"/>
          <w:sz w:val="24"/>
          <w:szCs w:val="24"/>
          <w:lang w:val="es-DO"/>
        </w:rPr>
        <w:t>a llamado “Aula Transparente</w:t>
      </w:r>
      <w:r w:rsidRPr="00BB231B">
        <w:rPr>
          <w:rStyle w:val="nfasissutil"/>
          <w:rFonts w:ascii="Times New Roman" w:hAnsi="Times New Roman" w:cs="Times New Roman"/>
          <w:color w:val="auto"/>
          <w:sz w:val="24"/>
          <w:szCs w:val="24"/>
          <w:lang w:val="es-DO"/>
        </w:rPr>
        <w:t xml:space="preserve">”, en el cual pone a disposición de la ciudadanía todos los recursos necesarios para que accedan a las instalaciones donde se ejecutan todos los procesos claves, para posteriormente tener un encuentro con el Sr. Contralor, y obtener de primera mano información de todo lo concerniente al proceso de Control Interno. Asimismo, se destaca en la página </w:t>
      </w:r>
      <w:r w:rsidR="00F7089A" w:rsidRPr="00BB231B">
        <w:rPr>
          <w:rStyle w:val="nfasissutil"/>
          <w:rFonts w:ascii="Times New Roman" w:hAnsi="Times New Roman" w:cs="Times New Roman"/>
          <w:color w:val="auto"/>
          <w:sz w:val="24"/>
          <w:szCs w:val="24"/>
          <w:lang w:val="es-DO"/>
        </w:rPr>
        <w:t>W</w:t>
      </w:r>
      <w:r w:rsidRPr="00BB231B">
        <w:rPr>
          <w:rStyle w:val="nfasissutil"/>
          <w:rFonts w:ascii="Times New Roman" w:hAnsi="Times New Roman" w:cs="Times New Roman"/>
          <w:color w:val="auto"/>
          <w:sz w:val="24"/>
          <w:szCs w:val="24"/>
          <w:lang w:val="es-DO"/>
        </w:rPr>
        <w:t>eb el enlace para acceder a una encuesta que facilita la especificación de puntos de mejoras, según sea la percepción del ciudadano/cliente.</w:t>
      </w:r>
    </w:p>
    <w:p w:rsidR="003A006F" w:rsidRPr="00BB231B" w:rsidRDefault="003A006F" w:rsidP="0013776D">
      <w:pPr>
        <w:pStyle w:val="Normal-blanco"/>
        <w:numPr>
          <w:ilvl w:val="0"/>
          <w:numId w:val="48"/>
        </w:numPr>
        <w:spacing w:before="0" w:after="0" w:line="480" w:lineRule="auto"/>
        <w:ind w:right="19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color w:val="auto"/>
          <w:sz w:val="24"/>
          <w:szCs w:val="24"/>
          <w:lang w:val="es-DO"/>
        </w:rPr>
        <w:t>La institución posee medios digitales (redes sociales y correo de sugerencias), número telefónico, línea 311, un buzón de sugerencias/comentarios/opiniones en la recepción, parqueo, y demás áreas, además encuestas de sugerencias/opiniones.</w:t>
      </w:r>
    </w:p>
    <w:p w:rsidR="00AD768F" w:rsidRPr="00BB231B" w:rsidRDefault="003A006F" w:rsidP="0013776D">
      <w:pPr>
        <w:pStyle w:val="Normal-blanco"/>
        <w:numPr>
          <w:ilvl w:val="0"/>
          <w:numId w:val="48"/>
        </w:numPr>
        <w:spacing w:before="0" w:after="0" w:line="480" w:lineRule="auto"/>
        <w:ind w:right="199"/>
        <w:rPr>
          <w:rStyle w:val="nfasissutil"/>
          <w:rFonts w:ascii="Times New Roman" w:hAnsi="Times New Roman" w:cs="Times New Roman"/>
          <w:color w:val="auto"/>
          <w:sz w:val="24"/>
          <w:szCs w:val="24"/>
          <w:lang w:val="es-DO"/>
        </w:rPr>
      </w:pPr>
      <w:r w:rsidRPr="00BB231B">
        <w:rPr>
          <w:rStyle w:val="nfasissutil"/>
          <w:rFonts w:ascii="Times New Roman" w:hAnsi="Times New Roman" w:cs="Times New Roman"/>
          <w:color w:val="auto"/>
          <w:sz w:val="24"/>
          <w:szCs w:val="24"/>
          <w:lang w:val="es-DO"/>
        </w:rPr>
        <w:t xml:space="preserve">La Contraloría se destaca por ser una organización transparente, cumplidora del código de ética institucional y servir de modelo a otras instituciones. Parte de esto se evidencia en el </w:t>
      </w:r>
      <w:r w:rsidRPr="00BB231B">
        <w:rPr>
          <w:rStyle w:val="nfasissutil"/>
          <w:rFonts w:ascii="Times New Roman" w:hAnsi="Times New Roman" w:cs="Times New Roman"/>
          <w:b/>
          <w:color w:val="auto"/>
          <w:sz w:val="24"/>
          <w:szCs w:val="24"/>
          <w:lang w:val="es-DO"/>
        </w:rPr>
        <w:t>apartado de transparencia contenido en la</w:t>
      </w:r>
      <w:r w:rsidRPr="00BB231B">
        <w:rPr>
          <w:rStyle w:val="nfasissutil"/>
          <w:rFonts w:ascii="Times New Roman" w:hAnsi="Times New Roman" w:cs="Times New Roman"/>
          <w:color w:val="auto"/>
          <w:sz w:val="24"/>
          <w:szCs w:val="24"/>
          <w:lang w:val="es-DO"/>
        </w:rPr>
        <w:t xml:space="preserve"> </w:t>
      </w:r>
      <w:r w:rsidRPr="00BB231B">
        <w:rPr>
          <w:rStyle w:val="nfasissutil"/>
          <w:rFonts w:ascii="Times New Roman" w:hAnsi="Times New Roman" w:cs="Times New Roman"/>
          <w:b/>
          <w:color w:val="auto"/>
          <w:sz w:val="24"/>
          <w:szCs w:val="24"/>
          <w:lang w:val="es-DO"/>
        </w:rPr>
        <w:t xml:space="preserve">página </w:t>
      </w:r>
      <w:r w:rsidR="00F7089A" w:rsidRPr="00BB231B">
        <w:rPr>
          <w:rStyle w:val="nfasissutil"/>
          <w:rFonts w:ascii="Times New Roman" w:hAnsi="Times New Roman" w:cs="Times New Roman"/>
          <w:b/>
          <w:color w:val="auto"/>
          <w:sz w:val="24"/>
          <w:szCs w:val="24"/>
          <w:lang w:val="es-DO"/>
        </w:rPr>
        <w:t>W</w:t>
      </w:r>
      <w:r w:rsidRPr="00BB231B">
        <w:rPr>
          <w:rStyle w:val="nfasissutil"/>
          <w:rFonts w:ascii="Times New Roman" w:hAnsi="Times New Roman" w:cs="Times New Roman"/>
          <w:b/>
          <w:color w:val="auto"/>
          <w:sz w:val="24"/>
          <w:szCs w:val="24"/>
          <w:lang w:val="es-DO"/>
        </w:rPr>
        <w:t>eb institucional</w:t>
      </w:r>
      <w:r w:rsidRPr="00BB231B">
        <w:rPr>
          <w:rStyle w:val="nfasissutil"/>
          <w:rFonts w:ascii="Times New Roman" w:hAnsi="Times New Roman" w:cs="Times New Roman"/>
          <w:color w:val="auto"/>
          <w:sz w:val="24"/>
          <w:szCs w:val="24"/>
          <w:lang w:val="es-DO"/>
        </w:rPr>
        <w:t>, en el cual publica información general de la institución, sus servicios, marco legal, presupuesto, licitaciones de compra</w:t>
      </w:r>
      <w:r w:rsidR="00F7089A" w:rsidRPr="00BB231B">
        <w:rPr>
          <w:rStyle w:val="nfasissutil"/>
          <w:rFonts w:ascii="Times New Roman" w:hAnsi="Times New Roman" w:cs="Times New Roman"/>
          <w:color w:val="auto"/>
          <w:sz w:val="24"/>
          <w:szCs w:val="24"/>
          <w:lang w:val="es-DO"/>
        </w:rPr>
        <w:t>s de obras, bienes</w:t>
      </w:r>
      <w:r w:rsidRPr="00BB231B">
        <w:rPr>
          <w:rStyle w:val="nfasissutil"/>
          <w:rFonts w:ascii="Times New Roman" w:hAnsi="Times New Roman" w:cs="Times New Roman"/>
          <w:color w:val="auto"/>
          <w:sz w:val="24"/>
          <w:szCs w:val="24"/>
          <w:lang w:val="es-DO"/>
        </w:rPr>
        <w:t xml:space="preserve"> y servicios, nómina, plan estratégico, plan anual de compras, entre otros documentos. Además posee un sistema de consulta que permite a los </w:t>
      </w:r>
      <w:r w:rsidRPr="00BB231B">
        <w:rPr>
          <w:rStyle w:val="nfasissutil"/>
          <w:rFonts w:ascii="Times New Roman" w:hAnsi="Times New Roman" w:cs="Times New Roman"/>
          <w:color w:val="auto"/>
          <w:sz w:val="24"/>
          <w:szCs w:val="24"/>
          <w:lang w:val="es-DO"/>
        </w:rPr>
        <w:lastRenderedPageBreak/>
        <w:t xml:space="preserve">ciudadanos/clientes indagar sobre el estatus de sus órdenes de pago y contratos. </w:t>
      </w:r>
    </w:p>
    <w:p w:rsidR="00CF210B" w:rsidRPr="00BB231B" w:rsidRDefault="003A006F" w:rsidP="0013776D">
      <w:pPr>
        <w:pStyle w:val="Prrafodelista"/>
        <w:numPr>
          <w:ilvl w:val="0"/>
          <w:numId w:val="48"/>
        </w:numPr>
        <w:autoSpaceDE w:val="0"/>
        <w:autoSpaceDN w:val="0"/>
        <w:adjustRightInd w:val="0"/>
        <w:spacing w:after="0" w:line="480" w:lineRule="auto"/>
        <w:rPr>
          <w:rFonts w:ascii="Times New Roman" w:hAnsi="Times New Roman" w:cs="Times New Roman"/>
          <w:color w:val="auto"/>
          <w:sz w:val="24"/>
          <w:szCs w:val="24"/>
          <w:lang w:eastAsia="es-ES"/>
        </w:rPr>
      </w:pPr>
      <w:r w:rsidRPr="00BB231B">
        <w:rPr>
          <w:rFonts w:ascii="Times New Roman" w:hAnsi="Times New Roman" w:cs="Times New Roman"/>
          <w:color w:val="auto"/>
          <w:sz w:val="24"/>
          <w:szCs w:val="24"/>
          <w:lang w:eastAsia="es-ES"/>
        </w:rPr>
        <w:t>La</w:t>
      </w:r>
      <w:r w:rsidR="00170BDD" w:rsidRPr="00BB231B">
        <w:rPr>
          <w:rFonts w:ascii="Times New Roman" w:hAnsi="Times New Roman" w:cs="Times New Roman"/>
          <w:color w:val="auto"/>
          <w:sz w:val="24"/>
          <w:szCs w:val="24"/>
          <w:lang w:eastAsia="es-ES"/>
        </w:rPr>
        <w:t xml:space="preserve"> Contraloría General, ha obtenido de manera ininterrumpida, una calificación de 100% de cumplimiento de las políticas de gobierno abierto monitoreadas por </w:t>
      </w:r>
      <w:r w:rsidR="00170BDD" w:rsidRPr="00BB231B">
        <w:rPr>
          <w:rFonts w:ascii="Times New Roman" w:hAnsi="Times New Roman" w:cs="Times New Roman"/>
          <w:color w:val="auto"/>
          <w:sz w:val="24"/>
          <w:szCs w:val="24"/>
        </w:rPr>
        <w:t>la Dirección General de Ética e Integridad Gubernamental (DIGEIG), debido a la correcta actualización y estandarización de nuestra sección Transparencia, lo cual evidencia que somos un referente en transparencia y buenas prácticas.</w:t>
      </w:r>
    </w:p>
    <w:p w:rsidR="00CF210B" w:rsidRPr="00BB231B" w:rsidRDefault="00170BDD" w:rsidP="0013776D">
      <w:pPr>
        <w:pStyle w:val="Prrafodelista"/>
        <w:numPr>
          <w:ilvl w:val="0"/>
          <w:numId w:val="48"/>
        </w:numPr>
        <w:autoSpaceDE w:val="0"/>
        <w:autoSpaceDN w:val="0"/>
        <w:adjustRightInd w:val="0"/>
        <w:spacing w:after="0" w:line="480" w:lineRule="auto"/>
        <w:rPr>
          <w:rFonts w:ascii="Times New Roman" w:hAnsi="Times New Roman" w:cs="Times New Roman"/>
          <w:color w:val="auto"/>
          <w:sz w:val="24"/>
          <w:szCs w:val="24"/>
          <w:lang w:eastAsia="es-ES"/>
        </w:rPr>
      </w:pPr>
      <w:r w:rsidRPr="00BB231B">
        <w:rPr>
          <w:rFonts w:ascii="Times New Roman" w:hAnsi="Times New Roman" w:cs="Times New Roman"/>
          <w:color w:val="auto"/>
          <w:sz w:val="24"/>
          <w:szCs w:val="24"/>
        </w:rPr>
        <w:t xml:space="preserve">La </w:t>
      </w:r>
      <w:r w:rsidR="00F7089A" w:rsidRPr="00BB231B">
        <w:rPr>
          <w:rFonts w:ascii="Times New Roman" w:hAnsi="Times New Roman" w:cs="Times New Roman"/>
          <w:color w:val="auto"/>
          <w:sz w:val="24"/>
          <w:szCs w:val="24"/>
        </w:rPr>
        <w:t>Oficina de Acceso a la Información (</w:t>
      </w:r>
      <w:r w:rsidRPr="00BB231B">
        <w:rPr>
          <w:rFonts w:ascii="Times New Roman" w:hAnsi="Times New Roman" w:cs="Times New Roman"/>
          <w:color w:val="auto"/>
          <w:sz w:val="24"/>
          <w:szCs w:val="24"/>
        </w:rPr>
        <w:t>OAI</w:t>
      </w:r>
      <w:r w:rsidR="00F7089A"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de la CGR fue seleccionada por la Dirección General de Ética e Integridad Gubernamental (DIGEI</w:t>
      </w:r>
      <w:r w:rsidR="00F7089A" w:rsidRPr="00BB231B">
        <w:rPr>
          <w:rFonts w:ascii="Times New Roman" w:hAnsi="Times New Roman" w:cs="Times New Roman"/>
          <w:color w:val="auto"/>
          <w:sz w:val="24"/>
          <w:szCs w:val="24"/>
        </w:rPr>
        <w:t>G</w:t>
      </w:r>
      <w:r w:rsidRPr="00BB231B">
        <w:rPr>
          <w:rFonts w:ascii="Times New Roman" w:hAnsi="Times New Roman" w:cs="Times New Roman"/>
          <w:color w:val="auto"/>
          <w:sz w:val="24"/>
          <w:szCs w:val="24"/>
        </w:rPr>
        <w:t>) para la puesta en marcha del Plan de Implementación del Portal Único de Solicitud de Información Pública de tan importante herramienta enfocada en el fortalecimiento de la transparencia y el Libre Acceso a la Información.</w:t>
      </w:r>
    </w:p>
    <w:p w:rsidR="00C92F1D" w:rsidRPr="00BB231B" w:rsidRDefault="00F7089A" w:rsidP="0013776D">
      <w:pPr>
        <w:pStyle w:val="Prrafodelista"/>
        <w:numPr>
          <w:ilvl w:val="0"/>
          <w:numId w:val="48"/>
        </w:numPr>
        <w:autoSpaceDE w:val="0"/>
        <w:autoSpaceDN w:val="0"/>
        <w:adjustRightInd w:val="0"/>
        <w:spacing w:after="0" w:line="480" w:lineRule="auto"/>
        <w:rPr>
          <w:rFonts w:ascii="Times New Roman" w:hAnsi="Times New Roman" w:cs="Times New Roman"/>
          <w:color w:val="auto"/>
          <w:sz w:val="24"/>
          <w:szCs w:val="24"/>
          <w:lang w:eastAsia="es-ES"/>
        </w:rPr>
      </w:pPr>
      <w:r w:rsidRPr="00BB231B">
        <w:rPr>
          <w:rFonts w:ascii="Times New Roman" w:hAnsi="Times New Roman" w:cs="Times New Roman"/>
          <w:color w:val="auto"/>
          <w:sz w:val="24"/>
          <w:szCs w:val="24"/>
          <w:lang w:eastAsia="es-ES"/>
        </w:rPr>
        <w:t>Dentro de las buenas prá</w:t>
      </w:r>
      <w:r w:rsidR="00170BDD" w:rsidRPr="00BB231B">
        <w:rPr>
          <w:rFonts w:ascii="Times New Roman" w:hAnsi="Times New Roman" w:cs="Times New Roman"/>
          <w:color w:val="auto"/>
          <w:sz w:val="24"/>
          <w:szCs w:val="24"/>
          <w:lang w:eastAsia="es-ES"/>
        </w:rPr>
        <w:t>cticas que llevamos a cabo, sin afectar en la calidad, ni prontitud en las respuestas ofrecidas a los ciudadanos, del porcentaje de solicitudes recibidas en el presente año podemos destacar que se ha respondido en un 33% nuestras solicitudes en un lapso de 6 días hábiles contados a partir de la solicitud, siendo esto  menos de un tercio del plazo de 15 días concedido por la Ley 200-04 de Libre Acceso a la Información Pública.</w:t>
      </w:r>
    </w:p>
    <w:p w:rsidR="00170BDD" w:rsidRPr="00BB231B" w:rsidRDefault="00170BDD" w:rsidP="00A73663">
      <w:pPr>
        <w:pStyle w:val="Ttulo1"/>
        <w:spacing w:line="480" w:lineRule="auto"/>
        <w:ind w:left="0"/>
        <w:rPr>
          <w:rFonts w:ascii="Times New Roman" w:hAnsi="Times New Roman" w:cs="Times New Roman"/>
          <w:b/>
          <w:color w:val="auto"/>
          <w:sz w:val="28"/>
          <w:szCs w:val="24"/>
        </w:rPr>
      </w:pPr>
      <w:bookmarkStart w:id="58" w:name="_Toc332182543"/>
      <w:bookmarkStart w:id="59" w:name="_Toc500858022"/>
      <w:bookmarkStart w:id="60" w:name="_Toc500858172"/>
      <w:bookmarkStart w:id="61" w:name="_Toc500858686"/>
      <w:bookmarkStart w:id="62" w:name="_Toc500918598"/>
      <w:r w:rsidRPr="00BB231B">
        <w:rPr>
          <w:rFonts w:ascii="Times New Roman" w:hAnsi="Times New Roman" w:cs="Times New Roman"/>
          <w:b/>
          <w:color w:val="auto"/>
          <w:sz w:val="28"/>
          <w:szCs w:val="24"/>
        </w:rPr>
        <w:t>Estadísticas Generales</w:t>
      </w:r>
      <w:bookmarkEnd w:id="58"/>
      <w:bookmarkEnd w:id="59"/>
      <w:bookmarkEnd w:id="60"/>
      <w:bookmarkEnd w:id="61"/>
      <w:bookmarkEnd w:id="62"/>
    </w:p>
    <w:p w:rsidR="00AF2702" w:rsidRPr="004B71D0" w:rsidRDefault="00AF2702" w:rsidP="004B71D0">
      <w:pPr>
        <w:pStyle w:val="Normal-blanco"/>
        <w:spacing w:before="0" w:after="0" w:line="480" w:lineRule="auto"/>
        <w:ind w:right="199" w:firstLine="709"/>
        <w:rPr>
          <w:rStyle w:val="nfasissutil"/>
          <w:rFonts w:ascii="Times New Roman" w:hAnsi="Times New Roman" w:cs="Times New Roman"/>
          <w:color w:val="auto"/>
          <w:sz w:val="24"/>
          <w:szCs w:val="24"/>
          <w:lang w:val="es-DO"/>
        </w:rPr>
      </w:pPr>
      <w:r w:rsidRPr="004B71D0">
        <w:rPr>
          <w:rStyle w:val="nfasissutil"/>
          <w:rFonts w:ascii="Times New Roman" w:hAnsi="Times New Roman" w:cs="Times New Roman"/>
          <w:color w:val="auto"/>
          <w:sz w:val="24"/>
          <w:szCs w:val="24"/>
          <w:lang w:val="es-DO"/>
        </w:rPr>
        <w:lastRenderedPageBreak/>
        <w:t>A continuación se desglosan los datos que reflejan las operacio</w:t>
      </w:r>
      <w:r w:rsidR="006A6958" w:rsidRPr="004B71D0">
        <w:rPr>
          <w:rStyle w:val="nfasissutil"/>
          <w:rFonts w:ascii="Times New Roman" w:hAnsi="Times New Roman" w:cs="Times New Roman"/>
          <w:color w:val="auto"/>
          <w:sz w:val="24"/>
          <w:szCs w:val="24"/>
          <w:lang w:val="es-DO"/>
        </w:rPr>
        <w:t xml:space="preserve">nes realizadas por </w:t>
      </w:r>
      <w:r w:rsidR="00F7089A" w:rsidRPr="004B71D0">
        <w:rPr>
          <w:rStyle w:val="nfasissutil"/>
          <w:rFonts w:ascii="Times New Roman" w:hAnsi="Times New Roman" w:cs="Times New Roman"/>
          <w:color w:val="auto"/>
          <w:sz w:val="24"/>
          <w:szCs w:val="24"/>
          <w:lang w:val="es-DO"/>
        </w:rPr>
        <w:t>la Oficina de Acceso a la Información</w:t>
      </w:r>
      <w:r w:rsidR="006A6958" w:rsidRPr="004B71D0">
        <w:rPr>
          <w:rStyle w:val="nfasissutil"/>
          <w:rFonts w:ascii="Times New Roman" w:hAnsi="Times New Roman" w:cs="Times New Roman"/>
          <w:color w:val="auto"/>
          <w:sz w:val="24"/>
          <w:szCs w:val="24"/>
          <w:lang w:val="es-DO"/>
        </w:rPr>
        <w:t xml:space="preserve"> </w:t>
      </w:r>
      <w:r w:rsidRPr="004B71D0">
        <w:rPr>
          <w:rStyle w:val="nfasissutil"/>
          <w:rFonts w:ascii="Times New Roman" w:hAnsi="Times New Roman" w:cs="Times New Roman"/>
          <w:color w:val="auto"/>
          <w:sz w:val="24"/>
          <w:szCs w:val="24"/>
          <w:lang w:val="es-DO"/>
        </w:rPr>
        <w:t xml:space="preserve">durante el transcurso del año, </w:t>
      </w:r>
      <w:r w:rsidR="008741DB" w:rsidRPr="004B71D0">
        <w:rPr>
          <w:rStyle w:val="nfasissutil"/>
          <w:rFonts w:ascii="Times New Roman" w:hAnsi="Times New Roman" w:cs="Times New Roman"/>
          <w:color w:val="auto"/>
          <w:sz w:val="24"/>
          <w:szCs w:val="24"/>
          <w:lang w:val="es-DO"/>
        </w:rPr>
        <w:t>puntualizando</w:t>
      </w:r>
      <w:r w:rsidRPr="004B71D0">
        <w:rPr>
          <w:rStyle w:val="nfasissutil"/>
          <w:rFonts w:ascii="Times New Roman" w:hAnsi="Times New Roman" w:cs="Times New Roman"/>
          <w:color w:val="auto"/>
          <w:sz w:val="24"/>
          <w:szCs w:val="24"/>
          <w:lang w:val="es-DO"/>
        </w:rPr>
        <w:t xml:space="preserve"> en primera instancia que, en el periodo especificado se recibieron un total de 370 solicitudes de información, con un promedio de 30 tramitaciones mensuales.</w:t>
      </w:r>
    </w:p>
    <w:p w:rsidR="00AF2702" w:rsidRPr="00BB231B" w:rsidRDefault="00AF2702" w:rsidP="00A73663">
      <w:pPr>
        <w:spacing w:after="0" w:line="480" w:lineRule="auto"/>
        <w:jc w:val="center"/>
        <w:rPr>
          <w:rFonts w:ascii="Times New Roman" w:eastAsia="Times New Roman" w:hAnsi="Times New Roman" w:cs="Times New Roman"/>
          <w:b/>
          <w:bCs/>
          <w:noProof/>
          <w:sz w:val="28"/>
          <w:szCs w:val="28"/>
          <w:lang w:eastAsia="es-ES"/>
        </w:rPr>
      </w:pPr>
      <w:r w:rsidRPr="00BB231B">
        <w:rPr>
          <w:rFonts w:ascii="Times New Roman" w:eastAsia="Times New Roman" w:hAnsi="Times New Roman" w:cs="Times New Roman"/>
          <w:b/>
          <w:bCs/>
          <w:noProof/>
          <w:sz w:val="28"/>
          <w:szCs w:val="28"/>
          <w:lang w:eastAsia="es-ES"/>
        </w:rPr>
        <w:t>Hasta el 1ero de Diciembre 2017</w:t>
      </w:r>
    </w:p>
    <w:tbl>
      <w:tblPr>
        <w:tblW w:w="10564" w:type="dxa"/>
        <w:jc w:val="center"/>
        <w:tblCellMar>
          <w:left w:w="70" w:type="dxa"/>
          <w:right w:w="70" w:type="dxa"/>
        </w:tblCellMar>
        <w:tblLook w:val="04A0" w:firstRow="1" w:lastRow="0" w:firstColumn="1" w:lastColumn="0" w:noHBand="0" w:noVBand="1"/>
      </w:tblPr>
      <w:tblGrid>
        <w:gridCol w:w="646"/>
        <w:gridCol w:w="610"/>
        <w:gridCol w:w="764"/>
        <w:gridCol w:w="650"/>
        <w:gridCol w:w="551"/>
        <w:gridCol w:w="580"/>
        <w:gridCol w:w="571"/>
        <w:gridCol w:w="521"/>
        <w:gridCol w:w="702"/>
        <w:gridCol w:w="1050"/>
        <w:gridCol w:w="780"/>
        <w:gridCol w:w="1005"/>
        <w:gridCol w:w="1134"/>
        <w:gridCol w:w="1000"/>
      </w:tblGrid>
      <w:tr w:rsidR="00AF2702" w:rsidRPr="00BB231B" w:rsidTr="00906BCF">
        <w:trPr>
          <w:trHeight w:val="287"/>
          <w:jc w:val="center"/>
        </w:trPr>
        <w:tc>
          <w:tcPr>
            <w:tcW w:w="646" w:type="dxa"/>
            <w:tcBorders>
              <w:top w:val="nil"/>
              <w:left w:val="nil"/>
              <w:bottom w:val="nil"/>
              <w:right w:val="nil"/>
            </w:tcBorders>
            <w:shd w:val="clear" w:color="000000" w:fill="FFFFFF"/>
            <w:noWrap/>
            <w:vAlign w:val="center"/>
            <w:hideMark/>
          </w:tcPr>
          <w:p w:rsidR="00AF2702" w:rsidRPr="00BB231B" w:rsidRDefault="00AF2702" w:rsidP="00A73663">
            <w:pPr>
              <w:spacing w:after="0" w:line="480" w:lineRule="auto"/>
              <w:jc w:val="center"/>
              <w:rPr>
                <w:rFonts w:ascii="Times New Roman" w:eastAsia="Times New Roman" w:hAnsi="Times New Roman" w:cs="Times New Roman"/>
                <w:color w:val="000000"/>
                <w:sz w:val="18"/>
                <w:szCs w:val="18"/>
                <w:lang w:val="es-DO" w:eastAsia="es-DO"/>
              </w:rPr>
            </w:pPr>
            <w:r w:rsidRPr="00BB231B">
              <w:rPr>
                <w:rFonts w:ascii="Times New Roman" w:eastAsia="Times New Roman" w:hAnsi="Times New Roman" w:cs="Times New Roman"/>
                <w:color w:val="000000"/>
                <w:sz w:val="18"/>
                <w:szCs w:val="18"/>
                <w:lang w:val="es-DO" w:eastAsia="es-DO"/>
              </w:rPr>
              <w:t> </w:t>
            </w:r>
          </w:p>
        </w:tc>
        <w:tc>
          <w:tcPr>
            <w:tcW w:w="9918" w:type="dxa"/>
            <w:gridSpan w:val="1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Solicitudes de Información Anual 2017*</w:t>
            </w:r>
          </w:p>
        </w:tc>
      </w:tr>
      <w:tr w:rsidR="00AF2702" w:rsidRPr="00BB231B" w:rsidTr="00906BCF">
        <w:trPr>
          <w:trHeight w:val="287"/>
          <w:jc w:val="center"/>
        </w:trPr>
        <w:tc>
          <w:tcPr>
            <w:tcW w:w="646" w:type="dxa"/>
            <w:tcBorders>
              <w:top w:val="nil"/>
              <w:left w:val="nil"/>
              <w:bottom w:val="single" w:sz="8" w:space="0" w:color="auto"/>
              <w:right w:val="single" w:sz="8" w:space="0" w:color="auto"/>
            </w:tcBorders>
            <w:shd w:val="clear" w:color="000000" w:fill="FFFFFF"/>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 </w:t>
            </w:r>
          </w:p>
        </w:tc>
        <w:tc>
          <w:tcPr>
            <w:tcW w:w="610"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Enero</w:t>
            </w:r>
          </w:p>
        </w:tc>
        <w:tc>
          <w:tcPr>
            <w:tcW w:w="764"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Febrero</w:t>
            </w:r>
          </w:p>
        </w:tc>
        <w:tc>
          <w:tcPr>
            <w:tcW w:w="650"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Marzo</w:t>
            </w:r>
          </w:p>
        </w:tc>
        <w:tc>
          <w:tcPr>
            <w:tcW w:w="551"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Abril</w:t>
            </w:r>
          </w:p>
        </w:tc>
        <w:tc>
          <w:tcPr>
            <w:tcW w:w="580"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Mayo</w:t>
            </w:r>
          </w:p>
        </w:tc>
        <w:tc>
          <w:tcPr>
            <w:tcW w:w="571"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Junio</w:t>
            </w:r>
          </w:p>
        </w:tc>
        <w:tc>
          <w:tcPr>
            <w:tcW w:w="521"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Julio</w:t>
            </w:r>
          </w:p>
        </w:tc>
        <w:tc>
          <w:tcPr>
            <w:tcW w:w="702"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Agosto</w:t>
            </w:r>
          </w:p>
        </w:tc>
        <w:tc>
          <w:tcPr>
            <w:tcW w:w="1050"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Septiembre</w:t>
            </w:r>
          </w:p>
        </w:tc>
        <w:tc>
          <w:tcPr>
            <w:tcW w:w="780"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Octubre</w:t>
            </w:r>
          </w:p>
        </w:tc>
        <w:tc>
          <w:tcPr>
            <w:tcW w:w="1005"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Noviembre</w:t>
            </w:r>
          </w:p>
        </w:tc>
        <w:tc>
          <w:tcPr>
            <w:tcW w:w="1134"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Diciembre</w:t>
            </w:r>
          </w:p>
        </w:tc>
        <w:tc>
          <w:tcPr>
            <w:tcW w:w="1000" w:type="dxa"/>
            <w:tcBorders>
              <w:top w:val="nil"/>
              <w:left w:val="nil"/>
              <w:bottom w:val="single" w:sz="8" w:space="0" w:color="auto"/>
              <w:right w:val="single" w:sz="8" w:space="0" w:color="auto"/>
            </w:tcBorders>
            <w:shd w:val="clear" w:color="000000" w:fill="92D050"/>
            <w:noWrap/>
            <w:vAlign w:val="center"/>
            <w:hideMark/>
          </w:tcPr>
          <w:p w:rsidR="00AF2702" w:rsidRPr="00BB231B" w:rsidRDefault="00AF2702" w:rsidP="00A73663">
            <w:pPr>
              <w:spacing w:after="0" w:line="480" w:lineRule="auto"/>
              <w:jc w:val="center"/>
              <w:rPr>
                <w:rFonts w:ascii="Times New Roman" w:eastAsia="Times New Roman" w:hAnsi="Times New Roman" w:cs="Times New Roman"/>
                <w:b/>
                <w:bCs/>
                <w:color w:val="000000"/>
                <w:sz w:val="18"/>
                <w:szCs w:val="18"/>
                <w:lang w:val="es-DO" w:eastAsia="es-DO"/>
              </w:rPr>
            </w:pPr>
            <w:r w:rsidRPr="00BB231B">
              <w:rPr>
                <w:rFonts w:ascii="Times New Roman" w:eastAsia="Times New Roman" w:hAnsi="Times New Roman" w:cs="Times New Roman"/>
                <w:b/>
                <w:bCs/>
                <w:color w:val="000000"/>
                <w:sz w:val="18"/>
                <w:szCs w:val="18"/>
                <w:lang w:val="es-DO" w:eastAsia="es-DO"/>
              </w:rPr>
              <w:t>TOTAL</w:t>
            </w:r>
          </w:p>
        </w:tc>
      </w:tr>
      <w:tr w:rsidR="00AF2702" w:rsidRPr="00BB231B" w:rsidTr="00906BCF">
        <w:trPr>
          <w:trHeight w:val="287"/>
          <w:jc w:val="center"/>
        </w:trPr>
        <w:tc>
          <w:tcPr>
            <w:tcW w:w="646" w:type="dxa"/>
            <w:tcBorders>
              <w:top w:val="nil"/>
              <w:left w:val="single" w:sz="8" w:space="0" w:color="auto"/>
              <w:bottom w:val="single" w:sz="8" w:space="0" w:color="auto"/>
              <w:right w:val="single" w:sz="8" w:space="0" w:color="auto"/>
            </w:tcBorders>
            <w:shd w:val="clear" w:color="000000" w:fill="92D050"/>
            <w:noWrap/>
            <w:vAlign w:val="center"/>
            <w:hideMark/>
          </w:tcPr>
          <w:p w:rsidR="00AF2702" w:rsidRPr="00BB231B" w:rsidRDefault="00AF2702" w:rsidP="00A73663">
            <w:pPr>
              <w:spacing w:line="480" w:lineRule="auto"/>
              <w:jc w:val="center"/>
              <w:rPr>
                <w:rFonts w:ascii="Times New Roman" w:hAnsi="Times New Roman" w:cs="Times New Roman"/>
                <w:b/>
                <w:color w:val="000000"/>
                <w:sz w:val="16"/>
                <w:szCs w:val="16"/>
              </w:rPr>
            </w:pPr>
            <w:r w:rsidRPr="00BB231B">
              <w:rPr>
                <w:rFonts w:ascii="Times New Roman" w:hAnsi="Times New Roman" w:cs="Times New Roman"/>
                <w:b/>
                <w:color w:val="000000"/>
                <w:sz w:val="16"/>
                <w:szCs w:val="16"/>
              </w:rPr>
              <w:t>2017</w:t>
            </w:r>
          </w:p>
        </w:tc>
        <w:tc>
          <w:tcPr>
            <w:tcW w:w="610"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31</w:t>
            </w:r>
          </w:p>
        </w:tc>
        <w:tc>
          <w:tcPr>
            <w:tcW w:w="764"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33</w:t>
            </w:r>
          </w:p>
        </w:tc>
        <w:tc>
          <w:tcPr>
            <w:tcW w:w="650"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51</w:t>
            </w:r>
          </w:p>
        </w:tc>
        <w:tc>
          <w:tcPr>
            <w:tcW w:w="551"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30</w:t>
            </w:r>
          </w:p>
        </w:tc>
        <w:tc>
          <w:tcPr>
            <w:tcW w:w="580"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43</w:t>
            </w:r>
          </w:p>
        </w:tc>
        <w:tc>
          <w:tcPr>
            <w:tcW w:w="571"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34</w:t>
            </w:r>
          </w:p>
        </w:tc>
        <w:tc>
          <w:tcPr>
            <w:tcW w:w="521"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26</w:t>
            </w:r>
          </w:p>
        </w:tc>
        <w:tc>
          <w:tcPr>
            <w:tcW w:w="702"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22</w:t>
            </w:r>
          </w:p>
        </w:tc>
        <w:tc>
          <w:tcPr>
            <w:tcW w:w="1050"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17</w:t>
            </w:r>
          </w:p>
        </w:tc>
        <w:tc>
          <w:tcPr>
            <w:tcW w:w="780"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41</w:t>
            </w:r>
          </w:p>
        </w:tc>
        <w:tc>
          <w:tcPr>
            <w:tcW w:w="1005"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19</w:t>
            </w:r>
          </w:p>
        </w:tc>
        <w:tc>
          <w:tcPr>
            <w:tcW w:w="1134" w:type="dxa"/>
            <w:tcBorders>
              <w:top w:val="nil"/>
              <w:left w:val="nil"/>
              <w:bottom w:val="single" w:sz="8" w:space="0" w:color="auto"/>
              <w:right w:val="single" w:sz="8" w:space="0" w:color="auto"/>
            </w:tcBorders>
            <w:shd w:val="clear" w:color="000000" w:fill="FFFFFF"/>
            <w:noWrap/>
            <w:vAlign w:val="bottom"/>
            <w:hideMark/>
          </w:tcPr>
          <w:p w:rsidR="00AF2702" w:rsidRPr="00BB231B" w:rsidRDefault="00AF2702" w:rsidP="00A73663">
            <w:pPr>
              <w:spacing w:line="480" w:lineRule="auto"/>
              <w:jc w:val="center"/>
              <w:rPr>
                <w:rFonts w:ascii="Times New Roman" w:hAnsi="Times New Roman" w:cs="Times New Roman"/>
                <w:sz w:val="16"/>
                <w:szCs w:val="16"/>
              </w:rPr>
            </w:pPr>
            <w:r w:rsidRPr="00BB231B">
              <w:rPr>
                <w:rFonts w:ascii="Times New Roman" w:hAnsi="Times New Roman" w:cs="Times New Roman"/>
                <w:sz w:val="16"/>
                <w:szCs w:val="16"/>
              </w:rPr>
              <w:t>23</w:t>
            </w:r>
          </w:p>
        </w:tc>
        <w:tc>
          <w:tcPr>
            <w:tcW w:w="1000" w:type="dxa"/>
            <w:tcBorders>
              <w:top w:val="nil"/>
              <w:left w:val="nil"/>
              <w:bottom w:val="single" w:sz="8" w:space="0" w:color="auto"/>
              <w:right w:val="single" w:sz="8" w:space="0" w:color="auto"/>
            </w:tcBorders>
            <w:shd w:val="clear" w:color="000000" w:fill="92D050"/>
            <w:noWrap/>
            <w:vAlign w:val="bottom"/>
            <w:hideMark/>
          </w:tcPr>
          <w:p w:rsidR="00AF2702" w:rsidRPr="00BB231B" w:rsidRDefault="00AF2702" w:rsidP="00A73663">
            <w:pPr>
              <w:spacing w:line="480" w:lineRule="auto"/>
              <w:jc w:val="center"/>
              <w:rPr>
                <w:rFonts w:ascii="Times New Roman" w:hAnsi="Times New Roman" w:cs="Times New Roman"/>
                <w:b/>
                <w:bCs/>
                <w:color w:val="000000"/>
                <w:sz w:val="16"/>
                <w:szCs w:val="16"/>
              </w:rPr>
            </w:pPr>
            <w:r w:rsidRPr="00BB231B">
              <w:rPr>
                <w:rFonts w:ascii="Times New Roman" w:hAnsi="Times New Roman" w:cs="Times New Roman"/>
                <w:b/>
                <w:bCs/>
                <w:color w:val="000000"/>
                <w:sz w:val="16"/>
                <w:szCs w:val="16"/>
              </w:rPr>
              <w:t>370</w:t>
            </w:r>
          </w:p>
        </w:tc>
      </w:tr>
    </w:tbl>
    <w:p w:rsidR="00AF2702" w:rsidRPr="00BB231B" w:rsidRDefault="00AF2702" w:rsidP="00A73663">
      <w:pPr>
        <w:spacing w:after="0" w:line="480" w:lineRule="auto"/>
        <w:jc w:val="center"/>
        <w:rPr>
          <w:rFonts w:ascii="Times New Roman" w:hAnsi="Times New Roman" w:cs="Times New Roman"/>
          <w:noProof/>
          <w:color w:val="auto"/>
          <w:lang w:val="es-DO" w:eastAsia="es-DO"/>
        </w:rPr>
      </w:pPr>
    </w:p>
    <w:p w:rsidR="00AF2702" w:rsidRPr="00BB231B" w:rsidRDefault="00AF2702" w:rsidP="00373B3F">
      <w:pPr>
        <w:spacing w:after="0" w:line="480" w:lineRule="auto"/>
        <w:rPr>
          <w:rStyle w:val="nfasissutil"/>
          <w:rFonts w:ascii="Times New Roman" w:hAnsi="Times New Roman" w:cs="Times New Roman"/>
          <w:color w:val="auto"/>
          <w:sz w:val="24"/>
          <w:lang w:val="es-DO"/>
        </w:rPr>
      </w:pPr>
      <w:r w:rsidRPr="00BB231B">
        <w:rPr>
          <w:rStyle w:val="nfasissutil"/>
          <w:rFonts w:ascii="Times New Roman" w:hAnsi="Times New Roman" w:cs="Times New Roman"/>
          <w:color w:val="auto"/>
          <w:sz w:val="24"/>
          <w:lang w:val="es-DO"/>
        </w:rPr>
        <w:t xml:space="preserve">En el periodo 2017 la OAIC canalizó aproximadamente un 10% de las solicitudes ingresadas a otras instituciones, mientras que el 90% restante fueron canalizadas de manera interna, y entregadas oportunamente. </w:t>
      </w:r>
    </w:p>
    <w:p w:rsidR="00AF2702" w:rsidRPr="00BB231B" w:rsidRDefault="00AF2702" w:rsidP="00AF2702">
      <w:pPr>
        <w:spacing w:after="0"/>
        <w:ind w:firstLine="708"/>
        <w:rPr>
          <w:rFonts w:ascii="Times New Roman" w:hAnsi="Times New Roman" w:cs="Times New Roman"/>
          <w:color w:val="auto"/>
          <w:sz w:val="28"/>
          <w:szCs w:val="28"/>
        </w:rPr>
      </w:pPr>
    </w:p>
    <w:tbl>
      <w:tblPr>
        <w:tblW w:w="2420" w:type="dxa"/>
        <w:jc w:val="center"/>
        <w:tblCellMar>
          <w:left w:w="70" w:type="dxa"/>
          <w:right w:w="70" w:type="dxa"/>
        </w:tblCellMar>
        <w:tblLook w:val="04A0" w:firstRow="1" w:lastRow="0" w:firstColumn="1" w:lastColumn="0" w:noHBand="0" w:noVBand="1"/>
      </w:tblPr>
      <w:tblGrid>
        <w:gridCol w:w="1220"/>
        <w:gridCol w:w="1200"/>
      </w:tblGrid>
      <w:tr w:rsidR="00AF2702" w:rsidRPr="00BB231B" w:rsidTr="005D5CF3">
        <w:trPr>
          <w:trHeight w:val="330"/>
          <w:jc w:val="center"/>
        </w:trPr>
        <w:tc>
          <w:tcPr>
            <w:tcW w:w="1220" w:type="dxa"/>
            <w:tcBorders>
              <w:top w:val="single" w:sz="8" w:space="0" w:color="auto"/>
              <w:left w:val="single" w:sz="8" w:space="0" w:color="auto"/>
              <w:bottom w:val="single" w:sz="8" w:space="0" w:color="auto"/>
              <w:right w:val="nil"/>
            </w:tcBorders>
            <w:shd w:val="clear" w:color="000000" w:fill="C4D79B"/>
            <w:noWrap/>
            <w:vAlign w:val="bottom"/>
            <w:hideMark/>
          </w:tcPr>
          <w:p w:rsidR="00AF2702" w:rsidRPr="00BB231B" w:rsidRDefault="00AF2702" w:rsidP="005D5CF3">
            <w:pPr>
              <w:spacing w:after="0"/>
              <w:rPr>
                <w:rFonts w:ascii="Times New Roman" w:eastAsia="Times New Roman" w:hAnsi="Times New Roman" w:cs="Times New Roman"/>
                <w:b/>
                <w:bCs/>
                <w:color w:val="auto"/>
                <w:lang w:val="es-DO" w:eastAsia="es-DO"/>
              </w:rPr>
            </w:pPr>
            <w:r w:rsidRPr="00BB231B">
              <w:rPr>
                <w:rFonts w:ascii="Times New Roman" w:eastAsia="Times New Roman" w:hAnsi="Times New Roman" w:cs="Times New Roman"/>
                <w:b/>
                <w:bCs/>
                <w:color w:val="auto"/>
                <w:lang w:val="es-DO" w:eastAsia="es-DO"/>
              </w:rPr>
              <w:t>Internas</w:t>
            </w:r>
          </w:p>
        </w:tc>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F2702" w:rsidRPr="00BB231B" w:rsidRDefault="00AF2702" w:rsidP="005D5CF3">
            <w:pPr>
              <w:spacing w:after="0"/>
              <w:jc w:val="center"/>
              <w:rPr>
                <w:rFonts w:ascii="Times New Roman" w:eastAsia="Times New Roman" w:hAnsi="Times New Roman" w:cs="Times New Roman"/>
                <w:b/>
                <w:bCs/>
                <w:color w:val="auto"/>
                <w:lang w:val="es-DO" w:eastAsia="es-DO"/>
              </w:rPr>
            </w:pPr>
            <w:r w:rsidRPr="00BB231B">
              <w:rPr>
                <w:rFonts w:ascii="Times New Roman" w:eastAsia="Times New Roman" w:hAnsi="Times New Roman" w:cs="Times New Roman"/>
                <w:b/>
                <w:bCs/>
                <w:color w:val="auto"/>
                <w:lang w:val="es-DO" w:eastAsia="es-DO"/>
              </w:rPr>
              <w:t>332</w:t>
            </w:r>
          </w:p>
        </w:tc>
      </w:tr>
      <w:tr w:rsidR="00AF2702" w:rsidRPr="00BB231B" w:rsidTr="005D5CF3">
        <w:trPr>
          <w:trHeight w:val="330"/>
          <w:jc w:val="center"/>
        </w:trPr>
        <w:tc>
          <w:tcPr>
            <w:tcW w:w="1220" w:type="dxa"/>
            <w:tcBorders>
              <w:top w:val="nil"/>
              <w:left w:val="single" w:sz="8" w:space="0" w:color="auto"/>
              <w:bottom w:val="single" w:sz="8" w:space="0" w:color="auto"/>
              <w:right w:val="nil"/>
            </w:tcBorders>
            <w:shd w:val="clear" w:color="000000" w:fill="C4D79B"/>
            <w:noWrap/>
            <w:vAlign w:val="bottom"/>
            <w:hideMark/>
          </w:tcPr>
          <w:p w:rsidR="00AF2702" w:rsidRPr="00BB231B" w:rsidRDefault="00AF2702" w:rsidP="005D5CF3">
            <w:pPr>
              <w:spacing w:after="0"/>
              <w:rPr>
                <w:rFonts w:ascii="Times New Roman" w:eastAsia="Times New Roman" w:hAnsi="Times New Roman" w:cs="Times New Roman"/>
                <w:b/>
                <w:bCs/>
                <w:color w:val="auto"/>
                <w:lang w:val="es-DO" w:eastAsia="es-DO"/>
              </w:rPr>
            </w:pPr>
            <w:r w:rsidRPr="00BB231B">
              <w:rPr>
                <w:rFonts w:ascii="Times New Roman" w:eastAsia="Times New Roman" w:hAnsi="Times New Roman" w:cs="Times New Roman"/>
                <w:b/>
                <w:bCs/>
                <w:color w:val="auto"/>
                <w:lang w:val="es-DO" w:eastAsia="es-DO"/>
              </w:rPr>
              <w:t>Externas</w:t>
            </w:r>
          </w:p>
        </w:tc>
        <w:tc>
          <w:tcPr>
            <w:tcW w:w="1200" w:type="dxa"/>
            <w:tcBorders>
              <w:top w:val="nil"/>
              <w:left w:val="single" w:sz="8" w:space="0" w:color="auto"/>
              <w:bottom w:val="nil"/>
              <w:right w:val="single" w:sz="8" w:space="0" w:color="auto"/>
            </w:tcBorders>
            <w:shd w:val="clear" w:color="000000" w:fill="FFFFFF"/>
            <w:noWrap/>
            <w:vAlign w:val="bottom"/>
            <w:hideMark/>
          </w:tcPr>
          <w:p w:rsidR="00AF2702" w:rsidRPr="00BB231B" w:rsidRDefault="00AF2702" w:rsidP="005D5CF3">
            <w:pPr>
              <w:spacing w:after="0"/>
              <w:jc w:val="center"/>
              <w:rPr>
                <w:rFonts w:ascii="Times New Roman" w:eastAsia="Times New Roman" w:hAnsi="Times New Roman" w:cs="Times New Roman"/>
                <w:b/>
                <w:bCs/>
                <w:color w:val="auto"/>
                <w:lang w:val="es-DO" w:eastAsia="es-DO"/>
              </w:rPr>
            </w:pPr>
            <w:r w:rsidRPr="00BB231B">
              <w:rPr>
                <w:rFonts w:ascii="Times New Roman" w:eastAsia="Times New Roman" w:hAnsi="Times New Roman" w:cs="Times New Roman"/>
                <w:b/>
                <w:bCs/>
                <w:color w:val="auto"/>
                <w:lang w:val="es-DO" w:eastAsia="es-DO"/>
              </w:rPr>
              <w:t>38</w:t>
            </w:r>
          </w:p>
        </w:tc>
      </w:tr>
      <w:tr w:rsidR="00AF2702" w:rsidRPr="00BB231B" w:rsidTr="005D5CF3">
        <w:trPr>
          <w:trHeight w:val="330"/>
          <w:jc w:val="center"/>
        </w:trPr>
        <w:tc>
          <w:tcPr>
            <w:tcW w:w="1220" w:type="dxa"/>
            <w:tcBorders>
              <w:top w:val="nil"/>
              <w:left w:val="nil"/>
              <w:bottom w:val="nil"/>
              <w:right w:val="nil"/>
            </w:tcBorders>
            <w:shd w:val="clear" w:color="000000" w:fill="FFFFFF"/>
            <w:noWrap/>
            <w:vAlign w:val="bottom"/>
            <w:hideMark/>
          </w:tcPr>
          <w:p w:rsidR="00AF2702" w:rsidRPr="00BB231B" w:rsidRDefault="00AF2702" w:rsidP="005D5CF3">
            <w:pPr>
              <w:spacing w:after="0"/>
              <w:rPr>
                <w:rFonts w:ascii="Times New Roman" w:eastAsia="Times New Roman" w:hAnsi="Times New Roman" w:cs="Times New Roman"/>
                <w:color w:val="auto"/>
                <w:lang w:val="es-DO" w:eastAsia="es-DO"/>
              </w:rPr>
            </w:pPr>
            <w:r w:rsidRPr="00BB231B">
              <w:rPr>
                <w:rFonts w:ascii="Times New Roman" w:eastAsia="Times New Roman" w:hAnsi="Times New Roman" w:cs="Times New Roman"/>
                <w:color w:val="auto"/>
                <w:lang w:val="es-DO" w:eastAsia="es-DO"/>
              </w:rPr>
              <w:t> </w:t>
            </w:r>
          </w:p>
        </w:tc>
        <w:tc>
          <w:tcPr>
            <w:tcW w:w="120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AF2702" w:rsidRPr="00BB231B" w:rsidRDefault="00AF2702" w:rsidP="005D5CF3">
            <w:pPr>
              <w:spacing w:after="0"/>
              <w:jc w:val="center"/>
              <w:rPr>
                <w:rFonts w:ascii="Times New Roman" w:eastAsia="Times New Roman" w:hAnsi="Times New Roman" w:cs="Times New Roman"/>
                <w:b/>
                <w:bCs/>
                <w:color w:val="auto"/>
                <w:lang w:val="es-DO" w:eastAsia="es-DO"/>
              </w:rPr>
            </w:pPr>
            <w:r w:rsidRPr="00BB231B">
              <w:rPr>
                <w:rFonts w:ascii="Times New Roman" w:eastAsia="Times New Roman" w:hAnsi="Times New Roman" w:cs="Times New Roman"/>
                <w:b/>
                <w:bCs/>
                <w:color w:val="auto"/>
                <w:lang w:val="es-DO" w:eastAsia="es-DO"/>
              </w:rPr>
              <w:t>370</w:t>
            </w:r>
          </w:p>
        </w:tc>
      </w:tr>
    </w:tbl>
    <w:p w:rsidR="00AF2702" w:rsidRPr="00BB231B" w:rsidRDefault="00AF2702" w:rsidP="00AF2702">
      <w:pPr>
        <w:spacing w:after="0"/>
        <w:jc w:val="center"/>
        <w:rPr>
          <w:rFonts w:ascii="Times New Roman" w:hAnsi="Times New Roman" w:cs="Times New Roman"/>
          <w:color w:val="auto"/>
          <w:sz w:val="28"/>
          <w:szCs w:val="28"/>
          <w:highlight w:val="yellow"/>
        </w:rPr>
      </w:pPr>
    </w:p>
    <w:p w:rsidR="00AF2702" w:rsidRPr="00BB231B" w:rsidRDefault="00AF2702" w:rsidP="00AF2702">
      <w:pPr>
        <w:spacing w:after="0"/>
        <w:jc w:val="center"/>
        <w:rPr>
          <w:rFonts w:ascii="Times New Roman" w:hAnsi="Times New Roman" w:cs="Times New Roman"/>
          <w:color w:val="auto"/>
          <w:sz w:val="28"/>
          <w:szCs w:val="28"/>
          <w:highlight w:val="yellow"/>
        </w:rPr>
      </w:pPr>
      <w:r w:rsidRPr="00BB231B">
        <w:rPr>
          <w:rFonts w:ascii="Times New Roman" w:hAnsi="Times New Roman" w:cs="Times New Roman"/>
          <w:noProof/>
          <w:color w:val="auto"/>
          <w:lang w:val="es-US" w:eastAsia="es-US"/>
        </w:rPr>
        <w:lastRenderedPageBreak/>
        <w:drawing>
          <wp:inline distT="0" distB="0" distL="0" distR="0" wp14:anchorId="29176873" wp14:editId="020EC6C4">
            <wp:extent cx="3706152" cy="2114507"/>
            <wp:effectExtent l="0" t="0" r="8890" b="635"/>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F2702" w:rsidRPr="00BB231B" w:rsidRDefault="00AF2702" w:rsidP="00AF2702">
      <w:pPr>
        <w:spacing w:after="0"/>
        <w:rPr>
          <w:rFonts w:ascii="Times New Roman" w:hAnsi="Times New Roman" w:cs="Times New Roman"/>
          <w:color w:val="auto"/>
          <w:sz w:val="28"/>
          <w:szCs w:val="28"/>
          <w:highlight w:val="yellow"/>
        </w:rPr>
      </w:pPr>
    </w:p>
    <w:p w:rsidR="00AF2702" w:rsidRPr="00BB231B" w:rsidRDefault="00AF2702" w:rsidP="008741DB">
      <w:pPr>
        <w:spacing w:after="0"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Para la correcta aplicación de la Ley 200-04, además de la interrelación y colaboración por parte de los departamentos, se hace necesario el compromiso y observancia de la normativa, así como procedimientos internos por parte de quienes los dirigen. </w:t>
      </w:r>
    </w:p>
    <w:p w:rsidR="00AF2702" w:rsidRPr="00BB231B" w:rsidRDefault="008741DB" w:rsidP="008741DB">
      <w:pPr>
        <w:spacing w:after="0" w:line="480" w:lineRule="auto"/>
        <w:ind w:firstLine="709"/>
        <w:rPr>
          <w:rFonts w:ascii="Times New Roman" w:hAnsi="Times New Roman" w:cs="Times New Roman"/>
          <w:color w:val="auto"/>
          <w:sz w:val="28"/>
          <w:szCs w:val="28"/>
          <w:highlight w:val="yellow"/>
        </w:rPr>
      </w:pPr>
      <w:r w:rsidRPr="00BB231B">
        <w:rPr>
          <w:rFonts w:ascii="Times New Roman" w:hAnsi="Times New Roman" w:cs="Times New Roman"/>
          <w:color w:val="auto"/>
          <w:sz w:val="24"/>
          <w:szCs w:val="24"/>
        </w:rPr>
        <w:t>En este aspecto la OAI</w:t>
      </w:r>
      <w:r w:rsidR="00AF2702" w:rsidRPr="00BB231B">
        <w:rPr>
          <w:rFonts w:ascii="Times New Roman" w:hAnsi="Times New Roman" w:cs="Times New Roman"/>
          <w:color w:val="auto"/>
          <w:sz w:val="24"/>
          <w:szCs w:val="24"/>
        </w:rPr>
        <w:t xml:space="preserve"> procura alcanzar criterios de trabajo unificados que permitan canalizar las solicitudes en un plazo no mayor de 2 días hábiles, cuando éstas sean remitidas de manera interna. </w:t>
      </w:r>
    </w:p>
    <w:p w:rsidR="00AF2702" w:rsidRPr="00BB231B" w:rsidRDefault="00AF2702" w:rsidP="008741DB">
      <w:pPr>
        <w:spacing w:after="0" w:line="480" w:lineRule="auto"/>
        <w:ind w:firstLine="708"/>
        <w:rPr>
          <w:rFonts w:ascii="Times New Roman" w:hAnsi="Times New Roman" w:cs="Times New Roman"/>
          <w:color w:val="auto"/>
          <w:sz w:val="24"/>
          <w:szCs w:val="24"/>
        </w:rPr>
      </w:pPr>
      <w:r w:rsidRPr="00BB231B">
        <w:rPr>
          <w:rFonts w:ascii="Times New Roman" w:hAnsi="Times New Roman" w:cs="Times New Roman"/>
          <w:color w:val="auto"/>
          <w:sz w:val="24"/>
          <w:szCs w:val="24"/>
        </w:rPr>
        <w:t>Respecto del público que nos visita y las informaciones solicitadas, independientemente del trimestre, el mayor porcentaje de solicitudes fueron realizadas por ciudadanos, llegando a representar un 68% del total de solicitantes, seguidos por los servidores públicos, quienes alcanzaron a requerir un 21% de las informaciones. El porcentaje restante de los clientes externos estuvo conformado por: estudiantes, periodistas, abogados, y demás instituciones estatales.</w:t>
      </w:r>
    </w:p>
    <w:p w:rsidR="00AF2702" w:rsidRPr="00BB231B" w:rsidRDefault="00AF2702" w:rsidP="00AF2702">
      <w:pPr>
        <w:spacing w:after="0" w:line="480" w:lineRule="auto"/>
        <w:ind w:firstLine="708"/>
        <w:jc w:val="center"/>
        <w:rPr>
          <w:rFonts w:ascii="Times New Roman" w:hAnsi="Times New Roman" w:cs="Times New Roman"/>
          <w:color w:val="auto"/>
          <w:sz w:val="24"/>
          <w:szCs w:val="24"/>
        </w:rPr>
      </w:pPr>
      <w:r w:rsidRPr="00BB231B">
        <w:rPr>
          <w:rFonts w:ascii="Times New Roman" w:hAnsi="Times New Roman" w:cs="Times New Roman"/>
          <w:noProof/>
          <w:color w:val="auto"/>
          <w:lang w:val="es-US" w:eastAsia="es-US"/>
        </w:rPr>
        <w:lastRenderedPageBreak/>
        <w:drawing>
          <wp:inline distT="0" distB="0" distL="0" distR="0" wp14:anchorId="0BEC0F85" wp14:editId="7A1C0B46">
            <wp:extent cx="4581498" cy="2825283"/>
            <wp:effectExtent l="0" t="0" r="10160" b="1333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F2702" w:rsidRPr="00BB231B" w:rsidRDefault="00AF2702" w:rsidP="004B71D0">
      <w:pPr>
        <w:spacing w:after="0" w:line="480" w:lineRule="auto"/>
        <w:ind w:firstLine="708"/>
        <w:rPr>
          <w:rFonts w:ascii="Times New Roman" w:hAnsi="Times New Roman" w:cs="Times New Roman"/>
          <w:color w:val="auto"/>
          <w:sz w:val="24"/>
          <w:szCs w:val="24"/>
        </w:rPr>
      </w:pPr>
      <w:r w:rsidRPr="00BB231B">
        <w:rPr>
          <w:rFonts w:ascii="Times New Roman" w:hAnsi="Times New Roman" w:cs="Times New Roman"/>
          <w:color w:val="auto"/>
          <w:sz w:val="24"/>
          <w:szCs w:val="24"/>
        </w:rPr>
        <w:t>De igual forma se especifica que, la población del género masculino tiene más incidencias con un 57%, mientras las solicitantes femeninas representaron al 43% del total.</w:t>
      </w:r>
    </w:p>
    <w:p w:rsidR="00AF2702" w:rsidRPr="00BB231B" w:rsidRDefault="00AF2702" w:rsidP="00AF2702">
      <w:pPr>
        <w:spacing w:after="0" w:line="480" w:lineRule="auto"/>
        <w:ind w:firstLine="142"/>
        <w:jc w:val="center"/>
        <w:rPr>
          <w:rFonts w:ascii="Times New Roman" w:hAnsi="Times New Roman" w:cs="Times New Roman"/>
          <w:color w:val="auto"/>
          <w:sz w:val="24"/>
          <w:szCs w:val="24"/>
        </w:rPr>
      </w:pPr>
      <w:r w:rsidRPr="00BB231B">
        <w:rPr>
          <w:rFonts w:ascii="Times New Roman" w:hAnsi="Times New Roman" w:cs="Times New Roman"/>
          <w:noProof/>
          <w:color w:val="auto"/>
          <w:lang w:val="es-US" w:eastAsia="es-US"/>
        </w:rPr>
        <w:drawing>
          <wp:inline distT="0" distB="0" distL="0" distR="0" wp14:anchorId="20E988D7" wp14:editId="3A335395">
            <wp:extent cx="5121762" cy="2201545"/>
            <wp:effectExtent l="0" t="0" r="3175" b="8255"/>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F2702" w:rsidRPr="00BB231B" w:rsidRDefault="00AF2702" w:rsidP="00AF2702">
      <w:pPr>
        <w:spacing w:after="0" w:line="480" w:lineRule="auto"/>
        <w:ind w:firstLine="708"/>
        <w:rPr>
          <w:rFonts w:ascii="Times New Roman" w:hAnsi="Times New Roman" w:cs="Times New Roman"/>
          <w:color w:val="auto"/>
          <w:sz w:val="24"/>
          <w:szCs w:val="24"/>
        </w:rPr>
      </w:pPr>
    </w:p>
    <w:p w:rsidR="00AF2702" w:rsidRPr="00BB231B" w:rsidRDefault="00AF2702" w:rsidP="004B71D0">
      <w:pPr>
        <w:spacing w:after="0"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Por otro lado, el tipo de información más solicitada es para verificación de nóminas que corresponden al departamento de Servicios Personales. En el mismo orden, reflejamos lo antes destacado a través de  los siguientes valores:</w:t>
      </w:r>
    </w:p>
    <w:p w:rsidR="00AF2702" w:rsidRPr="00BB231B" w:rsidRDefault="00AF2702" w:rsidP="00AF2702">
      <w:pPr>
        <w:tabs>
          <w:tab w:val="left" w:pos="0"/>
        </w:tabs>
        <w:spacing w:after="0"/>
        <w:rPr>
          <w:rFonts w:ascii="Times New Roman" w:hAnsi="Times New Roman" w:cs="Times New Roman"/>
          <w:color w:val="auto"/>
          <w:sz w:val="24"/>
          <w:szCs w:val="24"/>
        </w:rPr>
      </w:pPr>
    </w:p>
    <w:p w:rsidR="00AF2702" w:rsidRPr="00BB231B" w:rsidRDefault="00AF2702" w:rsidP="00AF2702">
      <w:pPr>
        <w:tabs>
          <w:tab w:val="left" w:pos="0"/>
        </w:tabs>
        <w:spacing w:after="0"/>
        <w:jc w:val="center"/>
        <w:rPr>
          <w:rFonts w:ascii="Times New Roman" w:hAnsi="Times New Roman" w:cs="Times New Roman"/>
          <w:color w:val="auto"/>
          <w:sz w:val="24"/>
          <w:szCs w:val="24"/>
        </w:rPr>
      </w:pPr>
      <w:r w:rsidRPr="00BB231B">
        <w:rPr>
          <w:rFonts w:ascii="Times New Roman" w:hAnsi="Times New Roman" w:cs="Times New Roman"/>
          <w:noProof/>
          <w:color w:val="auto"/>
          <w:lang w:val="es-US" w:eastAsia="es-US"/>
        </w:rPr>
        <w:drawing>
          <wp:inline distT="0" distB="0" distL="0" distR="0" wp14:anchorId="5E1A4CCD" wp14:editId="32012DDD">
            <wp:extent cx="5059680" cy="2181961"/>
            <wp:effectExtent l="0" t="0" r="7620" b="2794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F2702" w:rsidRPr="00BB231B" w:rsidRDefault="00AF2702" w:rsidP="00AF2702">
      <w:pPr>
        <w:tabs>
          <w:tab w:val="left" w:pos="0"/>
        </w:tabs>
        <w:spacing w:after="0"/>
        <w:rPr>
          <w:rFonts w:ascii="Times New Roman" w:hAnsi="Times New Roman" w:cs="Times New Roman"/>
          <w:color w:val="auto"/>
          <w:sz w:val="24"/>
          <w:szCs w:val="24"/>
        </w:rPr>
      </w:pPr>
    </w:p>
    <w:p w:rsidR="00AF2702" w:rsidRPr="00BB231B" w:rsidRDefault="008741DB" w:rsidP="00CF463C">
      <w:pPr>
        <w:tabs>
          <w:tab w:val="left" w:pos="0"/>
        </w:tabs>
        <w:spacing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ab/>
      </w:r>
      <w:r w:rsidR="00AF2702" w:rsidRPr="00BB231B">
        <w:rPr>
          <w:rFonts w:ascii="Times New Roman" w:hAnsi="Times New Roman" w:cs="Times New Roman"/>
          <w:color w:val="auto"/>
          <w:sz w:val="24"/>
          <w:szCs w:val="24"/>
        </w:rPr>
        <w:t xml:space="preserve">En consecuencia a los datos observados en el gráfico anterior, el departamento que mayores solicitudes de información recibió fue el de Servicios Personales por su labor de dar respuesta a los requerimientos de nóminas. De igual forma, le preceden las áreas de Registro de Contratos y la Oficina de Libre Acceso a la Información, aunque se debe especificar que un 10% de todas las tramitaciones fueron a Remisiones Externas. </w:t>
      </w:r>
    </w:p>
    <w:p w:rsidR="00AF2702" w:rsidRPr="00BB231B" w:rsidRDefault="00AF2702" w:rsidP="00CF463C">
      <w:pPr>
        <w:tabs>
          <w:tab w:val="left" w:pos="0"/>
        </w:tabs>
        <w:spacing w:after="0" w:line="480" w:lineRule="auto"/>
        <w:rPr>
          <w:rFonts w:ascii="Times New Roman" w:hAnsi="Times New Roman" w:cs="Times New Roman"/>
          <w:color w:val="auto"/>
          <w:sz w:val="24"/>
          <w:szCs w:val="24"/>
        </w:rPr>
      </w:pPr>
    </w:p>
    <w:p w:rsidR="00AF2702" w:rsidRPr="00BB231B" w:rsidRDefault="00AF2702" w:rsidP="00CF463C">
      <w:pPr>
        <w:tabs>
          <w:tab w:val="left" w:pos="0"/>
        </w:tabs>
        <w:spacing w:after="0" w:line="480" w:lineRule="auto"/>
        <w:rPr>
          <w:rFonts w:ascii="Times New Roman" w:hAnsi="Times New Roman" w:cs="Times New Roman"/>
          <w:color w:val="auto"/>
          <w:sz w:val="24"/>
          <w:szCs w:val="24"/>
        </w:rPr>
      </w:pPr>
      <w:r w:rsidRPr="00BB231B">
        <w:rPr>
          <w:rFonts w:ascii="Times New Roman" w:hAnsi="Times New Roman" w:cs="Times New Roman"/>
          <w:noProof/>
          <w:color w:val="auto"/>
          <w:lang w:val="es-US" w:eastAsia="es-US"/>
        </w:rPr>
        <w:lastRenderedPageBreak/>
        <w:drawing>
          <wp:inline distT="0" distB="0" distL="0" distR="0" wp14:anchorId="72494582" wp14:editId="7FFC7E57">
            <wp:extent cx="4817110" cy="3040380"/>
            <wp:effectExtent l="0" t="0" r="2540" b="762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50B15" w:rsidRPr="00BB231B" w:rsidRDefault="00750B15" w:rsidP="00CF463C">
      <w:pPr>
        <w:tabs>
          <w:tab w:val="left" w:pos="0"/>
        </w:tabs>
        <w:spacing w:after="0" w:line="480" w:lineRule="auto"/>
        <w:rPr>
          <w:rFonts w:ascii="Times New Roman" w:hAnsi="Times New Roman" w:cs="Times New Roman"/>
          <w:color w:val="auto"/>
          <w:sz w:val="24"/>
          <w:szCs w:val="24"/>
        </w:rPr>
      </w:pPr>
    </w:p>
    <w:p w:rsidR="003A006F" w:rsidRPr="00BB231B" w:rsidRDefault="003A006F" w:rsidP="001C2C6C">
      <w:pPr>
        <w:pStyle w:val="Prrafodelista"/>
        <w:numPr>
          <w:ilvl w:val="0"/>
          <w:numId w:val="47"/>
        </w:numPr>
        <w:spacing w:beforeLines="40" w:before="96" w:afterLines="40" w:after="96" w:line="480" w:lineRule="auto"/>
        <w:outlineLvl w:val="1"/>
        <w:rPr>
          <w:rFonts w:ascii="Times New Roman" w:hAnsi="Times New Roman" w:cs="Times New Roman"/>
          <w:b/>
          <w:iCs/>
          <w:color w:val="auto"/>
          <w:sz w:val="28"/>
          <w:szCs w:val="24"/>
        </w:rPr>
      </w:pPr>
      <w:bookmarkStart w:id="63" w:name="_Toc500858023"/>
      <w:bookmarkStart w:id="64" w:name="_Toc500858173"/>
      <w:bookmarkStart w:id="65" w:name="_Toc500918599"/>
      <w:r w:rsidRPr="00BB231B">
        <w:rPr>
          <w:rFonts w:ascii="Times New Roman" w:hAnsi="Times New Roman" w:cs="Times New Roman"/>
          <w:b/>
          <w:iCs/>
          <w:color w:val="auto"/>
          <w:sz w:val="28"/>
          <w:szCs w:val="24"/>
        </w:rPr>
        <w:t>Gestión de la Administración Pública SISMAP.</w:t>
      </w:r>
      <w:bookmarkEnd w:id="63"/>
      <w:bookmarkEnd w:id="64"/>
      <w:bookmarkEnd w:id="65"/>
    </w:p>
    <w:p w:rsidR="00DD42E9" w:rsidRPr="004B71D0" w:rsidRDefault="00DD42E9" w:rsidP="004B71D0">
      <w:pPr>
        <w:spacing w:after="0" w:line="480" w:lineRule="auto"/>
        <w:ind w:firstLine="709"/>
        <w:rPr>
          <w:rFonts w:ascii="Times New Roman" w:hAnsi="Times New Roman" w:cs="Times New Roman"/>
          <w:color w:val="auto"/>
          <w:sz w:val="24"/>
          <w:szCs w:val="24"/>
        </w:rPr>
      </w:pPr>
      <w:r w:rsidRPr="004B71D0">
        <w:rPr>
          <w:rFonts w:ascii="Times New Roman" w:hAnsi="Times New Roman" w:cs="Times New Roman"/>
          <w:color w:val="auto"/>
          <w:sz w:val="24"/>
          <w:szCs w:val="24"/>
        </w:rPr>
        <w:t>En los resultados del Sistema de Monitoreo de la Administración Pública SIS</w:t>
      </w:r>
      <w:r w:rsidR="00306F33" w:rsidRPr="004B71D0">
        <w:rPr>
          <w:rFonts w:ascii="Times New Roman" w:hAnsi="Times New Roman" w:cs="Times New Roman"/>
          <w:color w:val="auto"/>
          <w:sz w:val="24"/>
          <w:szCs w:val="24"/>
        </w:rPr>
        <w:t xml:space="preserve">MAP, la Contraloría logro  un 97% en la meta de 100%, al cumplir </w:t>
      </w:r>
      <w:r w:rsidRPr="004B71D0">
        <w:rPr>
          <w:rFonts w:ascii="Times New Roman" w:hAnsi="Times New Roman" w:cs="Times New Roman"/>
          <w:color w:val="auto"/>
          <w:sz w:val="24"/>
          <w:szCs w:val="24"/>
        </w:rPr>
        <w:t xml:space="preserve"> satisfactoriamente con 30 de los 34 indicadores que tienen que ver con aspectos de Planificación, Gestión del Empleo y Rendimiento, Gestión de las Relaciones Humanas y Sociales, Organización de las Funciones de RRHH y Gestión de la Calidad.</w:t>
      </w:r>
    </w:p>
    <w:p w:rsidR="00DD42E9" w:rsidRPr="004B71D0" w:rsidRDefault="00DD42E9" w:rsidP="004B71D0">
      <w:pPr>
        <w:spacing w:after="0" w:line="480" w:lineRule="auto"/>
        <w:ind w:firstLine="709"/>
        <w:rPr>
          <w:rFonts w:ascii="Times New Roman" w:hAnsi="Times New Roman" w:cs="Times New Roman"/>
          <w:color w:val="auto"/>
          <w:sz w:val="24"/>
          <w:szCs w:val="24"/>
        </w:rPr>
      </w:pPr>
      <w:r w:rsidRPr="004B71D0">
        <w:rPr>
          <w:rFonts w:ascii="Times New Roman" w:hAnsi="Times New Roman" w:cs="Times New Roman"/>
          <w:color w:val="auto"/>
          <w:sz w:val="24"/>
          <w:szCs w:val="24"/>
        </w:rPr>
        <w:t xml:space="preserve">Las iniciativas en proceso indican que esta puntuación se mantendrá en aumento debido a que la institución ha conformado equipos interinstitucionales que actualmente trabajan en la revisión de la Estructura Organizativa y Manual de Funciones donde se desarrolló un estudio de la estructura organizativa, evaluando </w:t>
      </w:r>
      <w:r w:rsidRPr="004B71D0">
        <w:rPr>
          <w:rFonts w:ascii="Times New Roman" w:hAnsi="Times New Roman" w:cs="Times New Roman"/>
          <w:color w:val="auto"/>
          <w:sz w:val="24"/>
          <w:szCs w:val="24"/>
        </w:rPr>
        <w:lastRenderedPageBreak/>
        <w:t>las diferentes áreas y revisando la definición de todas las funciones departamentales, este esfuerzo sirvió como sustento para la presentación de una propuesta de estructura organizativa revisada y alineada para responder de forma efectiva al logro de las iniciativas estratégicas pautadas y al cumplimiento del rol de la institución;  se trabaja también en la revisión de la Carta Compromiso al ciudadano en el que se ha definido calendario de trabajo que concluye en enero 2018 con la aprobación por el órgano rector y la comunicación interna y externa; igualmente está siendo revisada la Escala Salarial.</w:t>
      </w:r>
    </w:p>
    <w:p w:rsidR="00DD42E9" w:rsidRPr="004B71D0" w:rsidRDefault="00DD42E9" w:rsidP="004B71D0">
      <w:pPr>
        <w:spacing w:after="0" w:line="480" w:lineRule="auto"/>
        <w:ind w:firstLine="709"/>
        <w:rPr>
          <w:rFonts w:ascii="Times New Roman" w:hAnsi="Times New Roman" w:cs="Times New Roman"/>
          <w:color w:val="auto"/>
          <w:sz w:val="24"/>
          <w:szCs w:val="24"/>
        </w:rPr>
      </w:pPr>
    </w:p>
    <w:p w:rsidR="00DD42E9" w:rsidRPr="00BB231B" w:rsidRDefault="00DD42E9" w:rsidP="00DD42E9">
      <w:pPr>
        <w:pStyle w:val="Prrafodelista"/>
        <w:ind w:left="720" w:firstLine="0"/>
        <w:rPr>
          <w:rFonts w:ascii="Times New Roman" w:hAnsi="Times New Roman" w:cs="Times New Roman"/>
          <w:color w:val="1F497D"/>
        </w:rPr>
      </w:pPr>
      <w:r w:rsidRPr="00BB231B">
        <w:rPr>
          <w:rFonts w:ascii="Times New Roman" w:hAnsi="Times New Roman" w:cs="Times New Roman"/>
          <w:noProof/>
          <w:lang w:val="es-US" w:eastAsia="es-US"/>
        </w:rPr>
        <w:drawing>
          <wp:inline distT="0" distB="0" distL="0" distR="0" wp14:anchorId="0849D6E3" wp14:editId="13C580CF">
            <wp:extent cx="4274285" cy="1677725"/>
            <wp:effectExtent l="0" t="0" r="0" b="0"/>
            <wp:docPr id="4" name="Imagen 4" descr="cid:image003.jpg@01D373FC.BC538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3.jpg@01D373FC.BC5387A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315599" cy="1693942"/>
                    </a:xfrm>
                    <a:prstGeom prst="rect">
                      <a:avLst/>
                    </a:prstGeom>
                    <a:noFill/>
                    <a:ln>
                      <a:noFill/>
                    </a:ln>
                  </pic:spPr>
                </pic:pic>
              </a:graphicData>
            </a:graphic>
          </wp:inline>
        </w:drawing>
      </w:r>
    </w:p>
    <w:p w:rsidR="007D0D0A" w:rsidRPr="00BB231B" w:rsidRDefault="007D0D0A" w:rsidP="007D0D0A">
      <w:pPr>
        <w:pStyle w:val="Normal-blanco"/>
        <w:spacing w:before="0" w:after="0" w:line="480" w:lineRule="auto"/>
        <w:ind w:right="199"/>
        <w:rPr>
          <w:rStyle w:val="nfasissutil"/>
          <w:rFonts w:ascii="Times New Roman" w:hAnsi="Times New Roman" w:cs="Times New Roman"/>
          <w:b/>
          <w:color w:val="E62E00" w:themeColor="accent2"/>
          <w:sz w:val="28"/>
          <w:lang w:val="es-DO"/>
        </w:rPr>
      </w:pPr>
    </w:p>
    <w:p w:rsidR="007D0D0A" w:rsidRPr="004B71D0" w:rsidRDefault="007D0D0A" w:rsidP="004B71D0">
      <w:pPr>
        <w:spacing w:after="0" w:line="480" w:lineRule="auto"/>
        <w:ind w:firstLine="709"/>
        <w:rPr>
          <w:rFonts w:ascii="Times New Roman" w:hAnsi="Times New Roman" w:cs="Times New Roman"/>
          <w:color w:val="auto"/>
          <w:sz w:val="24"/>
          <w:szCs w:val="24"/>
        </w:rPr>
      </w:pPr>
      <w:r w:rsidRPr="004B71D0">
        <w:rPr>
          <w:rFonts w:ascii="Times New Roman" w:hAnsi="Times New Roman" w:cs="Times New Roman"/>
          <w:color w:val="auto"/>
          <w:sz w:val="24"/>
          <w:szCs w:val="24"/>
        </w:rPr>
        <w:t>La Contraloría, respondiendo a la estrategia organizacional y a las necesidades y expectativas de los grupos de interés, se procura del análisis periódico de la estructura, funciones y descripciones de los puestos, siendo realizado el último ejercicio de revisión en el período noviembre 2016 a mayo 2017 por equipo interinstitucional MAP-CGR.</w:t>
      </w:r>
    </w:p>
    <w:p w:rsidR="007D0D0A" w:rsidRPr="004B71D0" w:rsidRDefault="007D0D0A" w:rsidP="004B71D0">
      <w:pPr>
        <w:spacing w:after="0" w:line="480" w:lineRule="auto"/>
        <w:ind w:firstLine="709"/>
        <w:rPr>
          <w:rFonts w:ascii="Times New Roman" w:hAnsi="Times New Roman" w:cs="Times New Roman"/>
          <w:color w:val="auto"/>
          <w:sz w:val="24"/>
          <w:szCs w:val="24"/>
        </w:rPr>
      </w:pPr>
      <w:r w:rsidRPr="004B71D0">
        <w:rPr>
          <w:rFonts w:ascii="Times New Roman" w:hAnsi="Times New Roman" w:cs="Times New Roman"/>
          <w:color w:val="auto"/>
          <w:sz w:val="24"/>
          <w:szCs w:val="24"/>
        </w:rPr>
        <w:lastRenderedPageBreak/>
        <w:t>En el Plan Estratégico Institucional (PEI) 2017-2020, ha definido aspectos sobre desarrollo y bienestar integral del capital humano, contribuyendo a la agilidad organizacional para el futuro, inserción de la diversidad cultural y género, tomando en cuenta criterios sociales, beneficiando al empleado con estudios nacionales e internacionales, programa de becas y ayuda estudiantil, permisos por nacimiento de hijos, publicación y concesión de día libre por cumpleaños, licencias y permisos; equipos deportivos y culturales, entre otros beneficios contemplados en la Ley 41-08 y políticas de gestión.</w:t>
      </w:r>
    </w:p>
    <w:p w:rsidR="002B395D" w:rsidRPr="00BB231B" w:rsidRDefault="007D0D0A" w:rsidP="002B395D">
      <w:pPr>
        <w:spacing w:line="360" w:lineRule="auto"/>
        <w:ind w:firstLine="709"/>
        <w:rPr>
          <w:rFonts w:ascii="Times New Roman" w:hAnsi="Times New Roman" w:cs="Times New Roman"/>
          <w:color w:val="auto"/>
          <w:sz w:val="24"/>
          <w:szCs w:val="24"/>
          <w:lang w:val="es-DO"/>
        </w:rPr>
      </w:pPr>
      <w:r w:rsidRPr="002B395D">
        <w:rPr>
          <w:rFonts w:ascii="Times New Roman" w:hAnsi="Times New Roman" w:cs="Times New Roman"/>
          <w:b/>
          <w:color w:val="auto"/>
          <w:sz w:val="24"/>
          <w:szCs w:val="24"/>
        </w:rPr>
        <w:t>Evaluación de Desempeño:</w:t>
      </w:r>
      <w:r w:rsidRPr="002B395D">
        <w:rPr>
          <w:rFonts w:ascii="Times New Roman" w:hAnsi="Times New Roman" w:cs="Times New Roman"/>
          <w:color w:val="auto"/>
          <w:sz w:val="24"/>
          <w:szCs w:val="24"/>
        </w:rPr>
        <w:t xml:space="preserve"> </w:t>
      </w:r>
      <w:r w:rsidRPr="004B71D0">
        <w:rPr>
          <w:rFonts w:ascii="Times New Roman" w:hAnsi="Times New Roman" w:cs="Times New Roman"/>
          <w:color w:val="auto"/>
          <w:sz w:val="24"/>
          <w:szCs w:val="24"/>
        </w:rPr>
        <w:t xml:space="preserve">El proceso de evaluación del desempeño permite medir el rendimiento del empleado, y nos aporta una valiosa base de datos para la planificación de la capacitación. </w:t>
      </w:r>
      <w:r w:rsidR="002B395D" w:rsidRPr="00BB231B">
        <w:rPr>
          <w:rFonts w:ascii="Times New Roman" w:hAnsi="Times New Roman" w:cs="Times New Roman"/>
          <w:color w:val="auto"/>
          <w:sz w:val="24"/>
          <w:szCs w:val="24"/>
          <w:lang w:val="es-DO"/>
        </w:rPr>
        <w:t xml:space="preserve">Se evaluó al personal utilizando el Sistema de Evaluación del Desempeño basada en Resultados, Competencias y Régimen Ético y Disciplinario. </w:t>
      </w:r>
    </w:p>
    <w:p w:rsidR="007D0D0A" w:rsidRDefault="007D0D0A" w:rsidP="004B71D0">
      <w:pPr>
        <w:spacing w:after="0" w:line="480" w:lineRule="auto"/>
        <w:ind w:firstLine="709"/>
        <w:rPr>
          <w:rFonts w:ascii="Times New Roman" w:hAnsi="Times New Roman" w:cs="Times New Roman"/>
          <w:color w:val="auto"/>
          <w:sz w:val="24"/>
          <w:szCs w:val="24"/>
        </w:rPr>
      </w:pPr>
      <w:r w:rsidRPr="004B71D0">
        <w:rPr>
          <w:rFonts w:ascii="Times New Roman" w:hAnsi="Times New Roman" w:cs="Times New Roman"/>
          <w:color w:val="auto"/>
          <w:sz w:val="24"/>
          <w:szCs w:val="24"/>
        </w:rPr>
        <w:t xml:space="preserve">Las cifras correspondientes a la evaluación del desempeño 2016, realizada en el primer trimestre del 2017 son: </w:t>
      </w:r>
    </w:p>
    <w:p w:rsidR="002B395D" w:rsidRDefault="002B395D" w:rsidP="004B71D0">
      <w:pPr>
        <w:spacing w:after="0" w:line="480" w:lineRule="auto"/>
        <w:ind w:firstLine="709"/>
        <w:rPr>
          <w:rFonts w:ascii="Times New Roman" w:hAnsi="Times New Roman" w:cs="Times New Roman"/>
          <w:color w:val="auto"/>
          <w:sz w:val="24"/>
          <w:szCs w:val="24"/>
        </w:rPr>
      </w:pPr>
    </w:p>
    <w:p w:rsidR="002B395D" w:rsidRDefault="002B395D" w:rsidP="004B71D0">
      <w:pPr>
        <w:spacing w:after="0" w:line="480" w:lineRule="auto"/>
        <w:ind w:firstLine="709"/>
        <w:rPr>
          <w:rFonts w:ascii="Times New Roman" w:hAnsi="Times New Roman" w:cs="Times New Roman"/>
          <w:color w:val="auto"/>
          <w:sz w:val="24"/>
          <w:szCs w:val="24"/>
        </w:rPr>
      </w:pPr>
    </w:p>
    <w:tbl>
      <w:tblPr>
        <w:tblW w:w="8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0"/>
        <w:gridCol w:w="1449"/>
        <w:gridCol w:w="1416"/>
      </w:tblGrid>
      <w:tr w:rsidR="00DD42E9" w:rsidRPr="00BB231B" w:rsidTr="002B395D">
        <w:trPr>
          <w:trHeight w:val="292"/>
        </w:trPr>
        <w:tc>
          <w:tcPr>
            <w:tcW w:w="5440" w:type="dxa"/>
          </w:tcPr>
          <w:p w:rsidR="007D0D0A" w:rsidRPr="00BB231B" w:rsidRDefault="007D0D0A" w:rsidP="00F91AB8">
            <w:pPr>
              <w:spacing w:after="120" w:line="360" w:lineRule="auto"/>
              <w:rPr>
                <w:rFonts w:ascii="Times New Roman" w:eastAsia="Calibri" w:hAnsi="Times New Roman" w:cs="Times New Roman"/>
                <w:b/>
                <w:color w:val="auto"/>
                <w:sz w:val="24"/>
                <w:szCs w:val="24"/>
              </w:rPr>
            </w:pPr>
            <w:r w:rsidRPr="00BB231B">
              <w:rPr>
                <w:rFonts w:ascii="Times New Roman" w:eastAsia="Calibri" w:hAnsi="Times New Roman" w:cs="Times New Roman"/>
                <w:b/>
                <w:color w:val="auto"/>
                <w:sz w:val="24"/>
                <w:szCs w:val="24"/>
              </w:rPr>
              <w:t>Colaboradores</w:t>
            </w:r>
          </w:p>
        </w:tc>
        <w:tc>
          <w:tcPr>
            <w:tcW w:w="1449" w:type="dxa"/>
          </w:tcPr>
          <w:p w:rsidR="007D0D0A" w:rsidRPr="00BB231B" w:rsidRDefault="007D0D0A" w:rsidP="00F91AB8">
            <w:pPr>
              <w:spacing w:after="120" w:line="360" w:lineRule="auto"/>
              <w:jc w:val="center"/>
              <w:rPr>
                <w:rFonts w:ascii="Times New Roman" w:eastAsia="Calibri" w:hAnsi="Times New Roman" w:cs="Times New Roman"/>
                <w:b/>
                <w:color w:val="auto"/>
                <w:sz w:val="24"/>
                <w:szCs w:val="24"/>
              </w:rPr>
            </w:pPr>
            <w:r w:rsidRPr="00BB231B">
              <w:rPr>
                <w:rFonts w:ascii="Times New Roman" w:eastAsia="Calibri" w:hAnsi="Times New Roman" w:cs="Times New Roman"/>
                <w:b/>
                <w:color w:val="auto"/>
                <w:sz w:val="24"/>
                <w:szCs w:val="24"/>
              </w:rPr>
              <w:t>Cantidades</w:t>
            </w:r>
          </w:p>
        </w:tc>
        <w:tc>
          <w:tcPr>
            <w:tcW w:w="1416" w:type="dxa"/>
          </w:tcPr>
          <w:p w:rsidR="007D0D0A" w:rsidRPr="00BB231B" w:rsidRDefault="007D0D0A" w:rsidP="00F91AB8">
            <w:pPr>
              <w:spacing w:after="120" w:line="360" w:lineRule="auto"/>
              <w:jc w:val="center"/>
              <w:rPr>
                <w:rFonts w:ascii="Times New Roman" w:eastAsia="Calibri" w:hAnsi="Times New Roman" w:cs="Times New Roman"/>
                <w:b/>
                <w:color w:val="auto"/>
                <w:sz w:val="24"/>
                <w:szCs w:val="24"/>
              </w:rPr>
            </w:pPr>
            <w:r w:rsidRPr="00BB231B">
              <w:rPr>
                <w:rFonts w:ascii="Times New Roman" w:eastAsia="Calibri" w:hAnsi="Times New Roman" w:cs="Times New Roman"/>
                <w:b/>
                <w:color w:val="auto"/>
                <w:sz w:val="24"/>
                <w:szCs w:val="24"/>
              </w:rPr>
              <w:t>Porcentajes</w:t>
            </w:r>
          </w:p>
        </w:tc>
      </w:tr>
      <w:tr w:rsidR="00DD42E9" w:rsidRPr="00BB231B" w:rsidTr="002B395D">
        <w:trPr>
          <w:trHeight w:val="292"/>
        </w:trPr>
        <w:tc>
          <w:tcPr>
            <w:tcW w:w="5440" w:type="dxa"/>
          </w:tcPr>
          <w:p w:rsidR="007D0D0A" w:rsidRPr="00BB231B" w:rsidRDefault="007D0D0A" w:rsidP="00F91AB8">
            <w:pPr>
              <w:spacing w:after="120" w:line="360" w:lineRule="auto"/>
              <w:rPr>
                <w:rFonts w:ascii="Times New Roman" w:eastAsia="Calibri" w:hAnsi="Times New Roman" w:cs="Times New Roman"/>
                <w:color w:val="auto"/>
                <w:sz w:val="24"/>
                <w:szCs w:val="24"/>
                <w:lang w:val="es-DO"/>
              </w:rPr>
            </w:pPr>
            <w:r w:rsidRPr="00BB231B">
              <w:rPr>
                <w:rFonts w:ascii="Times New Roman" w:eastAsia="Calibri" w:hAnsi="Times New Roman" w:cs="Times New Roman"/>
                <w:color w:val="auto"/>
                <w:sz w:val="24"/>
                <w:szCs w:val="24"/>
                <w:lang w:val="es-DO"/>
              </w:rPr>
              <w:t>Colaboradores evaluados en primer trimestre 2017</w:t>
            </w:r>
          </w:p>
        </w:tc>
        <w:tc>
          <w:tcPr>
            <w:tcW w:w="1449" w:type="dxa"/>
            <w:vAlign w:val="center"/>
          </w:tcPr>
          <w:p w:rsidR="007D0D0A" w:rsidRPr="00BB231B" w:rsidRDefault="007D0D0A" w:rsidP="00F91AB8">
            <w:pPr>
              <w:spacing w:after="120" w:line="360" w:lineRule="auto"/>
              <w:jc w:val="center"/>
              <w:rPr>
                <w:rFonts w:ascii="Times New Roman" w:eastAsia="Calibri" w:hAnsi="Times New Roman" w:cs="Times New Roman"/>
                <w:color w:val="auto"/>
                <w:sz w:val="24"/>
                <w:szCs w:val="24"/>
              </w:rPr>
            </w:pPr>
            <w:r w:rsidRPr="00BB231B">
              <w:rPr>
                <w:rFonts w:ascii="Times New Roman" w:eastAsia="Calibri" w:hAnsi="Times New Roman" w:cs="Times New Roman"/>
                <w:color w:val="auto"/>
                <w:sz w:val="24"/>
                <w:szCs w:val="24"/>
              </w:rPr>
              <w:t>1,320</w:t>
            </w:r>
          </w:p>
        </w:tc>
        <w:tc>
          <w:tcPr>
            <w:tcW w:w="1416" w:type="dxa"/>
            <w:vAlign w:val="center"/>
          </w:tcPr>
          <w:p w:rsidR="007D0D0A" w:rsidRPr="00BB231B" w:rsidRDefault="007D0D0A" w:rsidP="00F91AB8">
            <w:pPr>
              <w:spacing w:after="120" w:line="360" w:lineRule="auto"/>
              <w:jc w:val="center"/>
              <w:rPr>
                <w:rFonts w:ascii="Times New Roman" w:eastAsia="Calibri" w:hAnsi="Times New Roman" w:cs="Times New Roman"/>
                <w:color w:val="auto"/>
                <w:sz w:val="24"/>
                <w:szCs w:val="24"/>
              </w:rPr>
            </w:pPr>
            <w:r w:rsidRPr="00BB231B">
              <w:rPr>
                <w:rFonts w:ascii="Times New Roman" w:eastAsia="Calibri" w:hAnsi="Times New Roman" w:cs="Times New Roman"/>
                <w:color w:val="auto"/>
                <w:sz w:val="24"/>
                <w:szCs w:val="24"/>
              </w:rPr>
              <w:t>95.31%</w:t>
            </w:r>
          </w:p>
        </w:tc>
      </w:tr>
      <w:tr w:rsidR="00DD42E9" w:rsidRPr="00BB231B" w:rsidTr="002B395D">
        <w:trPr>
          <w:trHeight w:val="569"/>
        </w:trPr>
        <w:tc>
          <w:tcPr>
            <w:tcW w:w="5440" w:type="dxa"/>
          </w:tcPr>
          <w:p w:rsidR="007D0D0A" w:rsidRPr="00BB231B" w:rsidRDefault="007D0D0A" w:rsidP="00F91AB8">
            <w:pPr>
              <w:spacing w:after="120" w:line="360" w:lineRule="auto"/>
              <w:rPr>
                <w:rFonts w:ascii="Times New Roman" w:eastAsia="Calibri" w:hAnsi="Times New Roman" w:cs="Times New Roman"/>
                <w:color w:val="auto"/>
                <w:sz w:val="24"/>
                <w:szCs w:val="24"/>
                <w:lang w:val="es-DO"/>
              </w:rPr>
            </w:pPr>
            <w:r w:rsidRPr="00BB231B">
              <w:rPr>
                <w:rFonts w:ascii="Times New Roman" w:eastAsia="Calibri" w:hAnsi="Times New Roman" w:cs="Times New Roman"/>
                <w:color w:val="auto"/>
                <w:sz w:val="24"/>
                <w:szCs w:val="24"/>
                <w:lang w:val="es-DO"/>
              </w:rPr>
              <w:t xml:space="preserve">Colaboradores no evaluados por licencias y tiempo de empleo en la institución. </w:t>
            </w:r>
          </w:p>
        </w:tc>
        <w:tc>
          <w:tcPr>
            <w:tcW w:w="1449" w:type="dxa"/>
            <w:vAlign w:val="center"/>
          </w:tcPr>
          <w:p w:rsidR="007D0D0A" w:rsidRPr="00BB231B" w:rsidRDefault="007D0D0A" w:rsidP="00F91AB8">
            <w:pPr>
              <w:spacing w:after="120" w:line="360" w:lineRule="auto"/>
              <w:jc w:val="center"/>
              <w:rPr>
                <w:rFonts w:ascii="Times New Roman" w:eastAsia="Calibri" w:hAnsi="Times New Roman" w:cs="Times New Roman"/>
                <w:color w:val="auto"/>
                <w:sz w:val="24"/>
                <w:szCs w:val="24"/>
              </w:rPr>
            </w:pPr>
            <w:r w:rsidRPr="00BB231B">
              <w:rPr>
                <w:rFonts w:ascii="Times New Roman" w:eastAsia="Calibri" w:hAnsi="Times New Roman" w:cs="Times New Roman"/>
                <w:color w:val="auto"/>
                <w:sz w:val="24"/>
                <w:szCs w:val="24"/>
              </w:rPr>
              <w:t>65</w:t>
            </w:r>
          </w:p>
        </w:tc>
        <w:tc>
          <w:tcPr>
            <w:tcW w:w="1416" w:type="dxa"/>
            <w:vAlign w:val="center"/>
          </w:tcPr>
          <w:p w:rsidR="007D0D0A" w:rsidRPr="00BB231B" w:rsidRDefault="007D0D0A" w:rsidP="00F91AB8">
            <w:pPr>
              <w:spacing w:after="120" w:line="360" w:lineRule="auto"/>
              <w:jc w:val="center"/>
              <w:rPr>
                <w:rFonts w:ascii="Times New Roman" w:eastAsia="Calibri" w:hAnsi="Times New Roman" w:cs="Times New Roman"/>
                <w:color w:val="auto"/>
                <w:sz w:val="24"/>
                <w:szCs w:val="24"/>
              </w:rPr>
            </w:pPr>
            <w:r w:rsidRPr="00BB231B">
              <w:rPr>
                <w:rFonts w:ascii="Times New Roman" w:eastAsia="Calibri" w:hAnsi="Times New Roman" w:cs="Times New Roman"/>
                <w:color w:val="auto"/>
                <w:sz w:val="24"/>
                <w:szCs w:val="24"/>
              </w:rPr>
              <w:t>4.69%</w:t>
            </w:r>
          </w:p>
        </w:tc>
      </w:tr>
      <w:tr w:rsidR="00DD42E9" w:rsidRPr="00BB231B" w:rsidTr="002B395D">
        <w:trPr>
          <w:trHeight w:val="307"/>
        </w:trPr>
        <w:tc>
          <w:tcPr>
            <w:tcW w:w="5440" w:type="dxa"/>
          </w:tcPr>
          <w:p w:rsidR="007D0D0A" w:rsidRPr="00BB231B" w:rsidRDefault="007D0D0A" w:rsidP="00F91AB8">
            <w:pPr>
              <w:spacing w:after="120" w:line="360" w:lineRule="auto"/>
              <w:rPr>
                <w:rFonts w:ascii="Times New Roman" w:eastAsia="Calibri" w:hAnsi="Times New Roman" w:cs="Times New Roman"/>
                <w:color w:val="auto"/>
                <w:sz w:val="24"/>
                <w:szCs w:val="24"/>
                <w:lang w:val="es-DO"/>
              </w:rPr>
            </w:pPr>
            <w:r w:rsidRPr="00BB231B">
              <w:rPr>
                <w:rFonts w:ascii="Times New Roman" w:eastAsia="Calibri" w:hAnsi="Times New Roman" w:cs="Times New Roman"/>
                <w:color w:val="auto"/>
                <w:sz w:val="24"/>
                <w:szCs w:val="24"/>
                <w:lang w:val="es-DO"/>
              </w:rPr>
              <w:t>Colaboradores en nómina a enero 2017</w:t>
            </w:r>
          </w:p>
        </w:tc>
        <w:tc>
          <w:tcPr>
            <w:tcW w:w="1449" w:type="dxa"/>
            <w:vAlign w:val="center"/>
          </w:tcPr>
          <w:p w:rsidR="007D0D0A" w:rsidRPr="00BB231B" w:rsidRDefault="007D0D0A" w:rsidP="00F91AB8">
            <w:pPr>
              <w:spacing w:after="120" w:line="360" w:lineRule="auto"/>
              <w:jc w:val="center"/>
              <w:rPr>
                <w:rFonts w:ascii="Times New Roman" w:eastAsia="Calibri" w:hAnsi="Times New Roman" w:cs="Times New Roman"/>
                <w:color w:val="auto"/>
                <w:sz w:val="24"/>
                <w:szCs w:val="24"/>
              </w:rPr>
            </w:pPr>
            <w:r w:rsidRPr="00BB231B">
              <w:rPr>
                <w:rFonts w:ascii="Times New Roman" w:eastAsia="Calibri" w:hAnsi="Times New Roman" w:cs="Times New Roman"/>
                <w:color w:val="auto"/>
                <w:sz w:val="24"/>
                <w:szCs w:val="24"/>
              </w:rPr>
              <w:t>1,385</w:t>
            </w:r>
          </w:p>
        </w:tc>
        <w:tc>
          <w:tcPr>
            <w:tcW w:w="1416" w:type="dxa"/>
            <w:vAlign w:val="center"/>
          </w:tcPr>
          <w:p w:rsidR="007D0D0A" w:rsidRPr="00BB231B" w:rsidRDefault="007D0D0A" w:rsidP="00F91AB8">
            <w:pPr>
              <w:spacing w:after="120" w:line="360" w:lineRule="auto"/>
              <w:jc w:val="center"/>
              <w:rPr>
                <w:rFonts w:ascii="Times New Roman" w:eastAsia="Calibri" w:hAnsi="Times New Roman" w:cs="Times New Roman"/>
                <w:color w:val="auto"/>
                <w:sz w:val="24"/>
                <w:szCs w:val="24"/>
              </w:rPr>
            </w:pPr>
            <w:r w:rsidRPr="00BB231B">
              <w:rPr>
                <w:rFonts w:ascii="Times New Roman" w:eastAsia="Calibri" w:hAnsi="Times New Roman" w:cs="Times New Roman"/>
                <w:color w:val="auto"/>
                <w:sz w:val="24"/>
                <w:szCs w:val="24"/>
              </w:rPr>
              <w:t>100%</w:t>
            </w:r>
          </w:p>
        </w:tc>
      </w:tr>
    </w:tbl>
    <w:p w:rsidR="007D0D0A" w:rsidRPr="00BB231B" w:rsidRDefault="007D0D0A" w:rsidP="007D0D0A">
      <w:pPr>
        <w:spacing w:line="540" w:lineRule="exact"/>
        <w:ind w:left="-142" w:right="393"/>
        <w:rPr>
          <w:rFonts w:ascii="Times New Roman" w:hAnsi="Times New Roman" w:cs="Times New Roman"/>
          <w:color w:val="auto"/>
          <w:sz w:val="17"/>
          <w:szCs w:val="17"/>
          <w:lang w:val="es-DO"/>
        </w:rPr>
      </w:pPr>
      <w:r w:rsidRPr="00BB231B">
        <w:rPr>
          <w:rFonts w:ascii="Times New Roman" w:hAnsi="Times New Roman" w:cs="Times New Roman"/>
          <w:b/>
          <w:color w:val="auto"/>
          <w:sz w:val="24"/>
          <w:szCs w:val="24"/>
          <w:lang w:val="es-DO"/>
        </w:rPr>
        <w:lastRenderedPageBreak/>
        <w:t>R</w:t>
      </w:r>
      <w:r w:rsidRPr="00BB231B">
        <w:rPr>
          <w:rFonts w:ascii="Times New Roman" w:hAnsi="Times New Roman" w:cs="Times New Roman"/>
          <w:b/>
          <w:color w:val="auto"/>
          <w:spacing w:val="-1"/>
          <w:sz w:val="24"/>
          <w:szCs w:val="24"/>
          <w:lang w:val="es-DO"/>
        </w:rPr>
        <w:t>ec</w:t>
      </w:r>
      <w:r w:rsidRPr="00BB231B">
        <w:rPr>
          <w:rFonts w:ascii="Times New Roman" w:hAnsi="Times New Roman" w:cs="Times New Roman"/>
          <w:b/>
          <w:color w:val="auto"/>
          <w:sz w:val="24"/>
          <w:szCs w:val="24"/>
          <w:lang w:val="es-DO"/>
        </w:rPr>
        <w:t>o</w:t>
      </w:r>
      <w:r w:rsidRPr="00BB231B">
        <w:rPr>
          <w:rFonts w:ascii="Times New Roman" w:hAnsi="Times New Roman" w:cs="Times New Roman"/>
          <w:b/>
          <w:color w:val="auto"/>
          <w:spacing w:val="1"/>
          <w:sz w:val="24"/>
          <w:szCs w:val="24"/>
          <w:lang w:val="es-DO"/>
        </w:rPr>
        <w:t>n</w:t>
      </w:r>
      <w:r w:rsidRPr="00BB231B">
        <w:rPr>
          <w:rFonts w:ascii="Times New Roman" w:hAnsi="Times New Roman" w:cs="Times New Roman"/>
          <w:b/>
          <w:color w:val="auto"/>
          <w:sz w:val="24"/>
          <w:szCs w:val="24"/>
          <w:lang w:val="es-DO"/>
        </w:rPr>
        <w:t>o</w:t>
      </w:r>
      <w:r w:rsidRPr="00BB231B">
        <w:rPr>
          <w:rFonts w:ascii="Times New Roman" w:hAnsi="Times New Roman" w:cs="Times New Roman"/>
          <w:b/>
          <w:color w:val="auto"/>
          <w:spacing w:val="-1"/>
          <w:sz w:val="24"/>
          <w:szCs w:val="24"/>
          <w:lang w:val="es-DO"/>
        </w:rPr>
        <w:t>c</w:t>
      </w:r>
      <w:r w:rsidRPr="00BB231B">
        <w:rPr>
          <w:rFonts w:ascii="Times New Roman" w:hAnsi="Times New Roman" w:cs="Times New Roman"/>
          <w:b/>
          <w:color w:val="auto"/>
          <w:spacing w:val="3"/>
          <w:sz w:val="24"/>
          <w:szCs w:val="24"/>
          <w:lang w:val="es-DO"/>
        </w:rPr>
        <w:t>i</w:t>
      </w:r>
      <w:r w:rsidRPr="00BB231B">
        <w:rPr>
          <w:rFonts w:ascii="Times New Roman" w:hAnsi="Times New Roman" w:cs="Times New Roman"/>
          <w:b/>
          <w:color w:val="auto"/>
          <w:spacing w:val="-3"/>
          <w:sz w:val="24"/>
          <w:szCs w:val="24"/>
          <w:lang w:val="es-DO"/>
        </w:rPr>
        <w:t>m</w:t>
      </w:r>
      <w:r w:rsidRPr="00BB231B">
        <w:rPr>
          <w:rFonts w:ascii="Times New Roman" w:hAnsi="Times New Roman" w:cs="Times New Roman"/>
          <w:b/>
          <w:color w:val="auto"/>
          <w:sz w:val="24"/>
          <w:szCs w:val="24"/>
          <w:lang w:val="es-DO"/>
        </w:rPr>
        <w:t>i</w:t>
      </w:r>
      <w:r w:rsidRPr="00BB231B">
        <w:rPr>
          <w:rFonts w:ascii="Times New Roman" w:hAnsi="Times New Roman" w:cs="Times New Roman"/>
          <w:b/>
          <w:color w:val="auto"/>
          <w:spacing w:val="-1"/>
          <w:sz w:val="24"/>
          <w:szCs w:val="24"/>
          <w:lang w:val="es-DO"/>
        </w:rPr>
        <w:t>e</w:t>
      </w:r>
      <w:r w:rsidRPr="00BB231B">
        <w:rPr>
          <w:rFonts w:ascii="Times New Roman" w:hAnsi="Times New Roman" w:cs="Times New Roman"/>
          <w:b/>
          <w:color w:val="auto"/>
          <w:spacing w:val="1"/>
          <w:sz w:val="24"/>
          <w:szCs w:val="24"/>
          <w:lang w:val="es-DO"/>
        </w:rPr>
        <w:t>n</w:t>
      </w:r>
      <w:r w:rsidRPr="00BB231B">
        <w:rPr>
          <w:rFonts w:ascii="Times New Roman" w:hAnsi="Times New Roman" w:cs="Times New Roman"/>
          <w:b/>
          <w:color w:val="auto"/>
          <w:sz w:val="24"/>
          <w:szCs w:val="24"/>
          <w:lang w:val="es-DO"/>
        </w:rPr>
        <w:t xml:space="preserve">tos, </w:t>
      </w:r>
      <w:r w:rsidRPr="00BB231B">
        <w:rPr>
          <w:rFonts w:ascii="Times New Roman" w:hAnsi="Times New Roman" w:cs="Times New Roman"/>
          <w:b/>
          <w:color w:val="auto"/>
          <w:spacing w:val="2"/>
          <w:sz w:val="24"/>
          <w:szCs w:val="24"/>
          <w:lang w:val="es-DO"/>
        </w:rPr>
        <w:t>M</w:t>
      </w:r>
      <w:r w:rsidRPr="00BB231B">
        <w:rPr>
          <w:rFonts w:ascii="Times New Roman" w:hAnsi="Times New Roman" w:cs="Times New Roman"/>
          <w:b/>
          <w:color w:val="auto"/>
          <w:spacing w:val="-1"/>
          <w:sz w:val="24"/>
          <w:szCs w:val="24"/>
          <w:lang w:val="es-DO"/>
        </w:rPr>
        <w:t>e</w:t>
      </w:r>
      <w:r w:rsidRPr="00BB231B">
        <w:rPr>
          <w:rFonts w:ascii="Times New Roman" w:hAnsi="Times New Roman" w:cs="Times New Roman"/>
          <w:b/>
          <w:color w:val="auto"/>
          <w:spacing w:val="1"/>
          <w:sz w:val="24"/>
          <w:szCs w:val="24"/>
          <w:lang w:val="es-DO"/>
        </w:rPr>
        <w:t>d</w:t>
      </w:r>
      <w:r w:rsidRPr="00BB231B">
        <w:rPr>
          <w:rFonts w:ascii="Times New Roman" w:hAnsi="Times New Roman" w:cs="Times New Roman"/>
          <w:b/>
          <w:color w:val="auto"/>
          <w:sz w:val="24"/>
          <w:szCs w:val="24"/>
          <w:lang w:val="es-DO"/>
        </w:rPr>
        <w:t>alla</w:t>
      </w:r>
      <w:r w:rsidRPr="00BB231B">
        <w:rPr>
          <w:rFonts w:ascii="Times New Roman" w:hAnsi="Times New Roman" w:cs="Times New Roman"/>
          <w:b/>
          <w:color w:val="auto"/>
          <w:spacing w:val="7"/>
          <w:sz w:val="24"/>
          <w:szCs w:val="24"/>
          <w:lang w:val="es-DO"/>
        </w:rPr>
        <w:t xml:space="preserve"> </w:t>
      </w:r>
      <w:r w:rsidRPr="00BB231B">
        <w:rPr>
          <w:rFonts w:ascii="Times New Roman" w:hAnsi="Times New Roman" w:cs="Times New Roman"/>
          <w:b/>
          <w:color w:val="auto"/>
          <w:sz w:val="24"/>
          <w:szCs w:val="24"/>
          <w:lang w:val="es-DO"/>
        </w:rPr>
        <w:t>al</w:t>
      </w:r>
      <w:r w:rsidRPr="00BB231B">
        <w:rPr>
          <w:rFonts w:ascii="Times New Roman" w:hAnsi="Times New Roman" w:cs="Times New Roman"/>
          <w:b/>
          <w:color w:val="auto"/>
          <w:spacing w:val="13"/>
          <w:sz w:val="24"/>
          <w:szCs w:val="24"/>
          <w:lang w:val="es-DO"/>
        </w:rPr>
        <w:t xml:space="preserve"> </w:t>
      </w:r>
      <w:r w:rsidRPr="00BB231B">
        <w:rPr>
          <w:rFonts w:ascii="Times New Roman" w:hAnsi="Times New Roman" w:cs="Times New Roman"/>
          <w:b/>
          <w:color w:val="auto"/>
          <w:sz w:val="24"/>
          <w:szCs w:val="24"/>
          <w:lang w:val="es-DO"/>
        </w:rPr>
        <w:t>M</w:t>
      </w:r>
      <w:r w:rsidRPr="00BB231B">
        <w:rPr>
          <w:rFonts w:ascii="Times New Roman" w:hAnsi="Times New Roman" w:cs="Times New Roman"/>
          <w:b/>
          <w:color w:val="auto"/>
          <w:spacing w:val="-1"/>
          <w:sz w:val="24"/>
          <w:szCs w:val="24"/>
          <w:lang w:val="es-DO"/>
        </w:rPr>
        <w:t>ér</w:t>
      </w:r>
      <w:r w:rsidRPr="00BB231B">
        <w:rPr>
          <w:rFonts w:ascii="Times New Roman" w:hAnsi="Times New Roman" w:cs="Times New Roman"/>
          <w:b/>
          <w:color w:val="auto"/>
          <w:sz w:val="24"/>
          <w:szCs w:val="24"/>
          <w:lang w:val="es-DO"/>
        </w:rPr>
        <w:t>ito.</w:t>
      </w:r>
      <w:r w:rsidRPr="00BB231B">
        <w:rPr>
          <w:rFonts w:ascii="Times New Roman" w:hAnsi="Times New Roman" w:cs="Times New Roman"/>
          <w:b/>
          <w:color w:val="auto"/>
          <w:spacing w:val="12"/>
          <w:sz w:val="24"/>
          <w:szCs w:val="24"/>
          <w:lang w:val="es-DO"/>
        </w:rPr>
        <w:t xml:space="preserve"> </w:t>
      </w:r>
      <w:r w:rsidRPr="00BB231B">
        <w:rPr>
          <w:rFonts w:ascii="Times New Roman" w:hAnsi="Times New Roman" w:cs="Times New Roman"/>
          <w:color w:val="auto"/>
          <w:sz w:val="24"/>
          <w:szCs w:val="24"/>
          <w:lang w:val="es-DO"/>
        </w:rPr>
        <w:t>En el año 2017</w:t>
      </w:r>
      <w:r w:rsidRPr="00BB231B">
        <w:rPr>
          <w:rFonts w:ascii="Times New Roman" w:hAnsi="Times New Roman" w:cs="Times New Roman"/>
          <w:color w:val="auto"/>
          <w:spacing w:val="13"/>
          <w:sz w:val="24"/>
          <w:szCs w:val="24"/>
          <w:lang w:val="es-DO"/>
        </w:rPr>
        <w:t xml:space="preserve"> </w:t>
      </w:r>
      <w:r w:rsidRPr="00BB231B">
        <w:rPr>
          <w:rFonts w:ascii="Times New Roman" w:hAnsi="Times New Roman" w:cs="Times New Roman"/>
          <w:color w:val="auto"/>
          <w:sz w:val="24"/>
          <w:szCs w:val="24"/>
          <w:lang w:val="es-DO"/>
        </w:rPr>
        <w:t>fu</w:t>
      </w:r>
      <w:r w:rsidRPr="00BB231B">
        <w:rPr>
          <w:rFonts w:ascii="Times New Roman" w:hAnsi="Times New Roman" w:cs="Times New Roman"/>
          <w:color w:val="auto"/>
          <w:spacing w:val="-1"/>
          <w:sz w:val="24"/>
          <w:szCs w:val="24"/>
          <w:lang w:val="es-DO"/>
        </w:rPr>
        <w:t>e</w:t>
      </w:r>
      <w:r w:rsidRPr="00BB231B">
        <w:rPr>
          <w:rFonts w:ascii="Times New Roman" w:hAnsi="Times New Roman" w:cs="Times New Roman"/>
          <w:color w:val="auto"/>
          <w:sz w:val="24"/>
          <w:szCs w:val="24"/>
          <w:lang w:val="es-DO"/>
        </w:rPr>
        <w:t>r</w:t>
      </w:r>
      <w:r w:rsidRPr="00BB231B">
        <w:rPr>
          <w:rFonts w:ascii="Times New Roman" w:hAnsi="Times New Roman" w:cs="Times New Roman"/>
          <w:color w:val="auto"/>
          <w:spacing w:val="2"/>
          <w:sz w:val="24"/>
          <w:szCs w:val="24"/>
          <w:lang w:val="es-DO"/>
        </w:rPr>
        <w:t>o</w:t>
      </w:r>
      <w:r w:rsidRPr="00BB231B">
        <w:rPr>
          <w:rFonts w:ascii="Times New Roman" w:hAnsi="Times New Roman" w:cs="Times New Roman"/>
          <w:color w:val="auto"/>
          <w:sz w:val="24"/>
          <w:szCs w:val="24"/>
          <w:lang w:val="es-DO"/>
        </w:rPr>
        <w:t>n r</w:t>
      </w:r>
      <w:r w:rsidRPr="00BB231B">
        <w:rPr>
          <w:rFonts w:ascii="Times New Roman" w:hAnsi="Times New Roman" w:cs="Times New Roman"/>
          <w:color w:val="auto"/>
          <w:spacing w:val="-1"/>
          <w:sz w:val="24"/>
          <w:szCs w:val="24"/>
          <w:lang w:val="es-DO"/>
        </w:rPr>
        <w:t>ec</w:t>
      </w:r>
      <w:r w:rsidRPr="00BB231B">
        <w:rPr>
          <w:rFonts w:ascii="Times New Roman" w:hAnsi="Times New Roman" w:cs="Times New Roman"/>
          <w:color w:val="auto"/>
          <w:sz w:val="24"/>
          <w:szCs w:val="24"/>
          <w:lang w:val="es-DO"/>
        </w:rPr>
        <w:t>ono</w:t>
      </w:r>
      <w:r w:rsidRPr="00BB231B">
        <w:rPr>
          <w:rFonts w:ascii="Times New Roman" w:hAnsi="Times New Roman" w:cs="Times New Roman"/>
          <w:color w:val="auto"/>
          <w:spacing w:val="-1"/>
          <w:sz w:val="24"/>
          <w:szCs w:val="24"/>
          <w:lang w:val="es-DO"/>
        </w:rPr>
        <w:t>c</w:t>
      </w:r>
      <w:r w:rsidRPr="00BB231B">
        <w:rPr>
          <w:rFonts w:ascii="Times New Roman" w:hAnsi="Times New Roman" w:cs="Times New Roman"/>
          <w:color w:val="auto"/>
          <w:sz w:val="24"/>
          <w:szCs w:val="24"/>
          <w:lang w:val="es-DO"/>
        </w:rPr>
        <w:t>idos p</w:t>
      </w:r>
      <w:r w:rsidRPr="00BB231B">
        <w:rPr>
          <w:rFonts w:ascii="Times New Roman" w:hAnsi="Times New Roman" w:cs="Times New Roman"/>
          <w:color w:val="auto"/>
          <w:spacing w:val="2"/>
          <w:sz w:val="24"/>
          <w:szCs w:val="24"/>
          <w:lang w:val="es-DO"/>
        </w:rPr>
        <w:t>o</w:t>
      </w:r>
      <w:r w:rsidRPr="00BB231B">
        <w:rPr>
          <w:rFonts w:ascii="Times New Roman" w:hAnsi="Times New Roman" w:cs="Times New Roman"/>
          <w:color w:val="auto"/>
          <w:sz w:val="24"/>
          <w:szCs w:val="24"/>
          <w:lang w:val="es-DO"/>
        </w:rPr>
        <w:t>r</w:t>
      </w:r>
      <w:r w:rsidRPr="00BB231B">
        <w:rPr>
          <w:rFonts w:ascii="Times New Roman" w:hAnsi="Times New Roman" w:cs="Times New Roman"/>
          <w:color w:val="auto"/>
          <w:spacing w:val="5"/>
          <w:sz w:val="24"/>
          <w:szCs w:val="24"/>
          <w:lang w:val="es-DO"/>
        </w:rPr>
        <w:t xml:space="preserve"> </w:t>
      </w:r>
      <w:r w:rsidRPr="00BB231B">
        <w:rPr>
          <w:rFonts w:ascii="Times New Roman" w:hAnsi="Times New Roman" w:cs="Times New Roman"/>
          <w:color w:val="auto"/>
          <w:spacing w:val="-1"/>
          <w:sz w:val="24"/>
          <w:szCs w:val="24"/>
          <w:lang w:val="es-DO"/>
        </w:rPr>
        <w:t>a</w:t>
      </w:r>
      <w:r w:rsidRPr="00BB231B">
        <w:rPr>
          <w:rFonts w:ascii="Times New Roman" w:hAnsi="Times New Roman" w:cs="Times New Roman"/>
          <w:color w:val="auto"/>
          <w:sz w:val="24"/>
          <w:szCs w:val="24"/>
          <w:lang w:val="es-DO"/>
        </w:rPr>
        <w:t>n</w:t>
      </w:r>
      <w:r w:rsidRPr="00BB231B">
        <w:rPr>
          <w:rFonts w:ascii="Times New Roman" w:hAnsi="Times New Roman" w:cs="Times New Roman"/>
          <w:color w:val="auto"/>
          <w:spacing w:val="3"/>
          <w:sz w:val="24"/>
          <w:szCs w:val="24"/>
          <w:lang w:val="es-DO"/>
        </w:rPr>
        <w:t>t</w:t>
      </w:r>
      <w:r w:rsidRPr="00BB231B">
        <w:rPr>
          <w:rFonts w:ascii="Times New Roman" w:hAnsi="Times New Roman" w:cs="Times New Roman"/>
          <w:color w:val="auto"/>
          <w:sz w:val="24"/>
          <w:szCs w:val="24"/>
          <w:lang w:val="es-DO"/>
        </w:rPr>
        <w:t>i</w:t>
      </w:r>
      <w:r w:rsidRPr="00BB231B">
        <w:rPr>
          <w:rFonts w:ascii="Times New Roman" w:hAnsi="Times New Roman" w:cs="Times New Roman"/>
          <w:color w:val="auto"/>
          <w:spacing w:val="-2"/>
          <w:sz w:val="24"/>
          <w:szCs w:val="24"/>
          <w:lang w:val="es-DO"/>
        </w:rPr>
        <w:t>g</w:t>
      </w:r>
      <w:r w:rsidRPr="00BB231B">
        <w:rPr>
          <w:rFonts w:ascii="Times New Roman" w:hAnsi="Times New Roman" w:cs="Times New Roman"/>
          <w:color w:val="auto"/>
          <w:sz w:val="24"/>
          <w:szCs w:val="24"/>
          <w:lang w:val="es-DO"/>
        </w:rPr>
        <w:t>ü</w:t>
      </w:r>
      <w:r w:rsidRPr="00BB231B">
        <w:rPr>
          <w:rFonts w:ascii="Times New Roman" w:hAnsi="Times New Roman" w:cs="Times New Roman"/>
          <w:color w:val="auto"/>
          <w:spacing w:val="-1"/>
          <w:sz w:val="24"/>
          <w:szCs w:val="24"/>
          <w:lang w:val="es-DO"/>
        </w:rPr>
        <w:t>e</w:t>
      </w:r>
      <w:r w:rsidRPr="00BB231B">
        <w:rPr>
          <w:rFonts w:ascii="Times New Roman" w:hAnsi="Times New Roman" w:cs="Times New Roman"/>
          <w:color w:val="auto"/>
          <w:spacing w:val="2"/>
          <w:sz w:val="24"/>
          <w:szCs w:val="24"/>
          <w:lang w:val="es-DO"/>
        </w:rPr>
        <w:t>d</w:t>
      </w:r>
      <w:r w:rsidRPr="00BB231B">
        <w:rPr>
          <w:rFonts w:ascii="Times New Roman" w:hAnsi="Times New Roman" w:cs="Times New Roman"/>
          <w:color w:val="auto"/>
          <w:spacing w:val="-1"/>
          <w:sz w:val="24"/>
          <w:szCs w:val="24"/>
          <w:lang w:val="es-DO"/>
        </w:rPr>
        <w:t>a</w:t>
      </w:r>
      <w:r w:rsidRPr="00BB231B">
        <w:rPr>
          <w:rFonts w:ascii="Times New Roman" w:hAnsi="Times New Roman" w:cs="Times New Roman"/>
          <w:color w:val="auto"/>
          <w:sz w:val="24"/>
          <w:szCs w:val="24"/>
          <w:lang w:val="es-DO"/>
        </w:rPr>
        <w:t>d</w:t>
      </w:r>
      <w:r w:rsidRPr="00BB231B">
        <w:rPr>
          <w:rFonts w:ascii="Times New Roman" w:hAnsi="Times New Roman" w:cs="Times New Roman"/>
          <w:color w:val="auto"/>
          <w:spacing w:val="4"/>
          <w:sz w:val="24"/>
          <w:szCs w:val="24"/>
          <w:lang w:val="es-DO"/>
        </w:rPr>
        <w:t xml:space="preserve"> nueve</w:t>
      </w:r>
      <w:r w:rsidRPr="00BB231B">
        <w:rPr>
          <w:rFonts w:ascii="Times New Roman" w:hAnsi="Times New Roman" w:cs="Times New Roman"/>
          <w:color w:val="auto"/>
          <w:spacing w:val="3"/>
          <w:sz w:val="24"/>
          <w:szCs w:val="24"/>
          <w:lang w:val="es-DO"/>
        </w:rPr>
        <w:t xml:space="preserve"> </w:t>
      </w:r>
      <w:r w:rsidRPr="00BB231B">
        <w:rPr>
          <w:rFonts w:ascii="Times New Roman" w:hAnsi="Times New Roman" w:cs="Times New Roman"/>
          <w:color w:val="auto"/>
          <w:sz w:val="24"/>
          <w:szCs w:val="24"/>
          <w:lang w:val="es-DO"/>
        </w:rPr>
        <w:t>(09)</w:t>
      </w:r>
      <w:r w:rsidRPr="00BB231B">
        <w:rPr>
          <w:rFonts w:ascii="Times New Roman" w:hAnsi="Times New Roman" w:cs="Times New Roman"/>
          <w:color w:val="auto"/>
          <w:spacing w:val="5"/>
          <w:sz w:val="24"/>
          <w:szCs w:val="24"/>
          <w:lang w:val="es-DO"/>
        </w:rPr>
        <w:t xml:space="preserve"> </w:t>
      </w:r>
      <w:r w:rsidRPr="00BB231B">
        <w:rPr>
          <w:rFonts w:ascii="Times New Roman" w:hAnsi="Times New Roman" w:cs="Times New Roman"/>
          <w:color w:val="auto"/>
          <w:spacing w:val="-1"/>
          <w:sz w:val="24"/>
          <w:szCs w:val="24"/>
          <w:lang w:val="es-DO"/>
        </w:rPr>
        <w:t>c</w:t>
      </w:r>
      <w:r w:rsidRPr="00BB231B">
        <w:rPr>
          <w:rFonts w:ascii="Times New Roman" w:hAnsi="Times New Roman" w:cs="Times New Roman"/>
          <w:color w:val="auto"/>
          <w:sz w:val="24"/>
          <w:szCs w:val="24"/>
          <w:lang w:val="es-DO"/>
        </w:rPr>
        <w:t>ol</w:t>
      </w:r>
      <w:r w:rsidRPr="00BB231B">
        <w:rPr>
          <w:rFonts w:ascii="Times New Roman" w:hAnsi="Times New Roman" w:cs="Times New Roman"/>
          <w:color w:val="auto"/>
          <w:spacing w:val="-1"/>
          <w:sz w:val="24"/>
          <w:szCs w:val="24"/>
          <w:lang w:val="es-DO"/>
        </w:rPr>
        <w:t>a</w:t>
      </w:r>
      <w:r w:rsidRPr="00BB231B">
        <w:rPr>
          <w:rFonts w:ascii="Times New Roman" w:hAnsi="Times New Roman" w:cs="Times New Roman"/>
          <w:color w:val="auto"/>
          <w:sz w:val="24"/>
          <w:szCs w:val="24"/>
          <w:lang w:val="es-DO"/>
        </w:rPr>
        <w:t>bo</w:t>
      </w:r>
      <w:r w:rsidRPr="00BB231B">
        <w:rPr>
          <w:rFonts w:ascii="Times New Roman" w:hAnsi="Times New Roman" w:cs="Times New Roman"/>
          <w:color w:val="auto"/>
          <w:spacing w:val="2"/>
          <w:sz w:val="24"/>
          <w:szCs w:val="24"/>
          <w:lang w:val="es-DO"/>
        </w:rPr>
        <w:t>r</w:t>
      </w:r>
      <w:r w:rsidRPr="00BB231B">
        <w:rPr>
          <w:rFonts w:ascii="Times New Roman" w:hAnsi="Times New Roman" w:cs="Times New Roman"/>
          <w:color w:val="auto"/>
          <w:spacing w:val="-1"/>
          <w:sz w:val="24"/>
          <w:szCs w:val="24"/>
          <w:lang w:val="es-DO"/>
        </w:rPr>
        <w:t>a</w:t>
      </w:r>
      <w:r w:rsidRPr="00BB231B">
        <w:rPr>
          <w:rFonts w:ascii="Times New Roman" w:hAnsi="Times New Roman" w:cs="Times New Roman"/>
          <w:color w:val="auto"/>
          <w:sz w:val="24"/>
          <w:szCs w:val="24"/>
          <w:lang w:val="es-DO"/>
        </w:rPr>
        <w:t>dor</w:t>
      </w:r>
      <w:r w:rsidRPr="00BB231B">
        <w:rPr>
          <w:rFonts w:ascii="Times New Roman" w:hAnsi="Times New Roman" w:cs="Times New Roman"/>
          <w:color w:val="auto"/>
          <w:spacing w:val="-1"/>
          <w:sz w:val="24"/>
          <w:szCs w:val="24"/>
          <w:lang w:val="es-DO"/>
        </w:rPr>
        <w:t>e</w:t>
      </w:r>
      <w:r w:rsidRPr="00BB231B">
        <w:rPr>
          <w:rFonts w:ascii="Times New Roman" w:hAnsi="Times New Roman" w:cs="Times New Roman"/>
          <w:color w:val="auto"/>
          <w:sz w:val="24"/>
          <w:szCs w:val="24"/>
          <w:lang w:val="es-DO"/>
        </w:rPr>
        <w:t>s</w:t>
      </w:r>
      <w:r w:rsidRPr="00BB231B">
        <w:rPr>
          <w:rFonts w:ascii="Times New Roman" w:hAnsi="Times New Roman" w:cs="Times New Roman"/>
          <w:color w:val="auto"/>
          <w:position w:val="11"/>
          <w:sz w:val="16"/>
          <w:szCs w:val="16"/>
          <w:lang w:val="es-DO"/>
        </w:rPr>
        <w:t>2</w:t>
      </w:r>
      <w:r w:rsidRPr="00BB231B">
        <w:rPr>
          <w:rFonts w:ascii="Times New Roman" w:hAnsi="Times New Roman" w:cs="Times New Roman"/>
          <w:color w:val="auto"/>
          <w:sz w:val="24"/>
          <w:szCs w:val="24"/>
          <w:lang w:val="es-DO"/>
        </w:rPr>
        <w:t xml:space="preserve">. </w:t>
      </w:r>
    </w:p>
    <w:p w:rsidR="007D0D0A" w:rsidRPr="00BB231B" w:rsidRDefault="007D0D0A" w:rsidP="007D0D0A">
      <w:pPr>
        <w:spacing w:line="540" w:lineRule="exact"/>
        <w:ind w:left="-142" w:right="393"/>
        <w:rPr>
          <w:rFonts w:ascii="Times New Roman" w:hAnsi="Times New Roman" w:cs="Times New Roman"/>
          <w:b/>
          <w:color w:val="auto"/>
          <w:sz w:val="24"/>
          <w:szCs w:val="24"/>
          <w:lang w:val="es-DO"/>
        </w:rPr>
      </w:pPr>
      <w:r w:rsidRPr="00BB231B">
        <w:rPr>
          <w:rFonts w:ascii="Times New Roman" w:hAnsi="Times New Roman" w:cs="Times New Roman"/>
          <w:b/>
          <w:color w:val="auto"/>
          <w:sz w:val="24"/>
          <w:szCs w:val="24"/>
          <w:lang w:val="es-DO"/>
        </w:rPr>
        <w:t>Generación de empleos:</w:t>
      </w:r>
    </w:p>
    <w:p w:rsidR="007D0D0A" w:rsidRPr="00BB231B" w:rsidRDefault="007D0D0A" w:rsidP="007D0D0A">
      <w:pPr>
        <w:spacing w:line="540" w:lineRule="exact"/>
        <w:ind w:left="-142" w:right="393"/>
        <w:rPr>
          <w:rFonts w:ascii="Times New Roman" w:hAnsi="Times New Roman" w:cs="Times New Roman"/>
          <w:b/>
          <w:color w:val="auto"/>
          <w:sz w:val="24"/>
          <w:szCs w:val="24"/>
          <w:lang w:val="es-DO"/>
        </w:rPr>
      </w:pPr>
      <w:r w:rsidRPr="00BB231B">
        <w:rPr>
          <w:rFonts w:ascii="Times New Roman" w:hAnsi="Times New Roman" w:cs="Times New Roman"/>
          <w:color w:val="auto"/>
          <w:sz w:val="24"/>
          <w:szCs w:val="24"/>
          <w:lang w:val="es-DO"/>
        </w:rPr>
        <w:t xml:space="preserve">Como parte del Fortalecimiento institucional y el logro de los Proyectos asociados a las Metas presidenciales, la CGR ha generado un total </w:t>
      </w:r>
      <w:r w:rsidRPr="00BB231B">
        <w:rPr>
          <w:rFonts w:ascii="Times New Roman" w:hAnsi="Times New Roman" w:cs="Times New Roman"/>
          <w:b/>
          <w:color w:val="auto"/>
          <w:sz w:val="24"/>
          <w:szCs w:val="24"/>
          <w:lang w:val="es-DO"/>
        </w:rPr>
        <w:t>38 nuevos empleos.</w:t>
      </w:r>
    </w:p>
    <w:p w:rsidR="007D0D0A" w:rsidRPr="00BB231B" w:rsidRDefault="007D0D0A" w:rsidP="007D0D0A">
      <w:pPr>
        <w:spacing w:line="540" w:lineRule="exact"/>
        <w:ind w:left="-142" w:right="393"/>
        <w:rPr>
          <w:rFonts w:ascii="Times New Roman" w:hAnsi="Times New Roman" w:cs="Times New Roman"/>
          <w:color w:val="auto"/>
          <w:sz w:val="17"/>
          <w:szCs w:val="17"/>
          <w:lang w:val="es-DO"/>
        </w:rPr>
      </w:pPr>
      <w:r w:rsidRPr="00BB231B">
        <w:rPr>
          <w:rFonts w:ascii="Times New Roman" w:hAnsi="Times New Roman" w:cs="Times New Roman"/>
          <w:b/>
          <w:color w:val="auto"/>
          <w:sz w:val="24"/>
          <w:szCs w:val="24"/>
          <w:lang w:val="es-DO"/>
        </w:rPr>
        <w:t>Capacitaciones:</w:t>
      </w:r>
    </w:p>
    <w:p w:rsidR="007D0D0A" w:rsidRPr="00BB231B" w:rsidRDefault="007D0D0A" w:rsidP="007D0D0A">
      <w:pPr>
        <w:pStyle w:val="Normal-blanco"/>
        <w:spacing w:before="0" w:after="0" w:line="480" w:lineRule="auto"/>
        <w:ind w:right="199"/>
        <w:rPr>
          <w:rStyle w:val="nfasissutil"/>
          <w:rFonts w:ascii="Times New Roman" w:hAnsi="Times New Roman" w:cs="Times New Roman"/>
          <w:color w:val="auto"/>
          <w:sz w:val="24"/>
          <w:lang w:val="es-DO"/>
        </w:rPr>
      </w:pPr>
      <w:r w:rsidRPr="00BB231B">
        <w:rPr>
          <w:rStyle w:val="nfasissutil"/>
          <w:rFonts w:ascii="Times New Roman" w:hAnsi="Times New Roman" w:cs="Times New Roman"/>
          <w:color w:val="auto"/>
          <w:sz w:val="24"/>
          <w:lang w:val="es-DO"/>
        </w:rPr>
        <w:t xml:space="preserve">En materia de capacitación, sobre temas legales es de vital importancia para la Contraloría, ya que el estricto apego al conocimiento de las leyes y normativas vigentes es de su importancia para lograr ejecuciones de gestión de manera eficaz y eficiente. </w:t>
      </w:r>
    </w:p>
    <w:p w:rsidR="007D0D0A" w:rsidRPr="00BB231B" w:rsidRDefault="007D0D0A" w:rsidP="007D0D0A">
      <w:pPr>
        <w:pStyle w:val="Normal-blanco"/>
        <w:spacing w:before="0" w:after="0" w:line="480" w:lineRule="auto"/>
        <w:ind w:right="199"/>
        <w:rPr>
          <w:rStyle w:val="nfasissutil"/>
          <w:rFonts w:ascii="Times New Roman" w:hAnsi="Times New Roman" w:cs="Times New Roman"/>
          <w:color w:val="auto"/>
          <w:sz w:val="24"/>
          <w:lang w:val="es-DO"/>
        </w:rPr>
      </w:pPr>
      <w:r w:rsidRPr="00BB231B">
        <w:rPr>
          <w:rStyle w:val="nfasissutil"/>
          <w:rFonts w:ascii="Times New Roman" w:hAnsi="Times New Roman" w:cs="Times New Roman"/>
          <w:color w:val="auto"/>
          <w:sz w:val="24"/>
          <w:lang w:val="es-DO"/>
        </w:rPr>
        <w:t>Durante el 2017 se han capacitado a los abogados en materia de:</w:t>
      </w:r>
    </w:p>
    <w:p w:rsidR="007D0D0A" w:rsidRPr="00BB231B" w:rsidRDefault="007D0D0A" w:rsidP="007D0D0A">
      <w:pPr>
        <w:pStyle w:val="Prrafodelista"/>
        <w:numPr>
          <w:ilvl w:val="0"/>
          <w:numId w:val="37"/>
        </w:numPr>
        <w:spacing w:after="0" w:line="480" w:lineRule="auto"/>
        <w:rPr>
          <w:rFonts w:ascii="Times New Roman" w:eastAsia="Times New Roman" w:hAnsi="Times New Roman" w:cs="Times New Roman"/>
          <w:color w:val="auto"/>
          <w:sz w:val="24"/>
          <w:lang w:eastAsia="es-ES"/>
        </w:rPr>
      </w:pPr>
      <w:r w:rsidRPr="00BB231B">
        <w:rPr>
          <w:rFonts w:ascii="Times New Roman" w:eastAsia="Times New Roman" w:hAnsi="Times New Roman" w:cs="Times New Roman"/>
          <w:color w:val="auto"/>
          <w:sz w:val="24"/>
          <w:lang w:eastAsia="es-ES"/>
        </w:rPr>
        <w:t>Curso de Lavado de Activos, impartido por el Centro de Capacitación y Gestión Fiscal y Diplomado de Hacienda Pública, impartido por el Ministerio de Hacienda en las instalaciones del CAPGEFI.</w:t>
      </w:r>
    </w:p>
    <w:p w:rsidR="007D0D0A" w:rsidRPr="00BB231B" w:rsidRDefault="007D0D0A" w:rsidP="007D0D0A">
      <w:pPr>
        <w:pStyle w:val="Prrafodelista"/>
        <w:numPr>
          <w:ilvl w:val="0"/>
          <w:numId w:val="37"/>
        </w:numPr>
        <w:spacing w:after="0" w:line="480" w:lineRule="auto"/>
        <w:rPr>
          <w:rFonts w:ascii="Times New Roman" w:hAnsi="Times New Roman" w:cs="Times New Roman"/>
          <w:color w:val="auto"/>
          <w:sz w:val="24"/>
        </w:rPr>
      </w:pPr>
      <w:r w:rsidRPr="00BB231B">
        <w:rPr>
          <w:rFonts w:ascii="Times New Roman" w:eastAsia="Times New Roman" w:hAnsi="Times New Roman" w:cs="Times New Roman"/>
          <w:color w:val="auto"/>
          <w:sz w:val="24"/>
          <w:lang w:eastAsia="es-ES"/>
        </w:rPr>
        <w:t xml:space="preserve">Los colaboradores de del Departamento de Revisión y Análisis de Pagos  han sido capacitados en talleres, cursos y/o seminario sobre el Nuevo Portal Transaccional de Compras y Contrataciones, Sensibilización en el Estado de la Función Pública, Capacitación sobre Impuestos, Presupuesto orientado a Resultados por la implementación de los mandatos del Decreto </w:t>
      </w:r>
      <w:r w:rsidRPr="00BB231B">
        <w:rPr>
          <w:rFonts w:ascii="Times New Roman" w:eastAsia="Times New Roman" w:hAnsi="Times New Roman" w:cs="Times New Roman"/>
          <w:color w:val="auto"/>
          <w:sz w:val="24"/>
          <w:lang w:eastAsia="es-ES"/>
        </w:rPr>
        <w:lastRenderedPageBreak/>
        <w:t xml:space="preserve">15-17 sobre controles del gasto y mejoras de transparencia en las compras públicas, Empatía en el Ámbito laboral entre otros. </w:t>
      </w:r>
    </w:p>
    <w:p w:rsidR="007D0D0A" w:rsidRPr="00BB231B" w:rsidRDefault="007D0D0A" w:rsidP="007D0D0A">
      <w:pPr>
        <w:spacing w:before="53" w:line="480" w:lineRule="auto"/>
        <w:ind w:right="407"/>
        <w:rPr>
          <w:rFonts w:ascii="Times New Roman" w:hAnsi="Times New Roman" w:cs="Times New Roman"/>
          <w:color w:val="auto"/>
          <w:sz w:val="26"/>
          <w:szCs w:val="24"/>
          <w:lang w:val="es-DO"/>
        </w:rPr>
      </w:pPr>
    </w:p>
    <w:p w:rsidR="007D0D0A" w:rsidRPr="00BB231B" w:rsidRDefault="007D0D0A" w:rsidP="000F216C">
      <w:pPr>
        <w:spacing w:before="53" w:line="480" w:lineRule="auto"/>
        <w:ind w:right="407"/>
        <w:rPr>
          <w:rFonts w:ascii="Times New Roman" w:hAnsi="Times New Roman" w:cs="Times New Roman"/>
          <w:b/>
          <w:color w:val="auto"/>
          <w:sz w:val="28"/>
          <w:szCs w:val="28"/>
          <w:lang w:val="es-DO"/>
        </w:rPr>
      </w:pPr>
      <w:r w:rsidRPr="002B395D">
        <w:rPr>
          <w:rFonts w:ascii="Times New Roman" w:hAnsi="Times New Roman" w:cs="Times New Roman"/>
          <w:b/>
          <w:color w:val="auto"/>
          <w:sz w:val="26"/>
          <w:szCs w:val="24"/>
          <w:lang w:val="es-DO"/>
        </w:rPr>
        <w:t>Est</w:t>
      </w:r>
      <w:r w:rsidRPr="002B395D">
        <w:rPr>
          <w:rFonts w:ascii="Times New Roman" w:hAnsi="Times New Roman" w:cs="Times New Roman"/>
          <w:b/>
          <w:color w:val="auto"/>
          <w:spacing w:val="-1"/>
          <w:sz w:val="26"/>
          <w:szCs w:val="24"/>
          <w:lang w:val="es-DO"/>
        </w:rPr>
        <w:t>a</w:t>
      </w:r>
      <w:r w:rsidRPr="002B395D">
        <w:rPr>
          <w:rFonts w:ascii="Times New Roman" w:hAnsi="Times New Roman" w:cs="Times New Roman"/>
          <w:b/>
          <w:color w:val="auto"/>
          <w:sz w:val="26"/>
          <w:szCs w:val="24"/>
          <w:lang w:val="es-DO"/>
        </w:rPr>
        <w:t>dísti</w:t>
      </w:r>
      <w:r w:rsidRPr="002B395D">
        <w:rPr>
          <w:rFonts w:ascii="Times New Roman" w:hAnsi="Times New Roman" w:cs="Times New Roman"/>
          <w:b/>
          <w:color w:val="auto"/>
          <w:spacing w:val="-1"/>
          <w:sz w:val="26"/>
          <w:szCs w:val="24"/>
          <w:lang w:val="es-DO"/>
        </w:rPr>
        <w:t>ca</w:t>
      </w:r>
      <w:r w:rsidRPr="002B395D">
        <w:rPr>
          <w:rFonts w:ascii="Times New Roman" w:hAnsi="Times New Roman" w:cs="Times New Roman"/>
          <w:b/>
          <w:color w:val="auto"/>
          <w:sz w:val="26"/>
          <w:szCs w:val="24"/>
          <w:lang w:val="es-DO"/>
        </w:rPr>
        <w:t>s</w:t>
      </w:r>
      <w:r w:rsidRPr="002B395D">
        <w:rPr>
          <w:rFonts w:ascii="Times New Roman" w:hAnsi="Times New Roman" w:cs="Times New Roman"/>
          <w:b/>
          <w:color w:val="auto"/>
          <w:spacing w:val="52"/>
          <w:sz w:val="26"/>
          <w:szCs w:val="24"/>
          <w:lang w:val="es-DO"/>
        </w:rPr>
        <w:t xml:space="preserve"> </w:t>
      </w:r>
      <w:r w:rsidRPr="002B395D">
        <w:rPr>
          <w:rFonts w:ascii="Times New Roman" w:hAnsi="Times New Roman" w:cs="Times New Roman"/>
          <w:b/>
          <w:color w:val="auto"/>
          <w:sz w:val="26"/>
          <w:szCs w:val="24"/>
          <w:lang w:val="es-DO"/>
        </w:rPr>
        <w:t>de</w:t>
      </w:r>
      <w:r w:rsidRPr="002B395D">
        <w:rPr>
          <w:rFonts w:ascii="Times New Roman" w:hAnsi="Times New Roman" w:cs="Times New Roman"/>
          <w:b/>
          <w:color w:val="auto"/>
          <w:spacing w:val="56"/>
          <w:sz w:val="26"/>
          <w:szCs w:val="24"/>
          <w:lang w:val="es-DO"/>
        </w:rPr>
        <w:t xml:space="preserve"> </w:t>
      </w:r>
      <w:r w:rsidRPr="002B395D">
        <w:rPr>
          <w:rFonts w:ascii="Times New Roman" w:hAnsi="Times New Roman" w:cs="Times New Roman"/>
          <w:b/>
          <w:color w:val="auto"/>
          <w:spacing w:val="1"/>
          <w:sz w:val="26"/>
          <w:szCs w:val="24"/>
          <w:lang w:val="es-DO"/>
        </w:rPr>
        <w:t>c</w:t>
      </w:r>
      <w:r w:rsidRPr="002B395D">
        <w:rPr>
          <w:rFonts w:ascii="Times New Roman" w:hAnsi="Times New Roman" w:cs="Times New Roman"/>
          <w:b/>
          <w:color w:val="auto"/>
          <w:spacing w:val="-1"/>
          <w:sz w:val="26"/>
          <w:szCs w:val="24"/>
          <w:lang w:val="es-DO"/>
        </w:rPr>
        <w:t>a</w:t>
      </w:r>
      <w:r w:rsidRPr="002B395D">
        <w:rPr>
          <w:rFonts w:ascii="Times New Roman" w:hAnsi="Times New Roman" w:cs="Times New Roman"/>
          <w:b/>
          <w:color w:val="auto"/>
          <w:sz w:val="26"/>
          <w:szCs w:val="24"/>
          <w:lang w:val="es-DO"/>
        </w:rPr>
        <w:t>p</w:t>
      </w:r>
      <w:r w:rsidRPr="002B395D">
        <w:rPr>
          <w:rFonts w:ascii="Times New Roman" w:hAnsi="Times New Roman" w:cs="Times New Roman"/>
          <w:b/>
          <w:color w:val="auto"/>
          <w:spacing w:val="-1"/>
          <w:sz w:val="26"/>
          <w:szCs w:val="24"/>
          <w:lang w:val="es-DO"/>
        </w:rPr>
        <w:t>ac</w:t>
      </w:r>
      <w:r w:rsidRPr="002B395D">
        <w:rPr>
          <w:rFonts w:ascii="Times New Roman" w:hAnsi="Times New Roman" w:cs="Times New Roman"/>
          <w:b/>
          <w:color w:val="auto"/>
          <w:sz w:val="26"/>
          <w:szCs w:val="24"/>
          <w:lang w:val="es-DO"/>
        </w:rPr>
        <w:t>it</w:t>
      </w:r>
      <w:r w:rsidRPr="002B395D">
        <w:rPr>
          <w:rFonts w:ascii="Times New Roman" w:hAnsi="Times New Roman" w:cs="Times New Roman"/>
          <w:b/>
          <w:color w:val="auto"/>
          <w:spacing w:val="1"/>
          <w:sz w:val="26"/>
          <w:szCs w:val="24"/>
          <w:lang w:val="es-DO"/>
        </w:rPr>
        <w:t>a</w:t>
      </w:r>
      <w:r w:rsidRPr="002B395D">
        <w:rPr>
          <w:rFonts w:ascii="Times New Roman" w:hAnsi="Times New Roman" w:cs="Times New Roman"/>
          <w:b/>
          <w:color w:val="auto"/>
          <w:spacing w:val="-1"/>
          <w:sz w:val="26"/>
          <w:szCs w:val="24"/>
          <w:lang w:val="es-DO"/>
        </w:rPr>
        <w:t>c</w:t>
      </w:r>
      <w:r w:rsidRPr="002B395D">
        <w:rPr>
          <w:rFonts w:ascii="Times New Roman" w:hAnsi="Times New Roman" w:cs="Times New Roman"/>
          <w:b/>
          <w:color w:val="auto"/>
          <w:sz w:val="26"/>
          <w:szCs w:val="24"/>
          <w:lang w:val="es-DO"/>
        </w:rPr>
        <w:t>ion</w:t>
      </w:r>
      <w:r w:rsidRPr="002B395D">
        <w:rPr>
          <w:rFonts w:ascii="Times New Roman" w:hAnsi="Times New Roman" w:cs="Times New Roman"/>
          <w:b/>
          <w:color w:val="auto"/>
          <w:spacing w:val="-1"/>
          <w:sz w:val="26"/>
          <w:szCs w:val="24"/>
          <w:lang w:val="es-DO"/>
        </w:rPr>
        <w:t>e</w:t>
      </w:r>
      <w:r w:rsidRPr="002B395D">
        <w:rPr>
          <w:rFonts w:ascii="Times New Roman" w:hAnsi="Times New Roman" w:cs="Times New Roman"/>
          <w:b/>
          <w:color w:val="auto"/>
          <w:sz w:val="26"/>
          <w:szCs w:val="24"/>
          <w:lang w:val="es-DO"/>
        </w:rPr>
        <w:t>s</w:t>
      </w:r>
      <w:r w:rsidRPr="002B395D">
        <w:rPr>
          <w:rFonts w:ascii="Times New Roman" w:hAnsi="Times New Roman" w:cs="Times New Roman"/>
          <w:b/>
          <w:color w:val="auto"/>
          <w:spacing w:val="51"/>
          <w:sz w:val="26"/>
          <w:szCs w:val="24"/>
          <w:lang w:val="es-DO"/>
        </w:rPr>
        <w:t xml:space="preserve"> </w:t>
      </w:r>
      <w:r w:rsidRPr="002B395D">
        <w:rPr>
          <w:rFonts w:ascii="Times New Roman" w:hAnsi="Times New Roman" w:cs="Times New Roman"/>
          <w:b/>
          <w:color w:val="auto"/>
          <w:sz w:val="26"/>
          <w:szCs w:val="24"/>
          <w:lang w:val="es-DO"/>
        </w:rPr>
        <w:t>r</w:t>
      </w:r>
      <w:r w:rsidRPr="002B395D">
        <w:rPr>
          <w:rFonts w:ascii="Times New Roman" w:hAnsi="Times New Roman" w:cs="Times New Roman"/>
          <w:b/>
          <w:color w:val="auto"/>
          <w:spacing w:val="1"/>
          <w:sz w:val="26"/>
          <w:szCs w:val="24"/>
          <w:lang w:val="es-DO"/>
        </w:rPr>
        <w:t>e</w:t>
      </w:r>
      <w:r w:rsidRPr="002B395D">
        <w:rPr>
          <w:rFonts w:ascii="Times New Roman" w:hAnsi="Times New Roman" w:cs="Times New Roman"/>
          <w:b/>
          <w:color w:val="auto"/>
          <w:spacing w:val="-1"/>
          <w:sz w:val="26"/>
          <w:szCs w:val="24"/>
          <w:lang w:val="es-DO"/>
        </w:rPr>
        <w:t>a</w:t>
      </w:r>
      <w:r w:rsidRPr="002B395D">
        <w:rPr>
          <w:rFonts w:ascii="Times New Roman" w:hAnsi="Times New Roman" w:cs="Times New Roman"/>
          <w:b/>
          <w:color w:val="auto"/>
          <w:sz w:val="26"/>
          <w:szCs w:val="24"/>
          <w:lang w:val="es-DO"/>
        </w:rPr>
        <w:t>li</w:t>
      </w:r>
      <w:r w:rsidRPr="002B395D">
        <w:rPr>
          <w:rFonts w:ascii="Times New Roman" w:hAnsi="Times New Roman" w:cs="Times New Roman"/>
          <w:b/>
          <w:color w:val="auto"/>
          <w:spacing w:val="1"/>
          <w:sz w:val="26"/>
          <w:szCs w:val="24"/>
          <w:lang w:val="es-DO"/>
        </w:rPr>
        <w:t>z</w:t>
      </w:r>
      <w:r w:rsidRPr="002B395D">
        <w:rPr>
          <w:rFonts w:ascii="Times New Roman" w:hAnsi="Times New Roman" w:cs="Times New Roman"/>
          <w:b/>
          <w:color w:val="auto"/>
          <w:spacing w:val="-1"/>
          <w:sz w:val="26"/>
          <w:szCs w:val="24"/>
          <w:lang w:val="es-DO"/>
        </w:rPr>
        <w:t>a</w:t>
      </w:r>
      <w:r w:rsidRPr="002B395D">
        <w:rPr>
          <w:rFonts w:ascii="Times New Roman" w:hAnsi="Times New Roman" w:cs="Times New Roman"/>
          <w:b/>
          <w:color w:val="auto"/>
          <w:sz w:val="26"/>
          <w:szCs w:val="24"/>
          <w:lang w:val="es-DO"/>
        </w:rPr>
        <w:t>d</w:t>
      </w:r>
      <w:r w:rsidRPr="002B395D">
        <w:rPr>
          <w:rFonts w:ascii="Times New Roman" w:hAnsi="Times New Roman" w:cs="Times New Roman"/>
          <w:b/>
          <w:color w:val="auto"/>
          <w:spacing w:val="-1"/>
          <w:sz w:val="26"/>
          <w:szCs w:val="24"/>
          <w:lang w:val="es-DO"/>
        </w:rPr>
        <w:t>a</w:t>
      </w:r>
      <w:r w:rsidRPr="002B395D">
        <w:rPr>
          <w:rFonts w:ascii="Times New Roman" w:hAnsi="Times New Roman" w:cs="Times New Roman"/>
          <w:b/>
          <w:color w:val="auto"/>
          <w:sz w:val="26"/>
          <w:szCs w:val="24"/>
          <w:lang w:val="es-DO"/>
        </w:rPr>
        <w:t>s</w:t>
      </w:r>
      <w:r w:rsidRPr="002B395D">
        <w:rPr>
          <w:rFonts w:ascii="Times New Roman" w:hAnsi="Times New Roman" w:cs="Times New Roman"/>
          <w:b/>
          <w:color w:val="auto"/>
          <w:spacing w:val="54"/>
          <w:sz w:val="26"/>
          <w:szCs w:val="24"/>
          <w:lang w:val="es-DO"/>
        </w:rPr>
        <w:t xml:space="preserve"> </w:t>
      </w:r>
      <w:r w:rsidRPr="002B395D">
        <w:rPr>
          <w:rFonts w:ascii="Times New Roman" w:hAnsi="Times New Roman" w:cs="Times New Roman"/>
          <w:b/>
          <w:color w:val="auto"/>
          <w:spacing w:val="-1"/>
          <w:sz w:val="26"/>
          <w:szCs w:val="24"/>
          <w:lang w:val="es-DO"/>
        </w:rPr>
        <w:t>e</w:t>
      </w:r>
      <w:r w:rsidRPr="002B395D">
        <w:rPr>
          <w:rFonts w:ascii="Times New Roman" w:hAnsi="Times New Roman" w:cs="Times New Roman"/>
          <w:b/>
          <w:color w:val="auto"/>
          <w:sz w:val="26"/>
          <w:szCs w:val="24"/>
          <w:lang w:val="es-DO"/>
        </w:rPr>
        <w:t>n</w:t>
      </w:r>
      <w:r w:rsidRPr="002B395D">
        <w:rPr>
          <w:rFonts w:ascii="Times New Roman" w:hAnsi="Times New Roman" w:cs="Times New Roman"/>
          <w:b/>
          <w:color w:val="auto"/>
          <w:spacing w:val="56"/>
          <w:sz w:val="26"/>
          <w:szCs w:val="24"/>
          <w:lang w:val="es-DO"/>
        </w:rPr>
        <w:t xml:space="preserve"> </w:t>
      </w:r>
      <w:r w:rsidRPr="002B395D">
        <w:rPr>
          <w:rFonts w:ascii="Times New Roman" w:hAnsi="Times New Roman" w:cs="Times New Roman"/>
          <w:b/>
          <w:color w:val="auto"/>
          <w:sz w:val="26"/>
          <w:szCs w:val="24"/>
          <w:lang w:val="es-DO"/>
        </w:rPr>
        <w:t>n</w:t>
      </w:r>
      <w:r w:rsidRPr="002B395D">
        <w:rPr>
          <w:rFonts w:ascii="Times New Roman" w:hAnsi="Times New Roman" w:cs="Times New Roman"/>
          <w:b/>
          <w:color w:val="auto"/>
          <w:spacing w:val="2"/>
          <w:sz w:val="26"/>
          <w:szCs w:val="24"/>
          <w:lang w:val="es-DO"/>
        </w:rPr>
        <w:t>u</w:t>
      </w:r>
      <w:r w:rsidRPr="002B395D">
        <w:rPr>
          <w:rFonts w:ascii="Times New Roman" w:hAnsi="Times New Roman" w:cs="Times New Roman"/>
          <w:b/>
          <w:color w:val="auto"/>
          <w:spacing w:val="-1"/>
          <w:sz w:val="26"/>
          <w:szCs w:val="24"/>
          <w:lang w:val="es-DO"/>
        </w:rPr>
        <w:t>e</w:t>
      </w:r>
      <w:r w:rsidRPr="002B395D">
        <w:rPr>
          <w:rFonts w:ascii="Times New Roman" w:hAnsi="Times New Roman" w:cs="Times New Roman"/>
          <w:b/>
          <w:color w:val="auto"/>
          <w:sz w:val="26"/>
          <w:szCs w:val="24"/>
          <w:lang w:val="es-DO"/>
        </w:rPr>
        <w:t>stra</w:t>
      </w:r>
      <w:r w:rsidRPr="002B395D">
        <w:rPr>
          <w:rFonts w:ascii="Times New Roman" w:hAnsi="Times New Roman" w:cs="Times New Roman"/>
          <w:b/>
          <w:color w:val="auto"/>
          <w:spacing w:val="53"/>
          <w:sz w:val="26"/>
          <w:szCs w:val="24"/>
          <w:lang w:val="es-DO"/>
        </w:rPr>
        <w:t xml:space="preserve"> </w:t>
      </w:r>
      <w:r w:rsidRPr="002B395D">
        <w:rPr>
          <w:rFonts w:ascii="Times New Roman" w:hAnsi="Times New Roman" w:cs="Times New Roman"/>
          <w:b/>
          <w:color w:val="auto"/>
          <w:sz w:val="26"/>
          <w:szCs w:val="24"/>
          <w:lang w:val="es-DO"/>
        </w:rPr>
        <w:t>institu</w:t>
      </w:r>
      <w:r w:rsidRPr="002B395D">
        <w:rPr>
          <w:rFonts w:ascii="Times New Roman" w:hAnsi="Times New Roman" w:cs="Times New Roman"/>
          <w:b/>
          <w:color w:val="auto"/>
          <w:spacing w:val="-1"/>
          <w:sz w:val="26"/>
          <w:szCs w:val="24"/>
          <w:lang w:val="es-DO"/>
        </w:rPr>
        <w:t>c</w:t>
      </w:r>
      <w:r w:rsidRPr="002B395D">
        <w:rPr>
          <w:rFonts w:ascii="Times New Roman" w:hAnsi="Times New Roman" w:cs="Times New Roman"/>
          <w:b/>
          <w:color w:val="auto"/>
          <w:sz w:val="26"/>
          <w:szCs w:val="24"/>
          <w:lang w:val="es-DO"/>
        </w:rPr>
        <w:t>ión</w:t>
      </w:r>
      <w:r w:rsidRPr="002B395D">
        <w:rPr>
          <w:rFonts w:ascii="Times New Roman" w:hAnsi="Times New Roman" w:cs="Times New Roman"/>
          <w:b/>
          <w:color w:val="auto"/>
          <w:spacing w:val="50"/>
          <w:sz w:val="26"/>
          <w:szCs w:val="24"/>
          <w:lang w:val="es-DO"/>
        </w:rPr>
        <w:t xml:space="preserve"> </w:t>
      </w:r>
      <w:r w:rsidRPr="002B395D">
        <w:rPr>
          <w:rFonts w:ascii="Times New Roman" w:hAnsi="Times New Roman" w:cs="Times New Roman"/>
          <w:b/>
          <w:color w:val="auto"/>
          <w:spacing w:val="-1"/>
          <w:sz w:val="26"/>
          <w:szCs w:val="24"/>
          <w:lang w:val="es-DO"/>
        </w:rPr>
        <w:t>a</w:t>
      </w:r>
      <w:r w:rsidRPr="002B395D">
        <w:rPr>
          <w:rFonts w:ascii="Times New Roman" w:hAnsi="Times New Roman" w:cs="Times New Roman"/>
          <w:b/>
          <w:color w:val="auto"/>
          <w:sz w:val="26"/>
          <w:szCs w:val="24"/>
          <w:lang w:val="es-DO"/>
        </w:rPr>
        <w:t>l</w:t>
      </w:r>
      <w:r w:rsidRPr="002B395D">
        <w:rPr>
          <w:rFonts w:ascii="Times New Roman" w:hAnsi="Times New Roman" w:cs="Times New Roman"/>
          <w:b/>
          <w:color w:val="auto"/>
          <w:spacing w:val="58"/>
          <w:sz w:val="26"/>
          <w:szCs w:val="24"/>
          <w:lang w:val="es-DO"/>
        </w:rPr>
        <w:t xml:space="preserve"> </w:t>
      </w:r>
      <w:r w:rsidRPr="002B395D">
        <w:rPr>
          <w:rFonts w:ascii="Times New Roman" w:hAnsi="Times New Roman" w:cs="Times New Roman"/>
          <w:b/>
          <w:color w:val="auto"/>
          <w:sz w:val="26"/>
          <w:szCs w:val="24"/>
          <w:lang w:val="es-DO"/>
        </w:rPr>
        <w:t>31</w:t>
      </w:r>
      <w:r w:rsidRPr="002B395D">
        <w:rPr>
          <w:rFonts w:ascii="Times New Roman" w:hAnsi="Times New Roman" w:cs="Times New Roman"/>
          <w:b/>
          <w:color w:val="auto"/>
          <w:spacing w:val="58"/>
          <w:sz w:val="26"/>
          <w:szCs w:val="24"/>
          <w:lang w:val="es-DO"/>
        </w:rPr>
        <w:t xml:space="preserve"> </w:t>
      </w:r>
      <w:r w:rsidRPr="002B395D">
        <w:rPr>
          <w:rFonts w:ascii="Times New Roman" w:hAnsi="Times New Roman" w:cs="Times New Roman"/>
          <w:b/>
          <w:color w:val="auto"/>
          <w:sz w:val="26"/>
          <w:szCs w:val="24"/>
          <w:lang w:val="es-DO"/>
        </w:rPr>
        <w:t>de diciembre</w:t>
      </w:r>
      <w:r w:rsidRPr="002B395D">
        <w:rPr>
          <w:rFonts w:ascii="Times New Roman" w:hAnsi="Times New Roman" w:cs="Times New Roman"/>
          <w:b/>
          <w:color w:val="auto"/>
          <w:spacing w:val="-8"/>
          <w:sz w:val="26"/>
          <w:szCs w:val="24"/>
          <w:lang w:val="es-DO"/>
        </w:rPr>
        <w:t xml:space="preserve"> </w:t>
      </w:r>
      <w:r w:rsidRPr="002B395D">
        <w:rPr>
          <w:rFonts w:ascii="Times New Roman" w:hAnsi="Times New Roman" w:cs="Times New Roman"/>
          <w:b/>
          <w:color w:val="auto"/>
          <w:sz w:val="26"/>
          <w:szCs w:val="24"/>
          <w:lang w:val="es-DO"/>
        </w:rPr>
        <w:t>2017.</w:t>
      </w:r>
    </w:p>
    <w:tbl>
      <w:tblPr>
        <w:tblW w:w="8955" w:type="dxa"/>
        <w:tblCellMar>
          <w:left w:w="70" w:type="dxa"/>
          <w:right w:w="70" w:type="dxa"/>
        </w:tblCellMar>
        <w:tblLook w:val="04A0" w:firstRow="1" w:lastRow="0" w:firstColumn="1" w:lastColumn="0" w:noHBand="0" w:noVBand="1"/>
      </w:tblPr>
      <w:tblGrid>
        <w:gridCol w:w="2113"/>
        <w:gridCol w:w="2877"/>
        <w:gridCol w:w="2005"/>
        <w:gridCol w:w="1960"/>
      </w:tblGrid>
      <w:tr w:rsidR="00816D8E" w:rsidRPr="00BB231B" w:rsidTr="00816D8E">
        <w:trPr>
          <w:trHeight w:val="1097"/>
        </w:trPr>
        <w:tc>
          <w:tcPr>
            <w:tcW w:w="895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D0D0A" w:rsidRPr="00BB231B" w:rsidRDefault="007D0D0A" w:rsidP="00F91AB8">
            <w:pPr>
              <w:jc w:val="center"/>
              <w:rPr>
                <w:rFonts w:ascii="Times New Roman" w:hAnsi="Times New Roman" w:cs="Times New Roman"/>
                <w:b/>
                <w:bCs/>
                <w:color w:val="auto"/>
                <w:sz w:val="28"/>
                <w:szCs w:val="28"/>
                <w:lang w:val="es-DO" w:eastAsia="es-DO"/>
              </w:rPr>
            </w:pPr>
            <w:r w:rsidRPr="00BB231B">
              <w:rPr>
                <w:rFonts w:ascii="Times New Roman" w:hAnsi="Times New Roman" w:cs="Times New Roman"/>
                <w:b/>
                <w:bCs/>
                <w:color w:val="auto"/>
                <w:sz w:val="24"/>
                <w:szCs w:val="28"/>
                <w:lang w:val="es-DO" w:eastAsia="es-DO"/>
              </w:rPr>
              <w:t>Contraloría General de la República - Dirección de Recursos Humanos</w:t>
            </w:r>
            <w:r w:rsidRPr="00BB231B">
              <w:rPr>
                <w:rFonts w:ascii="Times New Roman" w:hAnsi="Times New Roman" w:cs="Times New Roman"/>
                <w:b/>
                <w:bCs/>
                <w:color w:val="auto"/>
                <w:sz w:val="24"/>
                <w:szCs w:val="28"/>
                <w:lang w:val="es-DO" w:eastAsia="es-DO"/>
              </w:rPr>
              <w:br/>
              <w:t>División Capacitación y Desarrollo</w:t>
            </w:r>
            <w:r w:rsidRPr="00BB231B">
              <w:rPr>
                <w:rFonts w:ascii="Times New Roman" w:hAnsi="Times New Roman" w:cs="Times New Roman"/>
                <w:b/>
                <w:bCs/>
                <w:color w:val="auto"/>
                <w:sz w:val="24"/>
                <w:szCs w:val="28"/>
                <w:lang w:val="es-DO" w:eastAsia="es-DO"/>
              </w:rPr>
              <w:br/>
            </w:r>
            <w:r w:rsidRPr="00BB231B">
              <w:rPr>
                <w:rFonts w:ascii="Times New Roman" w:hAnsi="Times New Roman" w:cs="Times New Roman"/>
                <w:b/>
                <w:bCs/>
                <w:color w:val="auto"/>
                <w:sz w:val="24"/>
                <w:szCs w:val="28"/>
                <w:u w:val="single"/>
                <w:lang w:val="es-DO" w:eastAsia="es-DO"/>
              </w:rPr>
              <w:t>Resumen Capacitaciones 2017</w:t>
            </w:r>
            <w:r w:rsidRPr="00BB231B">
              <w:rPr>
                <w:rFonts w:ascii="Times New Roman" w:hAnsi="Times New Roman" w:cs="Times New Roman"/>
                <w:b/>
                <w:bCs/>
                <w:color w:val="auto"/>
                <w:sz w:val="24"/>
                <w:szCs w:val="28"/>
                <w:lang w:val="es-DO" w:eastAsia="es-DO"/>
              </w:rPr>
              <w:t xml:space="preserve"> </w:t>
            </w:r>
            <w:r w:rsidRPr="00BB231B">
              <w:rPr>
                <w:rFonts w:ascii="Times New Roman" w:hAnsi="Times New Roman" w:cs="Times New Roman"/>
                <w:b/>
                <w:bCs/>
                <w:color w:val="auto"/>
                <w:sz w:val="24"/>
                <w:szCs w:val="28"/>
                <w:lang w:val="es-DO" w:eastAsia="es-DO"/>
              </w:rPr>
              <w:br/>
              <w:t>Enero - Diciembre, 2017</w:t>
            </w:r>
          </w:p>
        </w:tc>
      </w:tr>
      <w:tr w:rsidR="00816D8E" w:rsidRPr="00BB231B" w:rsidTr="00816D8E">
        <w:trPr>
          <w:trHeight w:val="1089"/>
        </w:trPr>
        <w:tc>
          <w:tcPr>
            <w:tcW w:w="2113" w:type="dxa"/>
            <w:tcBorders>
              <w:top w:val="nil"/>
              <w:left w:val="single" w:sz="4" w:space="0" w:color="auto"/>
              <w:bottom w:val="single" w:sz="4" w:space="0" w:color="auto"/>
              <w:right w:val="single" w:sz="4" w:space="0" w:color="auto"/>
            </w:tcBorders>
            <w:shd w:val="clear" w:color="000000" w:fill="FFFFFF"/>
            <w:vAlign w:val="center"/>
            <w:hideMark/>
          </w:tcPr>
          <w:p w:rsidR="007D0D0A" w:rsidRPr="00BB231B" w:rsidRDefault="007D0D0A" w:rsidP="00F91AB8">
            <w:pPr>
              <w:jc w:val="center"/>
              <w:rPr>
                <w:rFonts w:ascii="Times New Roman" w:hAnsi="Times New Roman" w:cs="Times New Roman"/>
                <w:b/>
                <w:bCs/>
                <w:color w:val="auto"/>
                <w:lang w:val="es-DO" w:eastAsia="es-DO"/>
              </w:rPr>
            </w:pPr>
            <w:r w:rsidRPr="00BB231B">
              <w:rPr>
                <w:rFonts w:ascii="Times New Roman" w:hAnsi="Times New Roman" w:cs="Times New Roman"/>
                <w:b/>
                <w:bCs/>
                <w:color w:val="auto"/>
                <w:lang w:val="es-DO" w:eastAsia="es-DO"/>
              </w:rPr>
              <w:t>Descripción</w:t>
            </w:r>
          </w:p>
        </w:tc>
        <w:tc>
          <w:tcPr>
            <w:tcW w:w="2877" w:type="dxa"/>
            <w:tcBorders>
              <w:top w:val="nil"/>
              <w:left w:val="nil"/>
              <w:bottom w:val="single" w:sz="4" w:space="0" w:color="auto"/>
              <w:right w:val="single" w:sz="4" w:space="0" w:color="auto"/>
            </w:tcBorders>
            <w:shd w:val="clear" w:color="000000" w:fill="FFFFFF"/>
            <w:vAlign w:val="center"/>
            <w:hideMark/>
          </w:tcPr>
          <w:p w:rsidR="007D0D0A" w:rsidRPr="00BB231B" w:rsidRDefault="007D0D0A" w:rsidP="00F91AB8">
            <w:pPr>
              <w:jc w:val="center"/>
              <w:rPr>
                <w:rFonts w:ascii="Times New Roman" w:hAnsi="Times New Roman" w:cs="Times New Roman"/>
                <w:b/>
                <w:bCs/>
                <w:color w:val="auto"/>
                <w:lang w:val="es-DO" w:eastAsia="es-DO"/>
              </w:rPr>
            </w:pPr>
            <w:r w:rsidRPr="00BB231B">
              <w:rPr>
                <w:rFonts w:ascii="Times New Roman" w:hAnsi="Times New Roman" w:cs="Times New Roman"/>
                <w:b/>
                <w:bCs/>
                <w:color w:val="auto"/>
                <w:lang w:val="es-DO" w:eastAsia="es-DO"/>
              </w:rPr>
              <w:t>Cantidad de Cursos, Conferencias, Charlas, Talleres, Diplomados y Seminarios</w:t>
            </w:r>
          </w:p>
        </w:tc>
        <w:tc>
          <w:tcPr>
            <w:tcW w:w="2005" w:type="dxa"/>
            <w:tcBorders>
              <w:top w:val="nil"/>
              <w:left w:val="nil"/>
              <w:bottom w:val="single" w:sz="4" w:space="0" w:color="auto"/>
              <w:right w:val="single" w:sz="4" w:space="0" w:color="auto"/>
            </w:tcBorders>
            <w:shd w:val="clear" w:color="000000" w:fill="FFFFFF"/>
            <w:vAlign w:val="center"/>
            <w:hideMark/>
          </w:tcPr>
          <w:p w:rsidR="007D0D0A" w:rsidRPr="00BB231B" w:rsidRDefault="007D0D0A" w:rsidP="00F91AB8">
            <w:pPr>
              <w:jc w:val="center"/>
              <w:rPr>
                <w:rFonts w:ascii="Times New Roman" w:hAnsi="Times New Roman" w:cs="Times New Roman"/>
                <w:b/>
                <w:bCs/>
                <w:color w:val="auto"/>
                <w:lang w:val="es-DO" w:eastAsia="es-DO"/>
              </w:rPr>
            </w:pPr>
            <w:r w:rsidRPr="00BB231B">
              <w:rPr>
                <w:rFonts w:ascii="Times New Roman" w:hAnsi="Times New Roman" w:cs="Times New Roman"/>
                <w:b/>
                <w:bCs/>
                <w:color w:val="auto"/>
                <w:lang w:val="es-DO" w:eastAsia="es-DO"/>
              </w:rPr>
              <w:t>Cantidad Participantes</w:t>
            </w:r>
          </w:p>
        </w:tc>
        <w:tc>
          <w:tcPr>
            <w:tcW w:w="1959" w:type="dxa"/>
            <w:tcBorders>
              <w:top w:val="nil"/>
              <w:left w:val="nil"/>
              <w:bottom w:val="single" w:sz="4" w:space="0" w:color="auto"/>
              <w:right w:val="single" w:sz="4" w:space="0" w:color="auto"/>
            </w:tcBorders>
            <w:shd w:val="clear" w:color="000000" w:fill="FFFFFF"/>
            <w:vAlign w:val="center"/>
            <w:hideMark/>
          </w:tcPr>
          <w:p w:rsidR="007D0D0A" w:rsidRPr="00BB231B" w:rsidRDefault="007D0D0A" w:rsidP="00F91AB8">
            <w:pPr>
              <w:jc w:val="center"/>
              <w:rPr>
                <w:rFonts w:ascii="Times New Roman" w:hAnsi="Times New Roman" w:cs="Times New Roman"/>
                <w:b/>
                <w:bCs/>
                <w:color w:val="auto"/>
                <w:lang w:val="es-DO" w:eastAsia="es-DO"/>
              </w:rPr>
            </w:pPr>
            <w:r w:rsidRPr="00BB231B">
              <w:rPr>
                <w:rFonts w:ascii="Times New Roman" w:hAnsi="Times New Roman" w:cs="Times New Roman"/>
                <w:b/>
                <w:bCs/>
                <w:color w:val="auto"/>
                <w:lang w:val="es-DO" w:eastAsia="es-DO"/>
              </w:rPr>
              <w:t>Horas de capacitación (componente institución)</w:t>
            </w:r>
          </w:p>
        </w:tc>
      </w:tr>
      <w:tr w:rsidR="00816D8E" w:rsidRPr="00BB231B" w:rsidTr="00816D8E">
        <w:trPr>
          <w:trHeight w:val="559"/>
        </w:trPr>
        <w:tc>
          <w:tcPr>
            <w:tcW w:w="2113" w:type="dxa"/>
            <w:tcBorders>
              <w:top w:val="nil"/>
              <w:left w:val="single" w:sz="4" w:space="0" w:color="auto"/>
              <w:bottom w:val="single" w:sz="4" w:space="0" w:color="auto"/>
              <w:right w:val="single" w:sz="4" w:space="0" w:color="auto"/>
            </w:tcBorders>
            <w:shd w:val="clear" w:color="000000" w:fill="FFFFFF"/>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Capacitaciones internas</w:t>
            </w:r>
          </w:p>
        </w:tc>
        <w:tc>
          <w:tcPr>
            <w:tcW w:w="2877" w:type="dxa"/>
            <w:tcBorders>
              <w:top w:val="nil"/>
              <w:left w:val="nil"/>
              <w:bottom w:val="single" w:sz="4" w:space="0" w:color="auto"/>
              <w:right w:val="single" w:sz="4" w:space="0" w:color="auto"/>
            </w:tcBorders>
            <w:shd w:val="clear" w:color="000000" w:fill="FFFFFF"/>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37</w:t>
            </w:r>
          </w:p>
        </w:tc>
        <w:tc>
          <w:tcPr>
            <w:tcW w:w="2005" w:type="dxa"/>
            <w:tcBorders>
              <w:top w:val="nil"/>
              <w:left w:val="nil"/>
              <w:bottom w:val="single" w:sz="4" w:space="0" w:color="auto"/>
              <w:right w:val="single" w:sz="4" w:space="0" w:color="auto"/>
            </w:tcBorders>
            <w:shd w:val="clear" w:color="000000" w:fill="FFFFFF"/>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5,264</w:t>
            </w:r>
          </w:p>
        </w:tc>
        <w:tc>
          <w:tcPr>
            <w:tcW w:w="1959" w:type="dxa"/>
            <w:tcBorders>
              <w:top w:val="nil"/>
              <w:left w:val="nil"/>
              <w:bottom w:val="single" w:sz="4" w:space="0" w:color="auto"/>
              <w:right w:val="single" w:sz="4" w:space="0" w:color="auto"/>
            </w:tcBorders>
            <w:shd w:val="clear" w:color="000000" w:fill="FFFFFF"/>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18,519</w:t>
            </w:r>
          </w:p>
        </w:tc>
      </w:tr>
      <w:tr w:rsidR="00816D8E" w:rsidRPr="00BB231B" w:rsidTr="00816D8E">
        <w:trPr>
          <w:trHeight w:val="559"/>
        </w:trPr>
        <w:tc>
          <w:tcPr>
            <w:tcW w:w="2113" w:type="dxa"/>
            <w:tcBorders>
              <w:top w:val="nil"/>
              <w:left w:val="single" w:sz="4" w:space="0" w:color="auto"/>
              <w:bottom w:val="single" w:sz="4" w:space="0" w:color="auto"/>
              <w:right w:val="single" w:sz="4" w:space="0" w:color="auto"/>
            </w:tcBorders>
            <w:shd w:val="clear" w:color="000000" w:fill="FFFFFF"/>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 xml:space="preserve">Capacitaciones externas </w:t>
            </w:r>
          </w:p>
        </w:tc>
        <w:tc>
          <w:tcPr>
            <w:tcW w:w="2877"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22</w:t>
            </w:r>
          </w:p>
        </w:tc>
        <w:tc>
          <w:tcPr>
            <w:tcW w:w="2005"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115</w:t>
            </w:r>
          </w:p>
        </w:tc>
        <w:tc>
          <w:tcPr>
            <w:tcW w:w="1959" w:type="dxa"/>
            <w:tcBorders>
              <w:top w:val="nil"/>
              <w:left w:val="nil"/>
              <w:bottom w:val="single" w:sz="4" w:space="0" w:color="auto"/>
              <w:right w:val="single" w:sz="4" w:space="0" w:color="auto"/>
            </w:tcBorders>
            <w:shd w:val="clear" w:color="000000" w:fill="FFFFFF"/>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1,298</w:t>
            </w:r>
          </w:p>
        </w:tc>
      </w:tr>
      <w:tr w:rsidR="00816D8E" w:rsidRPr="00BB231B" w:rsidTr="00816D8E">
        <w:trPr>
          <w:trHeight w:val="559"/>
        </w:trPr>
        <w:tc>
          <w:tcPr>
            <w:tcW w:w="2113" w:type="dxa"/>
            <w:tcBorders>
              <w:top w:val="nil"/>
              <w:left w:val="single" w:sz="4" w:space="0" w:color="auto"/>
              <w:bottom w:val="single" w:sz="4" w:space="0" w:color="auto"/>
              <w:right w:val="single" w:sz="4" w:space="0" w:color="auto"/>
            </w:tcBorders>
            <w:shd w:val="clear" w:color="000000" w:fill="FFFFFF"/>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Capacitaciones internacionales</w:t>
            </w:r>
          </w:p>
        </w:tc>
        <w:tc>
          <w:tcPr>
            <w:tcW w:w="2877"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3</w:t>
            </w:r>
          </w:p>
        </w:tc>
        <w:tc>
          <w:tcPr>
            <w:tcW w:w="2005"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4</w:t>
            </w:r>
          </w:p>
        </w:tc>
        <w:tc>
          <w:tcPr>
            <w:tcW w:w="1959"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122</w:t>
            </w:r>
          </w:p>
        </w:tc>
      </w:tr>
      <w:tr w:rsidR="00816D8E" w:rsidRPr="00BB231B" w:rsidTr="00816D8E">
        <w:trPr>
          <w:trHeight w:val="501"/>
        </w:trPr>
        <w:tc>
          <w:tcPr>
            <w:tcW w:w="2113" w:type="dxa"/>
            <w:tcBorders>
              <w:top w:val="nil"/>
              <w:left w:val="single" w:sz="4" w:space="0" w:color="auto"/>
              <w:bottom w:val="single" w:sz="4" w:space="0" w:color="auto"/>
              <w:right w:val="single" w:sz="4" w:space="0" w:color="auto"/>
            </w:tcBorders>
            <w:shd w:val="clear" w:color="auto" w:fill="auto"/>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Totales</w:t>
            </w:r>
          </w:p>
        </w:tc>
        <w:tc>
          <w:tcPr>
            <w:tcW w:w="2877"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62</w:t>
            </w:r>
          </w:p>
        </w:tc>
        <w:tc>
          <w:tcPr>
            <w:tcW w:w="2005"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5,383</w:t>
            </w:r>
          </w:p>
        </w:tc>
        <w:tc>
          <w:tcPr>
            <w:tcW w:w="1959"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lang w:val="es-DO" w:eastAsia="es-DO"/>
              </w:rPr>
            </w:pPr>
            <w:r w:rsidRPr="00BB231B">
              <w:rPr>
                <w:rFonts w:ascii="Times New Roman" w:hAnsi="Times New Roman" w:cs="Times New Roman"/>
                <w:color w:val="auto"/>
                <w:lang w:val="es-DO" w:eastAsia="es-DO"/>
              </w:rPr>
              <w:t>19,939</w:t>
            </w:r>
          </w:p>
        </w:tc>
      </w:tr>
    </w:tbl>
    <w:p w:rsidR="000F216C" w:rsidRDefault="000F216C" w:rsidP="007D0D0A">
      <w:pPr>
        <w:spacing w:before="24"/>
        <w:rPr>
          <w:rFonts w:ascii="Times New Roman" w:hAnsi="Times New Roman" w:cs="Times New Roman"/>
          <w:b/>
          <w:color w:val="auto"/>
          <w:sz w:val="28"/>
          <w:szCs w:val="28"/>
          <w:lang w:val="es-DO"/>
        </w:rPr>
      </w:pPr>
    </w:p>
    <w:p w:rsidR="007D0D0A" w:rsidRPr="00BB231B" w:rsidRDefault="007D0D0A" w:rsidP="007D0D0A">
      <w:pPr>
        <w:spacing w:before="24"/>
        <w:rPr>
          <w:rFonts w:ascii="Times New Roman" w:hAnsi="Times New Roman" w:cs="Times New Roman"/>
          <w:b/>
          <w:color w:val="auto"/>
          <w:sz w:val="28"/>
          <w:szCs w:val="28"/>
          <w:lang w:val="es-DO"/>
        </w:rPr>
      </w:pPr>
      <w:r w:rsidRPr="00BB231B">
        <w:rPr>
          <w:rFonts w:ascii="Times New Roman" w:hAnsi="Times New Roman" w:cs="Times New Roman"/>
          <w:b/>
          <w:color w:val="auto"/>
          <w:sz w:val="28"/>
          <w:szCs w:val="28"/>
          <w:lang w:val="es-DO"/>
        </w:rPr>
        <w:t>Programa de Pasantías CGR</w:t>
      </w:r>
    </w:p>
    <w:p w:rsidR="007D0D0A" w:rsidRPr="000F216C" w:rsidRDefault="007D0D0A" w:rsidP="000F216C">
      <w:pPr>
        <w:spacing w:after="0" w:line="480" w:lineRule="auto"/>
        <w:ind w:firstLine="709"/>
        <w:rPr>
          <w:rFonts w:ascii="Times New Roman" w:hAnsi="Times New Roman" w:cs="Times New Roman"/>
          <w:color w:val="auto"/>
          <w:sz w:val="24"/>
          <w:szCs w:val="24"/>
        </w:rPr>
      </w:pPr>
      <w:r w:rsidRPr="000F216C">
        <w:rPr>
          <w:rFonts w:ascii="Times New Roman" w:hAnsi="Times New Roman" w:cs="Times New Roman"/>
          <w:color w:val="auto"/>
          <w:sz w:val="24"/>
          <w:szCs w:val="24"/>
        </w:rPr>
        <w:t xml:space="preserve">Como parte del compromiso institucional a favor del bienestar social, contribuyendo con el fortalecimiento y desarrollo en materia de educación la Contraloría General de la República a través de la Dirección de Recursos Humanos y su División de Capacitación y Desarrollo acogió a diecisiete (17) </w:t>
      </w:r>
      <w:r w:rsidRPr="000F216C">
        <w:rPr>
          <w:rFonts w:ascii="Times New Roman" w:hAnsi="Times New Roman" w:cs="Times New Roman"/>
          <w:color w:val="auto"/>
          <w:sz w:val="24"/>
          <w:szCs w:val="24"/>
        </w:rPr>
        <w:lastRenderedPageBreak/>
        <w:t>pasantes externos y seis (6) pasantes internos para un total de veintitrés (23) pasantes en el año 2017 de diferentes Universidades, Escuelas, Politécnicos y Colegios a nivel nacional. Este programa da a los estudiantes a nivel de educación superior, media y técnica la oportunidad de realizar sus horas prácticas en las diferentes áreas y unidades de auditorías de la CGR, al mismo tiempo aportar al desarrollo de experiencias y al conocimiento del mercado laboral.</w:t>
      </w:r>
    </w:p>
    <w:p w:rsidR="007D0D0A" w:rsidRPr="00BB231B" w:rsidRDefault="007D0D0A" w:rsidP="007D0D0A">
      <w:pPr>
        <w:spacing w:before="24"/>
        <w:rPr>
          <w:rFonts w:ascii="Times New Roman" w:hAnsi="Times New Roman" w:cs="Times New Roman"/>
          <w:b/>
          <w:color w:val="auto"/>
          <w:sz w:val="28"/>
          <w:szCs w:val="28"/>
          <w:lang w:val="es-DO"/>
        </w:rPr>
      </w:pPr>
    </w:p>
    <w:p w:rsidR="00816D8E" w:rsidRPr="00BB231B" w:rsidRDefault="00816D8E" w:rsidP="007D0D0A">
      <w:pPr>
        <w:spacing w:before="24"/>
        <w:rPr>
          <w:rFonts w:ascii="Times New Roman" w:hAnsi="Times New Roman" w:cs="Times New Roman"/>
          <w:b/>
          <w:color w:val="auto"/>
          <w:sz w:val="28"/>
          <w:szCs w:val="28"/>
          <w:lang w:val="es-DO"/>
        </w:rPr>
      </w:pPr>
    </w:p>
    <w:tbl>
      <w:tblPr>
        <w:tblW w:w="7664" w:type="dxa"/>
        <w:jc w:val="right"/>
        <w:tblCellMar>
          <w:left w:w="70" w:type="dxa"/>
          <w:right w:w="70" w:type="dxa"/>
        </w:tblCellMar>
        <w:tblLook w:val="04A0" w:firstRow="1" w:lastRow="0" w:firstColumn="1" w:lastColumn="0" w:noHBand="0" w:noVBand="1"/>
      </w:tblPr>
      <w:tblGrid>
        <w:gridCol w:w="3949"/>
        <w:gridCol w:w="3715"/>
      </w:tblGrid>
      <w:tr w:rsidR="00816D8E" w:rsidRPr="00BB231B" w:rsidTr="00816D8E">
        <w:trPr>
          <w:trHeight w:val="1168"/>
          <w:jc w:val="right"/>
        </w:trPr>
        <w:tc>
          <w:tcPr>
            <w:tcW w:w="766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D0D0A" w:rsidRPr="00BB231B" w:rsidRDefault="007D0D0A" w:rsidP="00F91AB8">
            <w:pPr>
              <w:jc w:val="center"/>
              <w:rPr>
                <w:rFonts w:ascii="Times New Roman" w:hAnsi="Times New Roman" w:cs="Times New Roman"/>
                <w:b/>
                <w:bCs/>
                <w:color w:val="auto"/>
                <w:sz w:val="24"/>
                <w:szCs w:val="24"/>
                <w:lang w:val="es-DO" w:eastAsia="es-DO"/>
              </w:rPr>
            </w:pPr>
            <w:r w:rsidRPr="00BB231B">
              <w:rPr>
                <w:rFonts w:ascii="Times New Roman" w:hAnsi="Times New Roman" w:cs="Times New Roman"/>
                <w:b/>
                <w:bCs/>
                <w:color w:val="auto"/>
                <w:sz w:val="28"/>
                <w:szCs w:val="24"/>
                <w:lang w:val="es-DO" w:eastAsia="es-DO"/>
              </w:rPr>
              <w:t>Resumen</w:t>
            </w:r>
            <w:r w:rsidRPr="00BB231B">
              <w:rPr>
                <w:rFonts w:ascii="Times New Roman" w:hAnsi="Times New Roman" w:cs="Times New Roman"/>
                <w:b/>
                <w:bCs/>
                <w:color w:val="auto"/>
                <w:sz w:val="28"/>
                <w:szCs w:val="24"/>
                <w:lang w:val="es-DO" w:eastAsia="es-DO"/>
              </w:rPr>
              <w:br/>
              <w:t>Contraloría General de la República</w:t>
            </w:r>
            <w:r w:rsidRPr="00BB231B">
              <w:rPr>
                <w:rFonts w:ascii="Times New Roman" w:hAnsi="Times New Roman" w:cs="Times New Roman"/>
                <w:b/>
                <w:bCs/>
                <w:color w:val="auto"/>
                <w:sz w:val="28"/>
                <w:szCs w:val="24"/>
                <w:lang w:val="es-DO" w:eastAsia="es-DO"/>
              </w:rPr>
              <w:br/>
            </w:r>
            <w:r w:rsidRPr="00BB231B">
              <w:rPr>
                <w:rFonts w:ascii="Times New Roman" w:hAnsi="Times New Roman" w:cs="Times New Roman"/>
                <w:b/>
                <w:bCs/>
                <w:color w:val="auto"/>
                <w:sz w:val="24"/>
                <w:szCs w:val="24"/>
                <w:lang w:val="es-DO" w:eastAsia="es-DO"/>
              </w:rPr>
              <w:t>Dirección de Recursos Humanos - División de Capacitación y Desarrollo</w:t>
            </w:r>
            <w:r w:rsidRPr="00BB231B">
              <w:rPr>
                <w:rFonts w:ascii="Times New Roman" w:hAnsi="Times New Roman" w:cs="Times New Roman"/>
                <w:b/>
                <w:bCs/>
                <w:color w:val="auto"/>
                <w:sz w:val="28"/>
                <w:szCs w:val="24"/>
                <w:lang w:val="es-DO" w:eastAsia="es-DO"/>
              </w:rPr>
              <w:br/>
              <w:t>Programa Pasantía CGR 2017</w:t>
            </w:r>
          </w:p>
        </w:tc>
      </w:tr>
      <w:tr w:rsidR="00816D8E" w:rsidRPr="00BB231B" w:rsidTr="00816D8E">
        <w:trPr>
          <w:trHeight w:val="375"/>
          <w:jc w:val="right"/>
        </w:trPr>
        <w:tc>
          <w:tcPr>
            <w:tcW w:w="3949" w:type="dxa"/>
            <w:tcBorders>
              <w:top w:val="nil"/>
              <w:left w:val="single" w:sz="4" w:space="0" w:color="auto"/>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Pasantes Internos</w:t>
            </w:r>
          </w:p>
        </w:tc>
        <w:tc>
          <w:tcPr>
            <w:tcW w:w="3715"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6</w:t>
            </w:r>
          </w:p>
        </w:tc>
      </w:tr>
      <w:tr w:rsidR="00816D8E" w:rsidRPr="00BB231B" w:rsidTr="00816D8E">
        <w:trPr>
          <w:trHeight w:val="375"/>
          <w:jc w:val="right"/>
        </w:trPr>
        <w:tc>
          <w:tcPr>
            <w:tcW w:w="3949" w:type="dxa"/>
            <w:tcBorders>
              <w:top w:val="nil"/>
              <w:left w:val="single" w:sz="4" w:space="0" w:color="auto"/>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Pasantes Externos</w:t>
            </w:r>
          </w:p>
        </w:tc>
        <w:tc>
          <w:tcPr>
            <w:tcW w:w="3715"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17</w:t>
            </w:r>
          </w:p>
        </w:tc>
      </w:tr>
      <w:tr w:rsidR="00816D8E" w:rsidRPr="00BB231B" w:rsidTr="00816D8E">
        <w:trPr>
          <w:trHeight w:val="145"/>
          <w:jc w:val="right"/>
        </w:trPr>
        <w:tc>
          <w:tcPr>
            <w:tcW w:w="3949" w:type="dxa"/>
            <w:tcBorders>
              <w:top w:val="nil"/>
              <w:left w:val="single" w:sz="4" w:space="0" w:color="auto"/>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b/>
                <w:bCs/>
                <w:color w:val="auto"/>
                <w:sz w:val="24"/>
                <w:szCs w:val="24"/>
                <w:lang w:val="es-DO" w:eastAsia="es-DO"/>
              </w:rPr>
            </w:pPr>
            <w:r w:rsidRPr="00BB231B">
              <w:rPr>
                <w:rFonts w:ascii="Times New Roman" w:hAnsi="Times New Roman" w:cs="Times New Roman"/>
                <w:b/>
                <w:bCs/>
                <w:color w:val="auto"/>
                <w:sz w:val="24"/>
                <w:szCs w:val="24"/>
                <w:lang w:val="es-DO" w:eastAsia="es-DO"/>
              </w:rPr>
              <w:t>Total Pasantes año 2017</w:t>
            </w:r>
          </w:p>
        </w:tc>
        <w:tc>
          <w:tcPr>
            <w:tcW w:w="3715"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23</w:t>
            </w:r>
          </w:p>
        </w:tc>
      </w:tr>
    </w:tbl>
    <w:p w:rsidR="007D0D0A" w:rsidRPr="00BB231B" w:rsidRDefault="007D0D0A" w:rsidP="007D0D0A">
      <w:pPr>
        <w:spacing w:before="2" w:line="240" w:lineRule="exact"/>
        <w:rPr>
          <w:rFonts w:ascii="Times New Roman" w:hAnsi="Times New Roman" w:cs="Times New Roman"/>
          <w:color w:val="auto"/>
          <w:sz w:val="24"/>
          <w:szCs w:val="24"/>
        </w:rPr>
      </w:pPr>
    </w:p>
    <w:p w:rsidR="00816D8E" w:rsidRPr="00BB231B" w:rsidRDefault="00816D8E" w:rsidP="007D0D0A">
      <w:pPr>
        <w:spacing w:before="53" w:line="540" w:lineRule="exact"/>
        <w:ind w:left="440" w:right="407"/>
        <w:rPr>
          <w:rFonts w:ascii="Times New Roman" w:hAnsi="Times New Roman" w:cs="Times New Roman"/>
          <w:color w:val="auto"/>
          <w:sz w:val="24"/>
          <w:szCs w:val="24"/>
          <w:lang w:val="es-DO"/>
        </w:rPr>
      </w:pPr>
    </w:p>
    <w:p w:rsidR="00816D8E" w:rsidRPr="00BB231B" w:rsidRDefault="00816D8E" w:rsidP="007D0D0A">
      <w:pPr>
        <w:spacing w:before="53" w:line="540" w:lineRule="exact"/>
        <w:ind w:left="440" w:right="407"/>
        <w:rPr>
          <w:rFonts w:ascii="Times New Roman" w:hAnsi="Times New Roman" w:cs="Times New Roman"/>
          <w:color w:val="auto"/>
          <w:sz w:val="24"/>
          <w:szCs w:val="24"/>
          <w:lang w:val="es-DO"/>
        </w:rPr>
      </w:pPr>
    </w:p>
    <w:p w:rsidR="007D0D0A" w:rsidRPr="000F216C" w:rsidRDefault="007D0D0A" w:rsidP="007D0D0A">
      <w:pPr>
        <w:spacing w:before="53" w:line="540" w:lineRule="exact"/>
        <w:ind w:left="440" w:right="407"/>
        <w:rPr>
          <w:rFonts w:ascii="Times New Roman" w:hAnsi="Times New Roman" w:cs="Times New Roman"/>
          <w:b/>
          <w:color w:val="auto"/>
          <w:sz w:val="24"/>
          <w:szCs w:val="24"/>
          <w:lang w:val="es-DO"/>
        </w:rPr>
      </w:pPr>
      <w:r w:rsidRPr="000F216C">
        <w:rPr>
          <w:rFonts w:ascii="Times New Roman" w:hAnsi="Times New Roman" w:cs="Times New Roman"/>
          <w:b/>
          <w:color w:val="auto"/>
          <w:sz w:val="24"/>
          <w:szCs w:val="24"/>
          <w:lang w:val="es-DO"/>
        </w:rPr>
        <w:t>En el año 2017 fueron aprobadas cinco (5) solicitudes de subsidios de estudios detalladas a continuación:</w:t>
      </w:r>
    </w:p>
    <w:p w:rsidR="007D0D0A" w:rsidRPr="00BB231B" w:rsidRDefault="007D0D0A" w:rsidP="007D0D0A">
      <w:pPr>
        <w:spacing w:line="360" w:lineRule="auto"/>
        <w:rPr>
          <w:rFonts w:ascii="Times New Roman" w:hAnsi="Times New Roman" w:cs="Times New Roman"/>
          <w:color w:val="auto"/>
          <w:sz w:val="24"/>
          <w:lang w:val="es-DO"/>
        </w:rPr>
      </w:pPr>
    </w:p>
    <w:tbl>
      <w:tblPr>
        <w:tblW w:w="8382" w:type="dxa"/>
        <w:jc w:val="center"/>
        <w:tblCellMar>
          <w:left w:w="70" w:type="dxa"/>
          <w:right w:w="70" w:type="dxa"/>
        </w:tblCellMar>
        <w:tblLook w:val="04A0" w:firstRow="1" w:lastRow="0" w:firstColumn="1" w:lastColumn="0" w:noHBand="0" w:noVBand="1"/>
      </w:tblPr>
      <w:tblGrid>
        <w:gridCol w:w="1440"/>
        <w:gridCol w:w="2264"/>
        <w:gridCol w:w="2551"/>
        <w:gridCol w:w="2127"/>
      </w:tblGrid>
      <w:tr w:rsidR="00951486" w:rsidRPr="00BB231B" w:rsidTr="00F91AB8">
        <w:trPr>
          <w:trHeight w:val="915"/>
          <w:jc w:val="center"/>
        </w:trPr>
        <w:tc>
          <w:tcPr>
            <w:tcW w:w="838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D0D0A" w:rsidRPr="00BB231B" w:rsidRDefault="007D0D0A" w:rsidP="00F91AB8">
            <w:pPr>
              <w:jc w:val="center"/>
              <w:rPr>
                <w:rFonts w:ascii="Times New Roman" w:hAnsi="Times New Roman" w:cs="Times New Roman"/>
                <w:b/>
                <w:bCs/>
                <w:color w:val="auto"/>
                <w:sz w:val="24"/>
                <w:szCs w:val="24"/>
                <w:lang w:val="es-DO" w:eastAsia="es-DO"/>
              </w:rPr>
            </w:pPr>
            <w:r w:rsidRPr="00BB231B">
              <w:rPr>
                <w:rFonts w:ascii="Times New Roman" w:hAnsi="Times New Roman" w:cs="Times New Roman"/>
                <w:b/>
                <w:bCs/>
                <w:color w:val="auto"/>
                <w:sz w:val="28"/>
                <w:szCs w:val="24"/>
                <w:lang w:val="es-DO" w:eastAsia="es-DO"/>
              </w:rPr>
              <w:t>Resumen</w:t>
            </w:r>
            <w:r w:rsidRPr="00BB231B">
              <w:rPr>
                <w:rFonts w:ascii="Times New Roman" w:hAnsi="Times New Roman" w:cs="Times New Roman"/>
                <w:b/>
                <w:bCs/>
                <w:color w:val="auto"/>
                <w:sz w:val="28"/>
                <w:szCs w:val="24"/>
                <w:lang w:val="es-DO" w:eastAsia="es-DO"/>
              </w:rPr>
              <w:br/>
              <w:t>Contraloría General de la República</w:t>
            </w:r>
            <w:r w:rsidRPr="00BB231B">
              <w:rPr>
                <w:rFonts w:ascii="Times New Roman" w:hAnsi="Times New Roman" w:cs="Times New Roman"/>
                <w:b/>
                <w:bCs/>
                <w:color w:val="auto"/>
                <w:sz w:val="28"/>
                <w:szCs w:val="24"/>
                <w:lang w:val="es-DO" w:eastAsia="es-DO"/>
              </w:rPr>
              <w:br/>
            </w:r>
            <w:r w:rsidRPr="00BB231B">
              <w:rPr>
                <w:rFonts w:ascii="Times New Roman" w:hAnsi="Times New Roman" w:cs="Times New Roman"/>
                <w:b/>
                <w:bCs/>
                <w:color w:val="auto"/>
                <w:sz w:val="24"/>
                <w:szCs w:val="24"/>
                <w:lang w:val="es-DO" w:eastAsia="es-DO"/>
              </w:rPr>
              <w:t>Dirección de Recursos Humanos - División de Capacitación y Desarrollo</w:t>
            </w:r>
            <w:r w:rsidRPr="00BB231B">
              <w:rPr>
                <w:rFonts w:ascii="Times New Roman" w:hAnsi="Times New Roman" w:cs="Times New Roman"/>
                <w:b/>
                <w:bCs/>
                <w:color w:val="auto"/>
                <w:sz w:val="28"/>
                <w:szCs w:val="24"/>
                <w:lang w:val="es-DO" w:eastAsia="es-DO"/>
              </w:rPr>
              <w:br/>
            </w:r>
            <w:r w:rsidRPr="00BB231B">
              <w:rPr>
                <w:rFonts w:ascii="Times New Roman" w:hAnsi="Times New Roman" w:cs="Times New Roman"/>
                <w:b/>
                <w:color w:val="auto"/>
                <w:sz w:val="28"/>
                <w:szCs w:val="23"/>
                <w:lang w:val="es-ES_tradnl"/>
              </w:rPr>
              <w:lastRenderedPageBreak/>
              <w:t>Subsidio de Estudio a los Servidores Públicos</w:t>
            </w:r>
            <w:r w:rsidRPr="00BB231B">
              <w:rPr>
                <w:rFonts w:ascii="Times New Roman" w:hAnsi="Times New Roman" w:cs="Times New Roman"/>
                <w:b/>
                <w:bCs/>
                <w:color w:val="auto"/>
                <w:sz w:val="28"/>
                <w:szCs w:val="24"/>
                <w:lang w:val="es-DO" w:eastAsia="es-DO"/>
              </w:rPr>
              <w:t xml:space="preserve"> 2017</w:t>
            </w:r>
          </w:p>
        </w:tc>
      </w:tr>
      <w:tr w:rsidR="00951486" w:rsidRPr="00BB231B" w:rsidTr="00F91AB8">
        <w:trPr>
          <w:trHeight w:val="729"/>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b/>
                <w:bCs/>
                <w:color w:val="auto"/>
                <w:sz w:val="24"/>
                <w:szCs w:val="24"/>
                <w:lang w:val="es-DO" w:eastAsia="es-DO"/>
              </w:rPr>
            </w:pPr>
            <w:r w:rsidRPr="00BB231B">
              <w:rPr>
                <w:rFonts w:ascii="Times New Roman" w:hAnsi="Times New Roman" w:cs="Times New Roman"/>
                <w:b/>
                <w:bCs/>
                <w:color w:val="auto"/>
                <w:sz w:val="24"/>
                <w:szCs w:val="24"/>
                <w:lang w:val="es-DO" w:eastAsia="es-DO"/>
              </w:rPr>
              <w:lastRenderedPageBreak/>
              <w:t>Estudios</w:t>
            </w:r>
          </w:p>
        </w:tc>
        <w:tc>
          <w:tcPr>
            <w:tcW w:w="2264" w:type="dxa"/>
            <w:tcBorders>
              <w:top w:val="single" w:sz="4" w:space="0" w:color="auto"/>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b/>
                <w:bCs/>
                <w:color w:val="auto"/>
                <w:sz w:val="24"/>
                <w:szCs w:val="24"/>
                <w:lang w:val="es-DO" w:eastAsia="es-DO"/>
              </w:rPr>
            </w:pPr>
            <w:r w:rsidRPr="00BB231B">
              <w:rPr>
                <w:rFonts w:ascii="Times New Roman" w:hAnsi="Times New Roman" w:cs="Times New Roman"/>
                <w:b/>
                <w:bCs/>
                <w:color w:val="auto"/>
                <w:sz w:val="24"/>
                <w:szCs w:val="24"/>
                <w:lang w:val="es-DO" w:eastAsia="es-DO"/>
              </w:rPr>
              <w:t>Universidad</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b/>
                <w:bCs/>
                <w:color w:val="auto"/>
                <w:sz w:val="24"/>
                <w:szCs w:val="24"/>
                <w:lang w:val="es-DO" w:eastAsia="es-DO"/>
              </w:rPr>
            </w:pPr>
            <w:r w:rsidRPr="00BB231B">
              <w:rPr>
                <w:rFonts w:ascii="Times New Roman" w:hAnsi="Times New Roman" w:cs="Times New Roman"/>
                <w:b/>
                <w:bCs/>
                <w:color w:val="auto"/>
                <w:sz w:val="24"/>
                <w:szCs w:val="24"/>
                <w:lang w:val="es-DO" w:eastAsia="es-DO"/>
              </w:rPr>
              <w:t>Estudios</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7D0D0A" w:rsidRPr="00BB231B" w:rsidRDefault="007D0D0A" w:rsidP="00F91AB8">
            <w:pPr>
              <w:jc w:val="center"/>
              <w:rPr>
                <w:rFonts w:ascii="Times New Roman" w:hAnsi="Times New Roman" w:cs="Times New Roman"/>
                <w:b/>
                <w:bCs/>
                <w:color w:val="auto"/>
                <w:sz w:val="24"/>
                <w:szCs w:val="24"/>
                <w:lang w:val="es-DO" w:eastAsia="es-DO"/>
              </w:rPr>
            </w:pPr>
            <w:r w:rsidRPr="00BB231B">
              <w:rPr>
                <w:rFonts w:ascii="Times New Roman" w:hAnsi="Times New Roman" w:cs="Times New Roman"/>
                <w:b/>
                <w:bCs/>
                <w:color w:val="auto"/>
                <w:sz w:val="24"/>
                <w:szCs w:val="24"/>
                <w:lang w:val="es-DO" w:eastAsia="es-DO"/>
              </w:rPr>
              <w:t xml:space="preserve">Fecha de  </w:t>
            </w:r>
            <w:r w:rsidRPr="00BB231B">
              <w:rPr>
                <w:rFonts w:ascii="Times New Roman" w:hAnsi="Times New Roman" w:cs="Times New Roman"/>
                <w:b/>
                <w:bCs/>
                <w:color w:val="auto"/>
                <w:sz w:val="24"/>
                <w:szCs w:val="24"/>
                <w:lang w:val="es-DO" w:eastAsia="es-DO"/>
              </w:rPr>
              <w:br/>
              <w:t>aprobación</w:t>
            </w:r>
          </w:p>
        </w:tc>
      </w:tr>
      <w:tr w:rsidR="00951486" w:rsidRPr="00BB231B" w:rsidTr="00F91AB8">
        <w:trPr>
          <w:trHeight w:val="67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Grado</w:t>
            </w:r>
          </w:p>
        </w:tc>
        <w:tc>
          <w:tcPr>
            <w:tcW w:w="2264" w:type="dxa"/>
            <w:tcBorders>
              <w:top w:val="single" w:sz="4" w:space="0" w:color="auto"/>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UTE</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7D0D0A" w:rsidRPr="00BB231B" w:rsidRDefault="007D0D0A" w:rsidP="00F91AB8">
            <w:pP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Psicología Organizacional</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21/7/17</w:t>
            </w:r>
          </w:p>
        </w:tc>
      </w:tr>
      <w:tr w:rsidR="007D0D0A" w:rsidRPr="00BB231B" w:rsidTr="00F91AB8">
        <w:trPr>
          <w:trHeight w:val="67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Grado</w:t>
            </w:r>
          </w:p>
        </w:tc>
        <w:tc>
          <w:tcPr>
            <w:tcW w:w="2264" w:type="dxa"/>
            <w:tcBorders>
              <w:top w:val="nil"/>
              <w:left w:val="nil"/>
              <w:bottom w:val="single" w:sz="4" w:space="0" w:color="auto"/>
              <w:right w:val="single" w:sz="4" w:space="0" w:color="auto"/>
            </w:tcBorders>
            <w:shd w:val="clear" w:color="auto" w:fill="auto"/>
            <w:noWrap/>
            <w:vAlign w:val="center"/>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Universidad Abierta para Adultos</w:t>
            </w:r>
          </w:p>
        </w:tc>
        <w:tc>
          <w:tcPr>
            <w:tcW w:w="2551" w:type="dxa"/>
            <w:tcBorders>
              <w:top w:val="nil"/>
              <w:left w:val="nil"/>
              <w:bottom w:val="single" w:sz="4" w:space="0" w:color="auto"/>
              <w:right w:val="single" w:sz="4" w:space="0" w:color="auto"/>
            </w:tcBorders>
            <w:shd w:val="clear" w:color="auto" w:fill="auto"/>
            <w:vAlign w:val="center"/>
          </w:tcPr>
          <w:p w:rsidR="007D0D0A" w:rsidRPr="00BB231B" w:rsidRDefault="007D0D0A" w:rsidP="00F91AB8">
            <w:pP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Administración de Empresas</w:t>
            </w:r>
          </w:p>
        </w:tc>
        <w:tc>
          <w:tcPr>
            <w:tcW w:w="2127" w:type="dxa"/>
            <w:tcBorders>
              <w:top w:val="nil"/>
              <w:left w:val="nil"/>
              <w:bottom w:val="single" w:sz="4" w:space="0" w:color="auto"/>
              <w:right w:val="single" w:sz="4" w:space="0" w:color="auto"/>
            </w:tcBorders>
            <w:shd w:val="clear" w:color="auto" w:fill="auto"/>
            <w:noWrap/>
            <w:vAlign w:val="center"/>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24/7/17</w:t>
            </w:r>
          </w:p>
        </w:tc>
      </w:tr>
      <w:tr w:rsidR="007D0D0A" w:rsidRPr="00BB231B" w:rsidTr="00F91AB8">
        <w:trPr>
          <w:trHeight w:val="67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Maestría</w:t>
            </w:r>
          </w:p>
        </w:tc>
        <w:tc>
          <w:tcPr>
            <w:tcW w:w="2264"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UASD</w:t>
            </w:r>
          </w:p>
        </w:tc>
        <w:tc>
          <w:tcPr>
            <w:tcW w:w="2551" w:type="dxa"/>
            <w:tcBorders>
              <w:top w:val="nil"/>
              <w:left w:val="nil"/>
              <w:bottom w:val="single" w:sz="4" w:space="0" w:color="auto"/>
              <w:right w:val="single" w:sz="4" w:space="0" w:color="auto"/>
            </w:tcBorders>
            <w:shd w:val="clear" w:color="auto" w:fill="auto"/>
            <w:vAlign w:val="center"/>
            <w:hideMark/>
          </w:tcPr>
          <w:p w:rsidR="007D0D0A" w:rsidRPr="00BB231B" w:rsidRDefault="007D0D0A" w:rsidP="00F91AB8">
            <w:pP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Auditoría Interna</w:t>
            </w:r>
          </w:p>
        </w:tc>
        <w:tc>
          <w:tcPr>
            <w:tcW w:w="2127" w:type="dxa"/>
            <w:tcBorders>
              <w:top w:val="nil"/>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11/9/17</w:t>
            </w:r>
          </w:p>
        </w:tc>
      </w:tr>
      <w:tr w:rsidR="007D0D0A" w:rsidRPr="00BB231B" w:rsidTr="00F91AB8">
        <w:trPr>
          <w:trHeight w:val="67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Maestría</w:t>
            </w:r>
          </w:p>
        </w:tc>
        <w:tc>
          <w:tcPr>
            <w:tcW w:w="2264" w:type="dxa"/>
            <w:tcBorders>
              <w:top w:val="single" w:sz="4" w:space="0" w:color="auto"/>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UASD</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7D0D0A" w:rsidRPr="00BB231B" w:rsidRDefault="007D0D0A" w:rsidP="00F91AB8">
            <w:pP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Contabilidad Tributaria</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11/9/17</w:t>
            </w:r>
          </w:p>
        </w:tc>
      </w:tr>
      <w:tr w:rsidR="007D0D0A" w:rsidRPr="00BB231B" w:rsidTr="00F91AB8">
        <w:trPr>
          <w:trHeight w:val="67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Grado</w:t>
            </w:r>
          </w:p>
        </w:tc>
        <w:tc>
          <w:tcPr>
            <w:tcW w:w="2264" w:type="dxa"/>
            <w:tcBorders>
              <w:top w:val="single" w:sz="4" w:space="0" w:color="auto"/>
              <w:left w:val="nil"/>
              <w:bottom w:val="single" w:sz="4" w:space="0" w:color="auto"/>
              <w:right w:val="single" w:sz="4" w:space="0" w:color="auto"/>
            </w:tcBorders>
            <w:shd w:val="clear" w:color="auto" w:fill="auto"/>
            <w:noWrap/>
            <w:vAlign w:val="center"/>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UNEV</w:t>
            </w:r>
          </w:p>
        </w:tc>
        <w:tc>
          <w:tcPr>
            <w:tcW w:w="2551" w:type="dxa"/>
            <w:tcBorders>
              <w:top w:val="single" w:sz="4" w:space="0" w:color="auto"/>
              <w:left w:val="nil"/>
              <w:bottom w:val="single" w:sz="4" w:space="0" w:color="auto"/>
              <w:right w:val="single" w:sz="4" w:space="0" w:color="auto"/>
            </w:tcBorders>
            <w:shd w:val="clear" w:color="auto" w:fill="auto"/>
            <w:vAlign w:val="center"/>
          </w:tcPr>
          <w:p w:rsidR="007D0D0A" w:rsidRPr="00BB231B" w:rsidRDefault="007D0D0A" w:rsidP="00F91AB8">
            <w:pP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Psicóloga Clínica</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7D0D0A" w:rsidRPr="00BB231B" w:rsidRDefault="007D0D0A" w:rsidP="00F91AB8">
            <w:pPr>
              <w:jc w:val="center"/>
              <w:rPr>
                <w:rFonts w:ascii="Times New Roman" w:hAnsi="Times New Roman" w:cs="Times New Roman"/>
                <w:color w:val="auto"/>
                <w:sz w:val="24"/>
                <w:szCs w:val="24"/>
                <w:lang w:val="es-DO" w:eastAsia="es-DO"/>
              </w:rPr>
            </w:pPr>
            <w:r w:rsidRPr="00BB231B">
              <w:rPr>
                <w:rFonts w:ascii="Times New Roman" w:hAnsi="Times New Roman" w:cs="Times New Roman"/>
                <w:color w:val="auto"/>
                <w:sz w:val="24"/>
                <w:szCs w:val="24"/>
                <w:lang w:val="es-DO" w:eastAsia="es-DO"/>
              </w:rPr>
              <w:t>23/10/17</w:t>
            </w:r>
          </w:p>
        </w:tc>
      </w:tr>
    </w:tbl>
    <w:p w:rsidR="007D0D0A" w:rsidRPr="00BB231B" w:rsidRDefault="007D0D0A" w:rsidP="007D0D0A">
      <w:pPr>
        <w:rPr>
          <w:rFonts w:ascii="Times New Roman" w:hAnsi="Times New Roman" w:cs="Times New Roman"/>
        </w:rPr>
      </w:pPr>
    </w:p>
    <w:p w:rsidR="007D0D0A" w:rsidRPr="00BB231B" w:rsidRDefault="007D0D0A" w:rsidP="007D0D0A">
      <w:pPr>
        <w:rPr>
          <w:rFonts w:ascii="Times New Roman" w:hAnsi="Times New Roman" w:cs="Times New Roman"/>
        </w:rPr>
      </w:pPr>
    </w:p>
    <w:p w:rsidR="00F10FE8" w:rsidRPr="00BB231B" w:rsidRDefault="00F10FE8" w:rsidP="00F10FE8">
      <w:pPr>
        <w:spacing w:line="480" w:lineRule="auto"/>
        <w:ind w:right="182"/>
        <w:rPr>
          <w:rFonts w:ascii="Times New Roman" w:eastAsia="Gill Sans MT" w:hAnsi="Times New Roman" w:cs="Times New Roman"/>
          <w:color w:val="auto"/>
          <w:sz w:val="8"/>
          <w:szCs w:val="24"/>
          <w:lang w:val="es-DO"/>
        </w:rPr>
      </w:pPr>
    </w:p>
    <w:p w:rsidR="00CF43E6" w:rsidRPr="00BB231B" w:rsidRDefault="00CF43E6" w:rsidP="00E21EA2">
      <w:pPr>
        <w:pStyle w:val="Prrafodelista"/>
        <w:numPr>
          <w:ilvl w:val="0"/>
          <w:numId w:val="23"/>
        </w:numPr>
        <w:spacing w:beforeLines="40" w:before="96" w:afterLines="40" w:after="96" w:line="480" w:lineRule="auto"/>
        <w:outlineLvl w:val="0"/>
        <w:rPr>
          <w:rFonts w:ascii="Times New Roman" w:hAnsi="Times New Roman" w:cs="Times New Roman"/>
          <w:b/>
          <w:iCs/>
          <w:color w:val="auto"/>
          <w:sz w:val="24"/>
          <w:szCs w:val="24"/>
        </w:rPr>
      </w:pPr>
      <w:bookmarkStart w:id="66" w:name="_Toc500858024"/>
      <w:bookmarkStart w:id="67" w:name="_Toc500858174"/>
      <w:bookmarkStart w:id="68" w:name="_Toc500918600"/>
      <w:r w:rsidRPr="00BB231B">
        <w:rPr>
          <w:rFonts w:ascii="Times New Roman" w:hAnsi="Times New Roman" w:cs="Times New Roman"/>
          <w:b/>
          <w:iCs/>
          <w:color w:val="auto"/>
          <w:sz w:val="24"/>
          <w:szCs w:val="24"/>
        </w:rPr>
        <w:t>RECONOCIMIENTOS</w:t>
      </w:r>
      <w:bookmarkEnd w:id="66"/>
      <w:bookmarkEnd w:id="67"/>
      <w:bookmarkEnd w:id="68"/>
    </w:p>
    <w:p w:rsidR="004B5DB7" w:rsidRPr="00BB231B" w:rsidRDefault="009232C9" w:rsidP="003036C6">
      <w:pPr>
        <w:pStyle w:val="Prrafodelista"/>
        <w:numPr>
          <w:ilvl w:val="0"/>
          <w:numId w:val="54"/>
        </w:numPr>
        <w:spacing w:line="480" w:lineRule="auto"/>
        <w:rPr>
          <w:rStyle w:val="nfasissutil"/>
          <w:rFonts w:ascii="Times New Roman" w:hAnsi="Times New Roman" w:cs="Times New Roman"/>
          <w:color w:val="000000"/>
          <w:sz w:val="24"/>
          <w:szCs w:val="24"/>
        </w:rPr>
      </w:pPr>
      <w:r w:rsidRPr="00BB231B">
        <w:rPr>
          <w:rStyle w:val="nfasissutil"/>
          <w:rFonts w:ascii="Times New Roman" w:hAnsi="Times New Roman" w:cs="Times New Roman"/>
          <w:color w:val="000000"/>
          <w:sz w:val="24"/>
          <w:szCs w:val="24"/>
        </w:rPr>
        <w:t xml:space="preserve">La Contraloría participó </w:t>
      </w:r>
      <w:r w:rsidR="00CF43E6" w:rsidRPr="00BB231B">
        <w:rPr>
          <w:rStyle w:val="nfasissutil"/>
          <w:rFonts w:ascii="Times New Roman" w:hAnsi="Times New Roman" w:cs="Times New Roman"/>
          <w:color w:val="000000"/>
          <w:sz w:val="24"/>
          <w:szCs w:val="24"/>
        </w:rPr>
        <w:t xml:space="preserve"> por tercer año</w:t>
      </w:r>
      <w:r w:rsidRPr="00BB231B">
        <w:rPr>
          <w:rStyle w:val="nfasissutil"/>
          <w:rFonts w:ascii="Times New Roman" w:hAnsi="Times New Roman" w:cs="Times New Roman"/>
          <w:color w:val="000000"/>
          <w:sz w:val="24"/>
          <w:szCs w:val="24"/>
        </w:rPr>
        <w:t xml:space="preserve"> consecutivo en </w:t>
      </w:r>
      <w:r w:rsidR="00CF43E6" w:rsidRPr="00BB231B">
        <w:rPr>
          <w:rStyle w:val="nfasissutil"/>
          <w:rFonts w:ascii="Times New Roman" w:hAnsi="Times New Roman" w:cs="Times New Roman"/>
          <w:color w:val="000000"/>
          <w:sz w:val="24"/>
          <w:szCs w:val="24"/>
        </w:rPr>
        <w:t xml:space="preserve"> la Postulación al Premio Nacional a la Calidad y Prácticas Promisorias del Sector Público.  Como resultado de la implementación en la institución del Modelo Marco Común de Evaluación (CAF) en el año 2015, esfuerzo llevado a cabo </w:t>
      </w:r>
      <w:r w:rsidR="006114CC" w:rsidRPr="00BB231B">
        <w:rPr>
          <w:rStyle w:val="nfasissutil"/>
          <w:rFonts w:ascii="Times New Roman" w:hAnsi="Times New Roman" w:cs="Times New Roman"/>
          <w:color w:val="000000"/>
          <w:sz w:val="24"/>
          <w:szCs w:val="24"/>
        </w:rPr>
        <w:t>por</w:t>
      </w:r>
      <w:r w:rsidR="00CF43E6" w:rsidRPr="00BB231B">
        <w:rPr>
          <w:rStyle w:val="nfasissutil"/>
          <w:rFonts w:ascii="Times New Roman" w:hAnsi="Times New Roman" w:cs="Times New Roman"/>
          <w:color w:val="000000"/>
          <w:sz w:val="24"/>
          <w:szCs w:val="24"/>
        </w:rPr>
        <w:t xml:space="preserve"> la </w:t>
      </w:r>
      <w:r w:rsidR="006114CC" w:rsidRPr="00BB231B">
        <w:rPr>
          <w:rStyle w:val="nfasissutil"/>
          <w:rFonts w:ascii="Times New Roman" w:hAnsi="Times New Roman" w:cs="Times New Roman"/>
          <w:color w:val="000000"/>
          <w:sz w:val="24"/>
          <w:szCs w:val="24"/>
        </w:rPr>
        <w:t xml:space="preserve"> </w:t>
      </w:r>
      <w:r w:rsidR="00CF43E6" w:rsidRPr="00BB231B">
        <w:rPr>
          <w:rStyle w:val="nfasissutil"/>
          <w:rFonts w:ascii="Times New Roman" w:hAnsi="Times New Roman" w:cs="Times New Roman"/>
          <w:color w:val="000000"/>
          <w:sz w:val="24"/>
          <w:szCs w:val="24"/>
        </w:rPr>
        <w:t xml:space="preserve"> Dirección de Planificación y Desarrollo acompañado por un equipo multifuncional, la Contraloría General de la República consecutivamente en los años 2015 y 2016 fue galardonada en la Categoría Plata del mencionado premio.  Durante el año 2017 en la institución se continuó con la incorporación y el mantenimiento de la </w:t>
      </w:r>
      <w:r w:rsidR="00CF43E6" w:rsidRPr="00BB231B">
        <w:rPr>
          <w:rStyle w:val="nfasissutil"/>
          <w:rFonts w:ascii="Times New Roman" w:hAnsi="Times New Roman" w:cs="Times New Roman"/>
          <w:color w:val="000000"/>
          <w:sz w:val="24"/>
          <w:szCs w:val="24"/>
        </w:rPr>
        <w:lastRenderedPageBreak/>
        <w:t xml:space="preserve">calidad y la mejora continua, realizando por tercer año el autodiagnóstico de la gestión y la presentación de la </w:t>
      </w:r>
      <w:r w:rsidR="00C17C56" w:rsidRPr="00BB231B">
        <w:rPr>
          <w:rStyle w:val="nfasissutil"/>
          <w:rFonts w:ascii="Times New Roman" w:hAnsi="Times New Roman" w:cs="Times New Roman"/>
          <w:color w:val="000000"/>
          <w:sz w:val="24"/>
          <w:szCs w:val="24"/>
        </w:rPr>
        <w:t>M</w:t>
      </w:r>
      <w:r w:rsidR="00CF43E6" w:rsidRPr="00BB231B">
        <w:rPr>
          <w:rStyle w:val="nfasissutil"/>
          <w:rFonts w:ascii="Times New Roman" w:hAnsi="Times New Roman" w:cs="Times New Roman"/>
          <w:color w:val="000000"/>
          <w:sz w:val="24"/>
          <w:szCs w:val="24"/>
        </w:rPr>
        <w:t xml:space="preserve">emoria </w:t>
      </w:r>
      <w:r w:rsidR="00C17C56" w:rsidRPr="00BB231B">
        <w:rPr>
          <w:rStyle w:val="nfasissutil"/>
          <w:rFonts w:ascii="Times New Roman" w:hAnsi="Times New Roman" w:cs="Times New Roman"/>
          <w:color w:val="000000"/>
          <w:sz w:val="24"/>
          <w:szCs w:val="24"/>
        </w:rPr>
        <w:t>de</w:t>
      </w:r>
      <w:r w:rsidR="00CF43E6" w:rsidRPr="00BB231B">
        <w:rPr>
          <w:rStyle w:val="nfasissutil"/>
          <w:rFonts w:ascii="Times New Roman" w:hAnsi="Times New Roman" w:cs="Times New Roman"/>
          <w:color w:val="000000"/>
          <w:sz w:val="24"/>
          <w:szCs w:val="24"/>
        </w:rPr>
        <w:t xml:space="preserve"> </w:t>
      </w:r>
      <w:r w:rsidR="00C17C56" w:rsidRPr="00BB231B">
        <w:rPr>
          <w:rStyle w:val="nfasissutil"/>
          <w:rFonts w:ascii="Times New Roman" w:hAnsi="Times New Roman" w:cs="Times New Roman"/>
          <w:color w:val="000000"/>
          <w:sz w:val="24"/>
          <w:szCs w:val="24"/>
        </w:rPr>
        <w:t>P</w:t>
      </w:r>
      <w:r w:rsidR="00CF43E6" w:rsidRPr="00BB231B">
        <w:rPr>
          <w:rStyle w:val="nfasissutil"/>
          <w:rFonts w:ascii="Times New Roman" w:hAnsi="Times New Roman" w:cs="Times New Roman"/>
          <w:color w:val="000000"/>
          <w:sz w:val="24"/>
          <w:szCs w:val="24"/>
        </w:rPr>
        <w:t xml:space="preserve">ostulación al premio versión 2017. </w:t>
      </w:r>
      <w:r w:rsidR="00C17C56" w:rsidRPr="00BB231B">
        <w:rPr>
          <w:rStyle w:val="nfasissutil"/>
          <w:rFonts w:ascii="Times New Roman" w:hAnsi="Times New Roman" w:cs="Times New Roman"/>
          <w:color w:val="000000"/>
          <w:sz w:val="24"/>
          <w:szCs w:val="24"/>
        </w:rPr>
        <w:t xml:space="preserve"> </w:t>
      </w:r>
    </w:p>
    <w:p w:rsidR="004B5DB7" w:rsidRPr="00BB231B" w:rsidRDefault="004B5DB7" w:rsidP="0013776D">
      <w:pPr>
        <w:pStyle w:val="Prrafodelista"/>
        <w:numPr>
          <w:ilvl w:val="0"/>
          <w:numId w:val="49"/>
        </w:numPr>
        <w:shd w:val="clear" w:color="auto" w:fill="FFFFFF"/>
        <w:suppressAutoHyphens w:val="0"/>
        <w:spacing w:before="0" w:after="150" w:line="480" w:lineRule="auto"/>
        <w:rPr>
          <w:rStyle w:val="nfasissutil"/>
          <w:rFonts w:ascii="Times New Roman" w:hAnsi="Times New Roman" w:cs="Times New Roman"/>
          <w:color w:val="000000"/>
          <w:sz w:val="24"/>
          <w:szCs w:val="24"/>
        </w:rPr>
      </w:pPr>
      <w:r w:rsidRPr="00BB231B">
        <w:rPr>
          <w:rStyle w:val="nfasissutil"/>
          <w:rFonts w:ascii="Times New Roman" w:hAnsi="Times New Roman" w:cs="Times New Roman"/>
          <w:color w:val="000000"/>
          <w:sz w:val="24"/>
          <w:szCs w:val="24"/>
        </w:rPr>
        <w:t>El 11 de diciembre 2017, La CGR recibió la  visita de representantes del  Banco Mundial, del Instituto de Contadores Públicos Autorizados de la República Dominicana (ICPARD), de la Asociación Interamericana de Contabilidad  (AIC)  y de la Federación Mundial de Contadores, por sus siglas en inglés (IFAD), quienes evaluaron los avances y logros de la Contraloría en materia del fortalecimiento del control interno y la transparencia del gobierno dominicano. El equipo de profesionales valoró la importancia de la Contraloría como entre rector del Control Interno y el manejo de los recursos públicos, así como los procesos encaminad</w:t>
      </w:r>
      <w:r w:rsidR="00453623" w:rsidRPr="00BB231B">
        <w:rPr>
          <w:rStyle w:val="nfasissutil"/>
          <w:rFonts w:ascii="Times New Roman" w:hAnsi="Times New Roman" w:cs="Times New Roman"/>
          <w:color w:val="000000"/>
          <w:sz w:val="24"/>
          <w:szCs w:val="24"/>
        </w:rPr>
        <w:t xml:space="preserve">os a fortalecer la institución, así como </w:t>
      </w:r>
      <w:r w:rsidRPr="00BB231B">
        <w:rPr>
          <w:rStyle w:val="nfasissutil"/>
          <w:rFonts w:ascii="Times New Roman" w:hAnsi="Times New Roman" w:cs="Times New Roman"/>
          <w:color w:val="000000"/>
          <w:sz w:val="24"/>
          <w:szCs w:val="24"/>
        </w:rPr>
        <w:t xml:space="preserve"> los avances y sistemas tecnológicos desarrollados por la CGR para agilizar los procesos de autorización y validación de las órdenes de pagos como el </w:t>
      </w:r>
      <w:proofErr w:type="spellStart"/>
      <w:r w:rsidRPr="00BB231B">
        <w:rPr>
          <w:rStyle w:val="nfasissutil"/>
          <w:rFonts w:ascii="Times New Roman" w:hAnsi="Times New Roman" w:cs="Times New Roman"/>
          <w:color w:val="000000"/>
          <w:sz w:val="24"/>
          <w:szCs w:val="24"/>
        </w:rPr>
        <w:t>Suai</w:t>
      </w:r>
      <w:proofErr w:type="spellEnd"/>
      <w:r w:rsidRPr="00BB231B">
        <w:rPr>
          <w:rStyle w:val="nfasissutil"/>
          <w:rFonts w:ascii="Times New Roman" w:hAnsi="Times New Roman" w:cs="Times New Roman"/>
          <w:color w:val="000000"/>
          <w:sz w:val="24"/>
          <w:szCs w:val="24"/>
        </w:rPr>
        <w:t xml:space="preserve"> </w:t>
      </w:r>
      <w:proofErr w:type="spellStart"/>
      <w:r w:rsidRPr="00BB231B">
        <w:rPr>
          <w:rStyle w:val="nfasissutil"/>
          <w:rFonts w:ascii="Times New Roman" w:hAnsi="Times New Roman" w:cs="Times New Roman"/>
          <w:color w:val="000000"/>
          <w:sz w:val="24"/>
          <w:szCs w:val="24"/>
        </w:rPr>
        <w:t>Tre</w:t>
      </w:r>
      <w:proofErr w:type="spellEnd"/>
      <w:r w:rsidRPr="00BB231B">
        <w:rPr>
          <w:rStyle w:val="nfasissutil"/>
          <w:rFonts w:ascii="Times New Roman" w:hAnsi="Times New Roman" w:cs="Times New Roman"/>
          <w:color w:val="000000"/>
          <w:sz w:val="24"/>
          <w:szCs w:val="24"/>
        </w:rPr>
        <w:t xml:space="preserve"> Cheques, con el cual se automatizan y simplifican todas las reglas de validación de los requisitos que establecen las leyes y normativas. </w:t>
      </w:r>
    </w:p>
    <w:p w:rsidR="00EB64C2" w:rsidRDefault="00EB64C2" w:rsidP="00EB64C2">
      <w:pPr>
        <w:pStyle w:val="Prrafodelista"/>
        <w:shd w:val="clear" w:color="auto" w:fill="FFFFFF"/>
        <w:suppressAutoHyphens w:val="0"/>
        <w:spacing w:before="0" w:after="150" w:line="480" w:lineRule="auto"/>
        <w:ind w:left="720" w:firstLine="0"/>
        <w:rPr>
          <w:rStyle w:val="nfasissutil"/>
          <w:rFonts w:ascii="Times New Roman" w:hAnsi="Times New Roman" w:cs="Times New Roman"/>
          <w:color w:val="000000"/>
          <w:sz w:val="24"/>
          <w:szCs w:val="24"/>
        </w:rPr>
      </w:pPr>
    </w:p>
    <w:p w:rsidR="000F216C" w:rsidRPr="00BB231B" w:rsidRDefault="000F216C" w:rsidP="00EB64C2">
      <w:pPr>
        <w:pStyle w:val="Prrafodelista"/>
        <w:shd w:val="clear" w:color="auto" w:fill="FFFFFF"/>
        <w:suppressAutoHyphens w:val="0"/>
        <w:spacing w:before="0" w:after="150" w:line="480" w:lineRule="auto"/>
        <w:ind w:left="720" w:firstLine="0"/>
        <w:rPr>
          <w:rStyle w:val="nfasissutil"/>
          <w:rFonts w:ascii="Times New Roman" w:hAnsi="Times New Roman" w:cs="Times New Roman"/>
          <w:color w:val="000000"/>
          <w:sz w:val="24"/>
          <w:szCs w:val="24"/>
        </w:rPr>
      </w:pPr>
    </w:p>
    <w:p w:rsidR="00BA7FC5" w:rsidRPr="00BB231B" w:rsidRDefault="00BA7FC5" w:rsidP="00E21EA2">
      <w:pPr>
        <w:pStyle w:val="Prrafodelista"/>
        <w:numPr>
          <w:ilvl w:val="0"/>
          <w:numId w:val="23"/>
        </w:numPr>
        <w:spacing w:beforeLines="40" w:before="96" w:afterLines="40" w:after="96" w:line="480" w:lineRule="auto"/>
        <w:outlineLvl w:val="0"/>
        <w:rPr>
          <w:rFonts w:ascii="Times New Roman" w:hAnsi="Times New Roman" w:cs="Times New Roman"/>
          <w:b/>
          <w:iCs/>
          <w:color w:val="auto"/>
          <w:sz w:val="24"/>
          <w:szCs w:val="24"/>
        </w:rPr>
      </w:pPr>
      <w:bookmarkStart w:id="69" w:name="_Toc500858025"/>
      <w:bookmarkStart w:id="70" w:name="_Toc500858175"/>
      <w:bookmarkStart w:id="71" w:name="_Toc500918601"/>
      <w:r w:rsidRPr="00BB231B">
        <w:rPr>
          <w:rFonts w:ascii="Times New Roman" w:hAnsi="Times New Roman" w:cs="Times New Roman"/>
          <w:b/>
          <w:iCs/>
          <w:color w:val="auto"/>
          <w:sz w:val="24"/>
          <w:szCs w:val="24"/>
        </w:rPr>
        <w:t>PROYECCIONES AL PROXIMO AÑO</w:t>
      </w:r>
      <w:bookmarkEnd w:id="69"/>
      <w:bookmarkEnd w:id="70"/>
      <w:bookmarkEnd w:id="71"/>
    </w:p>
    <w:p w:rsidR="00BA7FC5" w:rsidRPr="00BB231B" w:rsidRDefault="00EE724D" w:rsidP="000F216C">
      <w:pPr>
        <w:spacing w:after="0" w:line="480" w:lineRule="auto"/>
        <w:ind w:firstLine="709"/>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Para el año 2018 la Contraloría ha planteado en su Plan Operativo Anual, ha definido las actividades para el logro de las mismas y elaborado el Plan de </w:t>
      </w:r>
      <w:r w:rsidRPr="00BB231B">
        <w:rPr>
          <w:rFonts w:ascii="Times New Roman" w:hAnsi="Times New Roman" w:cs="Times New Roman"/>
          <w:color w:val="auto"/>
          <w:sz w:val="24"/>
          <w:szCs w:val="24"/>
        </w:rPr>
        <w:lastRenderedPageBreak/>
        <w:t>Compras correspondientes para lograr las siguientes metas, las cuales han sido estipuladas en el Plan Estratégico 2017-2020 y publicadas en la Página Web oficial:</w:t>
      </w:r>
    </w:p>
    <w:p w:rsidR="003D5D67" w:rsidRPr="00BB231B" w:rsidRDefault="003D5D67" w:rsidP="00EE724D">
      <w:pPr>
        <w:rPr>
          <w:rFonts w:ascii="Times New Roman" w:hAnsi="Times New Roman" w:cs="Times New Roman"/>
          <w:color w:val="auto"/>
          <w:sz w:val="24"/>
          <w:szCs w:val="24"/>
        </w:rPr>
      </w:pPr>
    </w:p>
    <w:p w:rsidR="00695CCE" w:rsidRPr="00BB231B" w:rsidRDefault="00695CCE" w:rsidP="00EE724D">
      <w:pPr>
        <w:rPr>
          <w:rFonts w:ascii="Times New Roman" w:hAnsi="Times New Roman" w:cs="Times New Roman"/>
          <w:b/>
          <w:color w:val="auto"/>
          <w:sz w:val="28"/>
          <w:szCs w:val="24"/>
        </w:rPr>
      </w:pPr>
      <w:r w:rsidRPr="00BB231B">
        <w:rPr>
          <w:rFonts w:ascii="Times New Roman" w:hAnsi="Times New Roman" w:cs="Times New Roman"/>
          <w:b/>
          <w:color w:val="auto"/>
          <w:sz w:val="28"/>
          <w:szCs w:val="24"/>
        </w:rPr>
        <w:t>Relacionadas a la Metas Presidenciales:</w:t>
      </w:r>
    </w:p>
    <w:p w:rsidR="00423CA5" w:rsidRPr="00BB231B" w:rsidRDefault="00EA4270"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Incorporar a 77</w:t>
      </w:r>
      <w:r w:rsidR="00423CA5" w:rsidRPr="00BB231B">
        <w:rPr>
          <w:rFonts w:ascii="Times New Roman" w:hAnsi="Times New Roman" w:cs="Times New Roman"/>
          <w:color w:val="auto"/>
          <w:sz w:val="24"/>
          <w:szCs w:val="24"/>
        </w:rPr>
        <w:t xml:space="preserve"> Hospitales con los procesos misionales de Registro de Contratos y Autorización de Pagos implementados</w:t>
      </w:r>
      <w:r w:rsidR="00695CCE" w:rsidRPr="00BB231B">
        <w:rPr>
          <w:rFonts w:ascii="Times New Roman" w:hAnsi="Times New Roman" w:cs="Times New Roman"/>
          <w:color w:val="auto"/>
          <w:sz w:val="24"/>
          <w:szCs w:val="24"/>
        </w:rPr>
        <w:t xml:space="preserve"> </w:t>
      </w:r>
    </w:p>
    <w:p w:rsidR="00BA7FC5" w:rsidRPr="00BB231B" w:rsidRDefault="00BA7FC5"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Diagnóstico de la arquitectura del </w:t>
      </w:r>
      <w:r w:rsidR="002F108E" w:rsidRPr="00BB231B">
        <w:rPr>
          <w:rFonts w:ascii="Times New Roman" w:hAnsi="Times New Roman" w:cs="Times New Roman"/>
          <w:color w:val="auto"/>
          <w:sz w:val="24"/>
          <w:szCs w:val="24"/>
        </w:rPr>
        <w:t>Sistema de Control Interno (SCII) de</w:t>
      </w:r>
      <w:r w:rsidRPr="00BB231B">
        <w:rPr>
          <w:rFonts w:ascii="Times New Roman" w:hAnsi="Times New Roman" w:cs="Times New Roman"/>
          <w:color w:val="auto"/>
          <w:sz w:val="24"/>
          <w:szCs w:val="24"/>
        </w:rPr>
        <w:t xml:space="preserve"> 70 entidades realizado con el acompañamiento de la CGR</w:t>
      </w:r>
      <w:r w:rsidR="00695CCE" w:rsidRPr="00BB231B">
        <w:rPr>
          <w:rFonts w:ascii="Times New Roman" w:hAnsi="Times New Roman" w:cs="Times New Roman"/>
          <w:color w:val="auto"/>
          <w:sz w:val="24"/>
          <w:szCs w:val="24"/>
        </w:rPr>
        <w:t>.</w:t>
      </w:r>
    </w:p>
    <w:p w:rsidR="00695CCE" w:rsidRPr="00BB231B" w:rsidRDefault="00BA7FC5"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80 entidades con medición de efectividad de sus controles</w:t>
      </w:r>
      <w:r w:rsidR="002F108E" w:rsidRPr="00BB231B">
        <w:rPr>
          <w:rFonts w:ascii="Times New Roman" w:hAnsi="Times New Roman" w:cs="Times New Roman"/>
          <w:color w:val="auto"/>
          <w:sz w:val="24"/>
          <w:szCs w:val="24"/>
        </w:rPr>
        <w:t xml:space="preserve"> (NOBACI)</w:t>
      </w:r>
      <w:r w:rsidRPr="00BB231B">
        <w:rPr>
          <w:rFonts w:ascii="Times New Roman" w:hAnsi="Times New Roman" w:cs="Times New Roman"/>
          <w:color w:val="auto"/>
          <w:sz w:val="24"/>
          <w:szCs w:val="24"/>
        </w:rPr>
        <w:t>.</w:t>
      </w:r>
      <w:r w:rsidR="00695CCE" w:rsidRPr="00BB231B">
        <w:rPr>
          <w:rFonts w:ascii="Times New Roman" w:hAnsi="Times New Roman" w:cs="Times New Roman"/>
          <w:color w:val="auto"/>
          <w:sz w:val="24"/>
          <w:szCs w:val="24"/>
        </w:rPr>
        <w:t xml:space="preserve"> </w:t>
      </w:r>
    </w:p>
    <w:p w:rsidR="003B6820" w:rsidRPr="00BB231B" w:rsidRDefault="003B6820"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152 ayuntamientos, federaciones y otros grupos de interés sensibilizados sobre el alcance y funciones de la CGR.</w:t>
      </w:r>
    </w:p>
    <w:p w:rsidR="00F17C50" w:rsidRPr="00BB231B" w:rsidRDefault="00F17C50"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Creación de 36 Nuevas Unidades de Auditoría Interna en Instituciones Gubernamentales.</w:t>
      </w:r>
    </w:p>
    <w:p w:rsidR="00DB42EE" w:rsidRPr="00BB231B" w:rsidRDefault="00DB42EE"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Informe sobre la madurez en la implantación (arquitectura) del SCII.</w:t>
      </w:r>
    </w:p>
    <w:p w:rsidR="00DB42EE" w:rsidRPr="00BB231B" w:rsidRDefault="00DB42EE"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Informe consolidado de la efectividad del SCII.</w:t>
      </w:r>
    </w:p>
    <w:p w:rsidR="00DB42EE" w:rsidRPr="00BB231B" w:rsidRDefault="00DB42EE" w:rsidP="00DB42EE">
      <w:pPr>
        <w:pStyle w:val="Prrafodelista"/>
        <w:ind w:left="1080" w:firstLine="0"/>
        <w:rPr>
          <w:rFonts w:ascii="Times New Roman" w:hAnsi="Times New Roman" w:cs="Times New Roman"/>
          <w:color w:val="auto"/>
          <w:sz w:val="24"/>
          <w:szCs w:val="24"/>
        </w:rPr>
      </w:pPr>
    </w:p>
    <w:p w:rsidR="00695CCE" w:rsidRPr="00BB231B" w:rsidRDefault="00695CCE" w:rsidP="00695CCE">
      <w:pPr>
        <w:rPr>
          <w:rFonts w:ascii="Times New Roman" w:hAnsi="Times New Roman" w:cs="Times New Roman"/>
          <w:b/>
          <w:color w:val="auto"/>
          <w:sz w:val="28"/>
          <w:szCs w:val="24"/>
        </w:rPr>
      </w:pPr>
      <w:r w:rsidRPr="00BB231B">
        <w:rPr>
          <w:rFonts w:ascii="Times New Roman" w:hAnsi="Times New Roman" w:cs="Times New Roman"/>
          <w:b/>
          <w:color w:val="auto"/>
          <w:sz w:val="28"/>
          <w:szCs w:val="24"/>
        </w:rPr>
        <w:t>Relacionadas al Fortalecimiento Institucional</w:t>
      </w:r>
      <w:r w:rsidR="003D5D67" w:rsidRPr="00BB231B">
        <w:rPr>
          <w:rFonts w:ascii="Times New Roman" w:hAnsi="Times New Roman" w:cs="Times New Roman"/>
          <w:b/>
          <w:color w:val="auto"/>
          <w:sz w:val="28"/>
          <w:szCs w:val="24"/>
        </w:rPr>
        <w:t xml:space="preserve"> y Optimización de la gestión</w:t>
      </w:r>
      <w:r w:rsidRPr="00BB231B">
        <w:rPr>
          <w:rFonts w:ascii="Times New Roman" w:hAnsi="Times New Roman" w:cs="Times New Roman"/>
          <w:b/>
          <w:color w:val="auto"/>
          <w:sz w:val="28"/>
          <w:szCs w:val="24"/>
        </w:rPr>
        <w:t>:</w:t>
      </w:r>
    </w:p>
    <w:p w:rsidR="00EC305A" w:rsidRPr="00BB231B" w:rsidRDefault="00EC305A"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Sistema de Carrera Especial Administrativa de Control Interno (SCEACI) para el personal de la CGR diseñado y aprobado.</w:t>
      </w:r>
    </w:p>
    <w:p w:rsidR="00EC305A" w:rsidRPr="00BB231B" w:rsidRDefault="00BA7FC5"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 xml:space="preserve">Una Auditoría Interna Piloto con aplicación del </w:t>
      </w:r>
      <w:r w:rsidR="002F108E" w:rsidRPr="00BB231B">
        <w:rPr>
          <w:rFonts w:ascii="Times New Roman" w:hAnsi="Times New Roman" w:cs="Times New Roman"/>
          <w:color w:val="auto"/>
          <w:sz w:val="24"/>
          <w:szCs w:val="24"/>
        </w:rPr>
        <w:t>Manual de Auditoría Interna Gubernamental (</w:t>
      </w:r>
      <w:r w:rsidRPr="00BB231B">
        <w:rPr>
          <w:rFonts w:ascii="Times New Roman" w:hAnsi="Times New Roman" w:cs="Times New Roman"/>
          <w:color w:val="auto"/>
          <w:sz w:val="24"/>
          <w:szCs w:val="24"/>
        </w:rPr>
        <w:t>MAIG</w:t>
      </w:r>
      <w:r w:rsidR="002F108E" w:rsidRPr="00BB231B">
        <w:rPr>
          <w:rFonts w:ascii="Times New Roman" w:hAnsi="Times New Roman" w:cs="Times New Roman"/>
          <w:color w:val="auto"/>
          <w:sz w:val="24"/>
          <w:szCs w:val="24"/>
        </w:rPr>
        <w:t>)</w:t>
      </w:r>
      <w:r w:rsidRPr="00BB231B">
        <w:rPr>
          <w:rFonts w:ascii="Times New Roman" w:hAnsi="Times New Roman" w:cs="Times New Roman"/>
          <w:color w:val="auto"/>
          <w:sz w:val="24"/>
          <w:szCs w:val="24"/>
        </w:rPr>
        <w:t xml:space="preserve"> y Guías especializadas en áreas estratégicas de la END 2030.</w:t>
      </w:r>
    </w:p>
    <w:p w:rsidR="00BA7FC5" w:rsidRPr="00BB231B" w:rsidRDefault="00BA7FC5"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Todas las Auditorías Internas planificadas con base en riesgos, se cubre al menos el 40% anual del gasto público dentro del ámbito y el 60% de la Inversión en Proyectos dentro de la END 2030.</w:t>
      </w:r>
    </w:p>
    <w:p w:rsidR="00423CA5" w:rsidRPr="00BB231B" w:rsidRDefault="00EE724D" w:rsidP="00906BCF">
      <w:pPr>
        <w:pStyle w:val="Prrafodelista"/>
        <w:numPr>
          <w:ilvl w:val="0"/>
          <w:numId w:val="50"/>
        </w:numPr>
        <w:spacing w:before="0" w:after="0" w:line="480" w:lineRule="auto"/>
        <w:rPr>
          <w:rFonts w:ascii="Times New Roman" w:hAnsi="Times New Roman" w:cs="Times New Roman"/>
          <w:color w:val="auto"/>
          <w:sz w:val="24"/>
          <w:szCs w:val="24"/>
        </w:rPr>
      </w:pPr>
      <w:r w:rsidRPr="00BB231B">
        <w:rPr>
          <w:rFonts w:ascii="Times New Roman" w:hAnsi="Times New Roman" w:cs="Times New Roman"/>
          <w:color w:val="auto"/>
          <w:sz w:val="24"/>
          <w:szCs w:val="24"/>
        </w:rPr>
        <w:t>Realizar d</w:t>
      </w:r>
      <w:r w:rsidR="00BA7FC5" w:rsidRPr="00BB231B">
        <w:rPr>
          <w:rFonts w:ascii="Times New Roman" w:hAnsi="Times New Roman" w:cs="Times New Roman"/>
          <w:color w:val="auto"/>
          <w:sz w:val="24"/>
          <w:szCs w:val="24"/>
        </w:rPr>
        <w:t>os Pilotos con la aplicación del M</w:t>
      </w:r>
      <w:r w:rsidR="002F108E" w:rsidRPr="00BB231B">
        <w:rPr>
          <w:rFonts w:ascii="Times New Roman" w:hAnsi="Times New Roman" w:cs="Times New Roman"/>
          <w:color w:val="auto"/>
          <w:sz w:val="24"/>
          <w:szCs w:val="24"/>
        </w:rPr>
        <w:t xml:space="preserve">anual de </w:t>
      </w:r>
      <w:r w:rsidR="00BA7FC5" w:rsidRPr="00BB231B">
        <w:rPr>
          <w:rFonts w:ascii="Times New Roman" w:hAnsi="Times New Roman" w:cs="Times New Roman"/>
          <w:color w:val="auto"/>
          <w:sz w:val="24"/>
          <w:szCs w:val="24"/>
        </w:rPr>
        <w:t>E</w:t>
      </w:r>
      <w:r w:rsidR="002F108E" w:rsidRPr="00BB231B">
        <w:rPr>
          <w:rFonts w:ascii="Times New Roman" w:hAnsi="Times New Roman" w:cs="Times New Roman"/>
          <w:color w:val="auto"/>
          <w:sz w:val="24"/>
          <w:szCs w:val="24"/>
        </w:rPr>
        <w:t xml:space="preserve">xamen </w:t>
      </w:r>
      <w:r w:rsidR="00BA7FC5" w:rsidRPr="00BB231B">
        <w:rPr>
          <w:rFonts w:ascii="Times New Roman" w:hAnsi="Times New Roman" w:cs="Times New Roman"/>
          <w:color w:val="auto"/>
          <w:sz w:val="24"/>
          <w:szCs w:val="24"/>
        </w:rPr>
        <w:t>F</w:t>
      </w:r>
      <w:r w:rsidR="002F108E" w:rsidRPr="00BB231B">
        <w:rPr>
          <w:rFonts w:ascii="Times New Roman" w:hAnsi="Times New Roman" w:cs="Times New Roman"/>
          <w:color w:val="auto"/>
          <w:sz w:val="24"/>
          <w:szCs w:val="24"/>
        </w:rPr>
        <w:t>orense</w:t>
      </w:r>
      <w:r w:rsidR="00BA7FC5" w:rsidRPr="00BB231B">
        <w:rPr>
          <w:rFonts w:ascii="Times New Roman" w:hAnsi="Times New Roman" w:cs="Times New Roman"/>
          <w:color w:val="auto"/>
          <w:sz w:val="24"/>
          <w:szCs w:val="24"/>
        </w:rPr>
        <w:t>.</w:t>
      </w:r>
    </w:p>
    <w:p w:rsidR="00423CA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Marco normativo (NOBACI) y matrices para evaluación de arquitectura actualizadas y publicadas.</w:t>
      </w:r>
    </w:p>
    <w:p w:rsidR="00423CA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Herramientas para probar efectividad de los controles</w:t>
      </w:r>
      <w:r w:rsidR="003036C6" w:rsidRPr="00BB231B">
        <w:rPr>
          <w:rFonts w:ascii="Times New Roman" w:hAnsi="Times New Roman" w:cs="Times New Roman"/>
          <w:color w:val="auto"/>
          <w:sz w:val="24"/>
          <w:szCs w:val="24"/>
        </w:rPr>
        <w:t xml:space="preserve"> internos</w:t>
      </w:r>
      <w:r w:rsidRPr="00BB231B">
        <w:rPr>
          <w:rFonts w:ascii="Times New Roman" w:hAnsi="Times New Roman" w:cs="Times New Roman"/>
          <w:color w:val="auto"/>
          <w:sz w:val="24"/>
          <w:szCs w:val="24"/>
        </w:rPr>
        <w:t xml:space="preserve"> diseñadas.</w:t>
      </w:r>
    </w:p>
    <w:p w:rsidR="00BA7FC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Guía sobre Actividades de Control Interno para Obras Civiles actualizada.</w:t>
      </w:r>
    </w:p>
    <w:p w:rsidR="00BA7FC5" w:rsidRPr="00BB231B" w:rsidRDefault="00EE724D"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Elaborar </w:t>
      </w:r>
      <w:r w:rsidR="00BA7FC5" w:rsidRPr="00BB231B">
        <w:rPr>
          <w:rFonts w:ascii="Times New Roman" w:hAnsi="Times New Roman" w:cs="Times New Roman"/>
          <w:color w:val="auto"/>
          <w:sz w:val="24"/>
          <w:szCs w:val="24"/>
        </w:rPr>
        <w:t>Guía de Auditoría de Desempeño diseñada y aprobada</w:t>
      </w:r>
    </w:p>
    <w:p w:rsidR="00BA7FC5" w:rsidRPr="00BB231B" w:rsidRDefault="00EE724D"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Elaborar G</w:t>
      </w:r>
      <w:r w:rsidR="00BA7FC5" w:rsidRPr="00BB231B">
        <w:rPr>
          <w:rFonts w:ascii="Times New Roman" w:hAnsi="Times New Roman" w:cs="Times New Roman"/>
          <w:color w:val="auto"/>
          <w:sz w:val="24"/>
          <w:szCs w:val="24"/>
        </w:rPr>
        <w:t>uía de Auditoría de cumplimiento diseñada y aprobada.</w:t>
      </w:r>
    </w:p>
    <w:p w:rsidR="00BA7FC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Equipo de Auditores Internos capacitado en las Auditorías de Desempeño y de Cumplimiento.</w:t>
      </w:r>
    </w:p>
    <w:p w:rsidR="00BA7FC5" w:rsidRPr="00BB231B" w:rsidRDefault="00EE724D"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Realizar d</w:t>
      </w:r>
      <w:r w:rsidR="00BA7FC5" w:rsidRPr="00BB231B">
        <w:rPr>
          <w:rFonts w:ascii="Times New Roman" w:hAnsi="Times New Roman" w:cs="Times New Roman"/>
          <w:color w:val="auto"/>
          <w:sz w:val="24"/>
          <w:szCs w:val="24"/>
        </w:rPr>
        <w:t>os pilotos de Auditoría de Desempeño.</w:t>
      </w:r>
    </w:p>
    <w:p w:rsidR="00BA7FC5" w:rsidRPr="00BB231B" w:rsidRDefault="00EE724D"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Realizar  d</w:t>
      </w:r>
      <w:r w:rsidR="00BA7FC5" w:rsidRPr="00BB231B">
        <w:rPr>
          <w:rFonts w:ascii="Times New Roman" w:hAnsi="Times New Roman" w:cs="Times New Roman"/>
          <w:color w:val="auto"/>
          <w:sz w:val="24"/>
          <w:szCs w:val="24"/>
        </w:rPr>
        <w:t>os pilotos de Auditoría de Cumplimiento.</w:t>
      </w:r>
    </w:p>
    <w:p w:rsidR="00423CA5" w:rsidRPr="00BB231B" w:rsidRDefault="00423CA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Equipo de la </w:t>
      </w:r>
      <w:r w:rsidR="00F32406" w:rsidRPr="00BB231B">
        <w:rPr>
          <w:rFonts w:ascii="Times New Roman" w:hAnsi="Times New Roman" w:cs="Times New Roman"/>
          <w:color w:val="auto"/>
          <w:sz w:val="24"/>
          <w:szCs w:val="24"/>
        </w:rPr>
        <w:t>Dirección de Auditoría Interna Gubernamental</w:t>
      </w:r>
      <w:r w:rsidRPr="00BB231B">
        <w:rPr>
          <w:rFonts w:ascii="Times New Roman" w:hAnsi="Times New Roman" w:cs="Times New Roman"/>
          <w:color w:val="auto"/>
          <w:sz w:val="24"/>
          <w:szCs w:val="24"/>
        </w:rPr>
        <w:t xml:space="preserve"> capacitado en el  Manual de Auditoría Interna Gubernamental (MAIG).</w:t>
      </w:r>
    </w:p>
    <w:p w:rsidR="00423CA5" w:rsidRPr="00BB231B" w:rsidRDefault="00423CA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lastRenderedPageBreak/>
        <w:t>Equipo de la Dirección de Auditoría Interna Gubernamental capacitado en Auditoría del Control Interno.</w:t>
      </w:r>
    </w:p>
    <w:p w:rsidR="00423CA5" w:rsidRPr="00BB231B" w:rsidRDefault="00423CA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Equipo de la DAIG capacitado en Auditoría Financiera.</w:t>
      </w:r>
    </w:p>
    <w:p w:rsidR="00423CA5" w:rsidRPr="00BB231B" w:rsidRDefault="00423CA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Módulo para la Auditoría de Obras Civiles diseñado y aprobado.</w:t>
      </w:r>
    </w:p>
    <w:p w:rsidR="00423CA5" w:rsidRPr="00BB231B" w:rsidRDefault="00423CA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Equipo de Auditorías especiales capacitado en aspectos básicos del examen forense.</w:t>
      </w:r>
    </w:p>
    <w:p w:rsidR="00BA7FC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Funciones del Sistema de Auditoría Interna Gubernamental (SAIG) desarrolladas a nivel técnico (incluye sistema de seguimiento).</w:t>
      </w:r>
    </w:p>
    <w:p w:rsidR="00BA7FC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Sistema de control de calidad de la Auditoría Interna desarrollado a nivel conceptual y técnico.</w:t>
      </w:r>
    </w:p>
    <w:p w:rsidR="00BA7FC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Equipo del Departamento de Auditorías Técnicas (DAT) capacitado en el marco técnico diseñado</w:t>
      </w:r>
    </w:p>
    <w:p w:rsidR="00BA7FC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Dos pilotos de Auditoría de Técnica</w:t>
      </w:r>
    </w:p>
    <w:p w:rsidR="00BA7FC5"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Manual del Examen Forense (MEF) diseñado y aprobado.</w:t>
      </w:r>
    </w:p>
    <w:p w:rsidR="00EC305A" w:rsidRPr="00BB231B" w:rsidRDefault="00BA7FC5"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Equipo de Exámenes forenses capacitado en el MEF.</w:t>
      </w:r>
    </w:p>
    <w:p w:rsidR="00EC305A" w:rsidRPr="00BB231B" w:rsidRDefault="00EC305A"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lang w:val="es-DO"/>
        </w:rPr>
        <w:t>CGR certificada en la norma NORTIC</w:t>
      </w:r>
      <w:r w:rsidR="001F7CC8" w:rsidRPr="00BB231B">
        <w:rPr>
          <w:rFonts w:ascii="Times New Roman" w:hAnsi="Times New Roman" w:cs="Times New Roman"/>
          <w:color w:val="auto"/>
          <w:sz w:val="24"/>
          <w:szCs w:val="24"/>
          <w:lang w:val="es-DO"/>
        </w:rPr>
        <w:t>-</w:t>
      </w:r>
      <w:r w:rsidRPr="00BB231B">
        <w:rPr>
          <w:rFonts w:ascii="Times New Roman" w:hAnsi="Times New Roman" w:cs="Times New Roman"/>
          <w:color w:val="auto"/>
          <w:sz w:val="24"/>
          <w:szCs w:val="24"/>
          <w:lang w:val="es-DO"/>
        </w:rPr>
        <w:t>A7 – Estándares Para la seguridad de las Tecnologías de la información y Comunicación en el Estado dominicano.</w:t>
      </w:r>
    </w:p>
    <w:p w:rsidR="00EC305A" w:rsidRPr="00BB231B" w:rsidRDefault="00EC305A"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eastAsia="Gill Sans MT" w:hAnsi="Times New Roman" w:cs="Times New Roman"/>
          <w:color w:val="auto"/>
          <w:spacing w:val="2"/>
          <w:sz w:val="24"/>
          <w:szCs w:val="24"/>
          <w:lang w:val="es-DO"/>
        </w:rPr>
        <w:t>CG</w:t>
      </w:r>
      <w:r w:rsidRPr="00BB231B">
        <w:rPr>
          <w:rFonts w:ascii="Times New Roman" w:eastAsia="Gill Sans MT" w:hAnsi="Times New Roman" w:cs="Times New Roman"/>
          <w:color w:val="auto"/>
          <w:sz w:val="24"/>
          <w:szCs w:val="24"/>
          <w:lang w:val="es-DO"/>
        </w:rPr>
        <w:t>R</w:t>
      </w:r>
      <w:r w:rsidRPr="00BB231B">
        <w:rPr>
          <w:rFonts w:ascii="Times New Roman" w:eastAsia="Gill Sans MT" w:hAnsi="Times New Roman" w:cs="Times New Roman"/>
          <w:color w:val="auto"/>
          <w:spacing w:val="18"/>
          <w:sz w:val="24"/>
          <w:szCs w:val="24"/>
          <w:lang w:val="es-DO"/>
        </w:rPr>
        <w:t xml:space="preserve"> </w:t>
      </w:r>
      <w:r w:rsidRPr="00BB231B">
        <w:rPr>
          <w:rFonts w:ascii="Times New Roman" w:eastAsia="Gill Sans MT" w:hAnsi="Times New Roman" w:cs="Times New Roman"/>
          <w:color w:val="auto"/>
          <w:spacing w:val="1"/>
          <w:sz w:val="24"/>
          <w:szCs w:val="24"/>
          <w:lang w:val="es-DO"/>
        </w:rPr>
        <w:t>certificad</w:t>
      </w:r>
      <w:r w:rsidRPr="00BB231B">
        <w:rPr>
          <w:rFonts w:ascii="Times New Roman" w:eastAsia="Gill Sans MT" w:hAnsi="Times New Roman" w:cs="Times New Roman"/>
          <w:color w:val="auto"/>
          <w:sz w:val="24"/>
          <w:szCs w:val="24"/>
          <w:lang w:val="es-DO"/>
        </w:rPr>
        <w:t>a</w:t>
      </w:r>
      <w:r w:rsidRPr="00BB231B">
        <w:rPr>
          <w:rFonts w:ascii="Times New Roman" w:eastAsia="Gill Sans MT" w:hAnsi="Times New Roman" w:cs="Times New Roman"/>
          <w:color w:val="auto"/>
          <w:spacing w:val="32"/>
          <w:sz w:val="24"/>
          <w:szCs w:val="24"/>
          <w:lang w:val="es-DO"/>
        </w:rPr>
        <w:t xml:space="preserve"> </w:t>
      </w:r>
      <w:r w:rsidRPr="00BB231B">
        <w:rPr>
          <w:rFonts w:ascii="Times New Roman" w:eastAsia="Gill Sans MT" w:hAnsi="Times New Roman" w:cs="Times New Roman"/>
          <w:color w:val="auto"/>
          <w:spacing w:val="1"/>
          <w:w w:val="104"/>
          <w:sz w:val="24"/>
          <w:szCs w:val="24"/>
          <w:lang w:val="es-DO"/>
        </w:rPr>
        <w:t>e</w:t>
      </w:r>
      <w:r w:rsidRPr="00BB231B">
        <w:rPr>
          <w:rFonts w:ascii="Times New Roman" w:eastAsia="Gill Sans MT" w:hAnsi="Times New Roman" w:cs="Times New Roman"/>
          <w:color w:val="auto"/>
          <w:w w:val="104"/>
          <w:sz w:val="24"/>
          <w:szCs w:val="24"/>
          <w:lang w:val="es-DO"/>
        </w:rPr>
        <w:t xml:space="preserve">n </w:t>
      </w:r>
      <w:r w:rsidRPr="00BB231B">
        <w:rPr>
          <w:rFonts w:ascii="Times New Roman" w:eastAsia="Gill Sans MT" w:hAnsi="Times New Roman" w:cs="Times New Roman"/>
          <w:color w:val="auto"/>
          <w:spacing w:val="1"/>
          <w:w w:val="104"/>
          <w:sz w:val="24"/>
          <w:szCs w:val="24"/>
          <w:lang w:val="es-DO"/>
        </w:rPr>
        <w:t>l</w:t>
      </w:r>
      <w:r w:rsidRPr="00BB231B">
        <w:rPr>
          <w:rFonts w:ascii="Times New Roman" w:eastAsia="Gill Sans MT" w:hAnsi="Times New Roman" w:cs="Times New Roman"/>
          <w:color w:val="auto"/>
          <w:w w:val="104"/>
          <w:sz w:val="24"/>
          <w:szCs w:val="24"/>
          <w:lang w:val="es-DO"/>
        </w:rPr>
        <w:t>a</w:t>
      </w:r>
      <w:r w:rsidRPr="00BB231B">
        <w:rPr>
          <w:rFonts w:ascii="Times New Roman" w:eastAsia="Gill Sans MT" w:hAnsi="Times New Roman" w:cs="Times New Roman"/>
          <w:color w:val="auto"/>
          <w:spacing w:val="4"/>
          <w:sz w:val="24"/>
          <w:szCs w:val="24"/>
          <w:lang w:val="es-DO"/>
        </w:rPr>
        <w:t xml:space="preserve"> </w:t>
      </w:r>
      <w:r w:rsidRPr="00BB231B">
        <w:rPr>
          <w:rFonts w:ascii="Times New Roman" w:eastAsia="Gill Sans MT" w:hAnsi="Times New Roman" w:cs="Times New Roman"/>
          <w:color w:val="auto"/>
          <w:spacing w:val="1"/>
          <w:sz w:val="24"/>
          <w:szCs w:val="24"/>
          <w:lang w:val="es-DO"/>
        </w:rPr>
        <w:t>nor</w:t>
      </w:r>
      <w:r w:rsidRPr="00BB231B">
        <w:rPr>
          <w:rFonts w:ascii="Times New Roman" w:eastAsia="Gill Sans MT" w:hAnsi="Times New Roman" w:cs="Times New Roman"/>
          <w:color w:val="auto"/>
          <w:spacing w:val="2"/>
          <w:sz w:val="24"/>
          <w:szCs w:val="24"/>
          <w:lang w:val="es-DO"/>
        </w:rPr>
        <w:t>m</w:t>
      </w:r>
      <w:r w:rsidRPr="00BB231B">
        <w:rPr>
          <w:rFonts w:ascii="Times New Roman" w:eastAsia="Gill Sans MT" w:hAnsi="Times New Roman" w:cs="Times New Roman"/>
          <w:color w:val="auto"/>
          <w:sz w:val="24"/>
          <w:szCs w:val="24"/>
          <w:lang w:val="es-DO"/>
        </w:rPr>
        <w:t>a</w:t>
      </w:r>
      <w:r w:rsidRPr="00BB231B">
        <w:rPr>
          <w:rFonts w:ascii="Times New Roman" w:eastAsia="Gill Sans MT" w:hAnsi="Times New Roman" w:cs="Times New Roman"/>
          <w:color w:val="auto"/>
          <w:spacing w:val="22"/>
          <w:sz w:val="24"/>
          <w:szCs w:val="24"/>
          <w:lang w:val="es-DO"/>
        </w:rPr>
        <w:t xml:space="preserve"> </w:t>
      </w:r>
      <w:r w:rsidRPr="00BB231B">
        <w:rPr>
          <w:rFonts w:ascii="Times New Roman" w:eastAsia="Gill Sans MT" w:hAnsi="Times New Roman" w:cs="Times New Roman"/>
          <w:color w:val="auto"/>
          <w:spacing w:val="2"/>
          <w:w w:val="104"/>
          <w:sz w:val="24"/>
          <w:szCs w:val="24"/>
          <w:lang w:val="es-DO"/>
        </w:rPr>
        <w:t>NO</w:t>
      </w:r>
      <w:r w:rsidRPr="00BB231B">
        <w:rPr>
          <w:rFonts w:ascii="Times New Roman" w:eastAsia="Gill Sans MT" w:hAnsi="Times New Roman" w:cs="Times New Roman"/>
          <w:color w:val="auto"/>
          <w:spacing w:val="1"/>
          <w:w w:val="104"/>
          <w:sz w:val="24"/>
          <w:szCs w:val="24"/>
          <w:lang w:val="es-DO"/>
        </w:rPr>
        <w:t xml:space="preserve">RTIC </w:t>
      </w:r>
      <w:r w:rsidRPr="00BB231B">
        <w:rPr>
          <w:rFonts w:ascii="Times New Roman" w:eastAsia="Gill Sans MT" w:hAnsi="Times New Roman" w:cs="Times New Roman"/>
          <w:color w:val="auto"/>
          <w:spacing w:val="2"/>
          <w:sz w:val="24"/>
          <w:szCs w:val="24"/>
          <w:lang w:val="es-DO"/>
        </w:rPr>
        <w:t>A</w:t>
      </w:r>
      <w:r w:rsidRPr="00BB231B">
        <w:rPr>
          <w:rFonts w:ascii="Times New Roman" w:eastAsia="Gill Sans MT" w:hAnsi="Times New Roman" w:cs="Times New Roman"/>
          <w:color w:val="auto"/>
          <w:spacing w:val="1"/>
          <w:sz w:val="24"/>
          <w:szCs w:val="24"/>
          <w:lang w:val="es-DO"/>
        </w:rPr>
        <w:t>4</w:t>
      </w:r>
      <w:r w:rsidRPr="00BB231B">
        <w:rPr>
          <w:rFonts w:ascii="Times New Roman" w:eastAsia="Gill Sans MT" w:hAnsi="Times New Roman" w:cs="Times New Roman"/>
          <w:color w:val="auto"/>
          <w:sz w:val="24"/>
          <w:szCs w:val="24"/>
          <w:lang w:val="es-DO"/>
        </w:rPr>
        <w:t>–</w:t>
      </w:r>
      <w:r w:rsidRPr="00BB231B">
        <w:rPr>
          <w:rFonts w:ascii="Times New Roman" w:eastAsia="Gill Sans MT" w:hAnsi="Times New Roman" w:cs="Times New Roman"/>
          <w:color w:val="auto"/>
          <w:spacing w:val="15"/>
          <w:sz w:val="24"/>
          <w:szCs w:val="24"/>
          <w:lang w:val="es-DO"/>
        </w:rPr>
        <w:t xml:space="preserve"> </w:t>
      </w:r>
      <w:r w:rsidRPr="00BB231B">
        <w:rPr>
          <w:rFonts w:ascii="Times New Roman" w:eastAsia="Gill Sans MT" w:hAnsi="Times New Roman" w:cs="Times New Roman"/>
          <w:color w:val="auto"/>
          <w:spacing w:val="1"/>
          <w:sz w:val="24"/>
          <w:szCs w:val="24"/>
          <w:lang w:val="es-DO"/>
        </w:rPr>
        <w:t>Estándare</w:t>
      </w:r>
      <w:r w:rsidRPr="00BB231B">
        <w:rPr>
          <w:rFonts w:ascii="Times New Roman" w:eastAsia="Gill Sans MT" w:hAnsi="Times New Roman" w:cs="Times New Roman"/>
          <w:color w:val="auto"/>
          <w:sz w:val="24"/>
          <w:szCs w:val="24"/>
          <w:lang w:val="es-DO"/>
        </w:rPr>
        <w:t>s</w:t>
      </w:r>
      <w:r w:rsidRPr="00BB231B">
        <w:rPr>
          <w:rFonts w:ascii="Times New Roman" w:eastAsia="Gill Sans MT" w:hAnsi="Times New Roman" w:cs="Times New Roman"/>
          <w:color w:val="auto"/>
          <w:spacing w:val="33"/>
          <w:sz w:val="24"/>
          <w:szCs w:val="24"/>
          <w:lang w:val="es-DO"/>
        </w:rPr>
        <w:t xml:space="preserve"> </w:t>
      </w:r>
      <w:r w:rsidRPr="00BB231B">
        <w:rPr>
          <w:rFonts w:ascii="Times New Roman" w:eastAsia="Gill Sans MT" w:hAnsi="Times New Roman" w:cs="Times New Roman"/>
          <w:color w:val="auto"/>
          <w:spacing w:val="1"/>
          <w:w w:val="104"/>
          <w:sz w:val="24"/>
          <w:szCs w:val="24"/>
          <w:lang w:val="es-DO"/>
        </w:rPr>
        <w:t>par</w:t>
      </w:r>
      <w:r w:rsidRPr="00BB231B">
        <w:rPr>
          <w:rFonts w:ascii="Times New Roman" w:eastAsia="Gill Sans MT" w:hAnsi="Times New Roman" w:cs="Times New Roman"/>
          <w:color w:val="auto"/>
          <w:w w:val="104"/>
          <w:sz w:val="24"/>
          <w:szCs w:val="24"/>
          <w:lang w:val="es-DO"/>
        </w:rPr>
        <w:t xml:space="preserve">a </w:t>
      </w:r>
      <w:r w:rsidRPr="00BB231B">
        <w:rPr>
          <w:rFonts w:ascii="Times New Roman" w:eastAsia="Gill Sans MT" w:hAnsi="Times New Roman" w:cs="Times New Roman"/>
          <w:color w:val="auto"/>
          <w:spacing w:val="1"/>
          <w:sz w:val="24"/>
          <w:szCs w:val="24"/>
          <w:lang w:val="es-DO"/>
        </w:rPr>
        <w:t>l</w:t>
      </w:r>
      <w:r w:rsidRPr="00BB231B">
        <w:rPr>
          <w:rFonts w:ascii="Times New Roman" w:eastAsia="Gill Sans MT" w:hAnsi="Times New Roman" w:cs="Times New Roman"/>
          <w:color w:val="auto"/>
          <w:sz w:val="24"/>
          <w:szCs w:val="24"/>
          <w:lang w:val="es-DO"/>
        </w:rPr>
        <w:t>a</w:t>
      </w:r>
      <w:r w:rsidRPr="00BB231B">
        <w:rPr>
          <w:rFonts w:ascii="Times New Roman" w:eastAsia="Gill Sans MT" w:hAnsi="Times New Roman" w:cs="Times New Roman"/>
          <w:color w:val="auto"/>
          <w:spacing w:val="8"/>
          <w:sz w:val="24"/>
          <w:szCs w:val="24"/>
          <w:lang w:val="es-DO"/>
        </w:rPr>
        <w:t xml:space="preserve"> </w:t>
      </w:r>
      <w:r w:rsidRPr="00BB231B">
        <w:rPr>
          <w:rFonts w:ascii="Times New Roman" w:eastAsia="Gill Sans MT" w:hAnsi="Times New Roman" w:cs="Times New Roman"/>
          <w:color w:val="auto"/>
          <w:spacing w:val="1"/>
          <w:w w:val="104"/>
          <w:sz w:val="24"/>
          <w:szCs w:val="24"/>
          <w:lang w:val="es-DO"/>
        </w:rPr>
        <w:t>interoperabilida</w:t>
      </w:r>
      <w:r w:rsidRPr="00BB231B">
        <w:rPr>
          <w:rFonts w:ascii="Times New Roman" w:eastAsia="Gill Sans MT" w:hAnsi="Times New Roman" w:cs="Times New Roman"/>
          <w:color w:val="auto"/>
          <w:w w:val="104"/>
          <w:sz w:val="24"/>
          <w:szCs w:val="24"/>
          <w:lang w:val="es-DO"/>
        </w:rPr>
        <w:t xml:space="preserve">d </w:t>
      </w:r>
      <w:r w:rsidRPr="00BB231B">
        <w:rPr>
          <w:rFonts w:ascii="Times New Roman" w:eastAsia="Gill Sans MT" w:hAnsi="Times New Roman" w:cs="Times New Roman"/>
          <w:color w:val="auto"/>
          <w:spacing w:val="1"/>
          <w:sz w:val="24"/>
          <w:szCs w:val="24"/>
          <w:lang w:val="es-DO"/>
        </w:rPr>
        <w:t>entr</w:t>
      </w:r>
      <w:r w:rsidRPr="00BB231B">
        <w:rPr>
          <w:rFonts w:ascii="Times New Roman" w:eastAsia="Gill Sans MT" w:hAnsi="Times New Roman" w:cs="Times New Roman"/>
          <w:color w:val="auto"/>
          <w:sz w:val="24"/>
          <w:szCs w:val="24"/>
          <w:lang w:val="es-DO"/>
        </w:rPr>
        <w:t>e</w:t>
      </w:r>
      <w:r w:rsidRPr="00BB231B">
        <w:rPr>
          <w:rFonts w:ascii="Times New Roman" w:eastAsia="Gill Sans MT" w:hAnsi="Times New Roman" w:cs="Times New Roman"/>
          <w:color w:val="auto"/>
          <w:spacing w:val="19"/>
          <w:sz w:val="24"/>
          <w:szCs w:val="24"/>
          <w:lang w:val="es-DO"/>
        </w:rPr>
        <w:t xml:space="preserve"> </w:t>
      </w:r>
      <w:r w:rsidRPr="00BB231B">
        <w:rPr>
          <w:rFonts w:ascii="Times New Roman" w:eastAsia="Gill Sans MT" w:hAnsi="Times New Roman" w:cs="Times New Roman"/>
          <w:color w:val="auto"/>
          <w:spacing w:val="1"/>
          <w:w w:val="104"/>
          <w:sz w:val="24"/>
          <w:szCs w:val="24"/>
          <w:lang w:val="es-DO"/>
        </w:rPr>
        <w:t>lo</w:t>
      </w:r>
      <w:r w:rsidRPr="00BB231B">
        <w:rPr>
          <w:rFonts w:ascii="Times New Roman" w:eastAsia="Gill Sans MT" w:hAnsi="Times New Roman" w:cs="Times New Roman"/>
          <w:color w:val="auto"/>
          <w:w w:val="104"/>
          <w:sz w:val="24"/>
          <w:szCs w:val="24"/>
          <w:lang w:val="es-DO"/>
        </w:rPr>
        <w:t xml:space="preserve">s </w:t>
      </w:r>
      <w:r w:rsidRPr="00BB231B">
        <w:rPr>
          <w:rFonts w:ascii="Times New Roman" w:eastAsia="Gill Sans MT" w:hAnsi="Times New Roman" w:cs="Times New Roman"/>
          <w:color w:val="auto"/>
          <w:spacing w:val="1"/>
          <w:sz w:val="24"/>
          <w:szCs w:val="24"/>
        </w:rPr>
        <w:t>organis</w:t>
      </w:r>
      <w:r w:rsidRPr="00BB231B">
        <w:rPr>
          <w:rFonts w:ascii="Times New Roman" w:eastAsia="Gill Sans MT" w:hAnsi="Times New Roman" w:cs="Times New Roman"/>
          <w:color w:val="auto"/>
          <w:spacing w:val="2"/>
          <w:sz w:val="24"/>
          <w:szCs w:val="24"/>
        </w:rPr>
        <w:t>m</w:t>
      </w:r>
      <w:r w:rsidRPr="00BB231B">
        <w:rPr>
          <w:rFonts w:ascii="Times New Roman" w:eastAsia="Gill Sans MT" w:hAnsi="Times New Roman" w:cs="Times New Roman"/>
          <w:color w:val="auto"/>
          <w:spacing w:val="1"/>
          <w:sz w:val="24"/>
          <w:szCs w:val="24"/>
        </w:rPr>
        <w:t>o</w:t>
      </w:r>
      <w:r w:rsidRPr="00BB231B">
        <w:rPr>
          <w:rFonts w:ascii="Times New Roman" w:eastAsia="Gill Sans MT" w:hAnsi="Times New Roman" w:cs="Times New Roman"/>
          <w:color w:val="auto"/>
          <w:sz w:val="24"/>
          <w:szCs w:val="24"/>
        </w:rPr>
        <w:t>s</w:t>
      </w:r>
      <w:r w:rsidRPr="00BB231B">
        <w:rPr>
          <w:rFonts w:ascii="Times New Roman" w:eastAsia="Gill Sans MT" w:hAnsi="Times New Roman" w:cs="Times New Roman"/>
          <w:color w:val="auto"/>
          <w:spacing w:val="35"/>
          <w:sz w:val="24"/>
          <w:szCs w:val="24"/>
        </w:rPr>
        <w:t xml:space="preserve"> </w:t>
      </w:r>
      <w:r w:rsidRPr="00BB231B">
        <w:rPr>
          <w:rFonts w:ascii="Times New Roman" w:eastAsia="Gill Sans MT" w:hAnsi="Times New Roman" w:cs="Times New Roman"/>
          <w:color w:val="auto"/>
          <w:spacing w:val="1"/>
          <w:w w:val="104"/>
          <w:sz w:val="24"/>
          <w:szCs w:val="24"/>
        </w:rPr>
        <w:t>de</w:t>
      </w:r>
      <w:r w:rsidRPr="00BB231B">
        <w:rPr>
          <w:rFonts w:ascii="Times New Roman" w:eastAsia="Gill Sans MT" w:hAnsi="Times New Roman" w:cs="Times New Roman"/>
          <w:color w:val="auto"/>
          <w:w w:val="104"/>
          <w:sz w:val="24"/>
          <w:szCs w:val="24"/>
        </w:rPr>
        <w:t xml:space="preserve">l </w:t>
      </w:r>
      <w:r w:rsidRPr="00BB231B">
        <w:rPr>
          <w:rFonts w:ascii="Times New Roman" w:eastAsia="Gill Sans MT" w:hAnsi="Times New Roman" w:cs="Times New Roman"/>
          <w:color w:val="auto"/>
          <w:spacing w:val="1"/>
          <w:sz w:val="24"/>
          <w:szCs w:val="24"/>
        </w:rPr>
        <w:t>Estad</w:t>
      </w:r>
      <w:r w:rsidRPr="00BB231B">
        <w:rPr>
          <w:rFonts w:ascii="Times New Roman" w:eastAsia="Gill Sans MT" w:hAnsi="Times New Roman" w:cs="Times New Roman"/>
          <w:color w:val="auto"/>
          <w:sz w:val="24"/>
          <w:szCs w:val="24"/>
        </w:rPr>
        <w:t>o</w:t>
      </w:r>
      <w:r w:rsidRPr="00BB231B">
        <w:rPr>
          <w:rFonts w:ascii="Times New Roman" w:eastAsia="Gill Sans MT" w:hAnsi="Times New Roman" w:cs="Times New Roman"/>
          <w:color w:val="auto"/>
          <w:spacing w:val="22"/>
          <w:sz w:val="24"/>
          <w:szCs w:val="24"/>
        </w:rPr>
        <w:t xml:space="preserve"> </w:t>
      </w:r>
      <w:r w:rsidRPr="00BB231B">
        <w:rPr>
          <w:rFonts w:ascii="Times New Roman" w:eastAsia="Gill Sans MT" w:hAnsi="Times New Roman" w:cs="Times New Roman"/>
          <w:color w:val="auto"/>
          <w:spacing w:val="1"/>
          <w:w w:val="104"/>
          <w:sz w:val="24"/>
          <w:szCs w:val="24"/>
        </w:rPr>
        <w:t>do</w:t>
      </w:r>
      <w:r w:rsidRPr="00BB231B">
        <w:rPr>
          <w:rFonts w:ascii="Times New Roman" w:eastAsia="Gill Sans MT" w:hAnsi="Times New Roman" w:cs="Times New Roman"/>
          <w:color w:val="auto"/>
          <w:spacing w:val="2"/>
          <w:w w:val="104"/>
          <w:sz w:val="24"/>
          <w:szCs w:val="24"/>
        </w:rPr>
        <w:t>m</w:t>
      </w:r>
      <w:r w:rsidRPr="00BB231B">
        <w:rPr>
          <w:rFonts w:ascii="Times New Roman" w:eastAsia="Gill Sans MT" w:hAnsi="Times New Roman" w:cs="Times New Roman"/>
          <w:color w:val="auto"/>
          <w:w w:val="104"/>
          <w:sz w:val="24"/>
          <w:szCs w:val="24"/>
        </w:rPr>
        <w:t>i</w:t>
      </w:r>
      <w:r w:rsidRPr="00BB231B">
        <w:rPr>
          <w:rFonts w:ascii="Times New Roman" w:eastAsia="Gill Sans MT" w:hAnsi="Times New Roman" w:cs="Times New Roman"/>
          <w:color w:val="auto"/>
          <w:spacing w:val="1"/>
          <w:w w:val="104"/>
          <w:sz w:val="24"/>
          <w:szCs w:val="24"/>
        </w:rPr>
        <w:t>n</w:t>
      </w:r>
      <w:r w:rsidRPr="00BB231B">
        <w:rPr>
          <w:rFonts w:ascii="Times New Roman" w:eastAsia="Gill Sans MT" w:hAnsi="Times New Roman" w:cs="Times New Roman"/>
          <w:color w:val="auto"/>
          <w:w w:val="104"/>
          <w:sz w:val="24"/>
          <w:szCs w:val="24"/>
        </w:rPr>
        <w:t>i</w:t>
      </w:r>
      <w:r w:rsidRPr="00BB231B">
        <w:rPr>
          <w:rFonts w:ascii="Times New Roman" w:eastAsia="Gill Sans MT" w:hAnsi="Times New Roman" w:cs="Times New Roman"/>
          <w:color w:val="auto"/>
          <w:spacing w:val="1"/>
          <w:w w:val="104"/>
          <w:sz w:val="24"/>
          <w:szCs w:val="24"/>
        </w:rPr>
        <w:t>cano.</w:t>
      </w:r>
    </w:p>
    <w:p w:rsidR="00EC305A" w:rsidRPr="00BB231B" w:rsidRDefault="00EC305A"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eastAsia="Gill Sans MT" w:hAnsi="Times New Roman" w:cs="Times New Roman"/>
          <w:color w:val="auto"/>
          <w:spacing w:val="2"/>
          <w:sz w:val="24"/>
          <w:szCs w:val="24"/>
          <w:lang w:val="es-DO"/>
        </w:rPr>
        <w:lastRenderedPageBreak/>
        <w:t>CG</w:t>
      </w:r>
      <w:r w:rsidRPr="00BB231B">
        <w:rPr>
          <w:rFonts w:ascii="Times New Roman" w:eastAsia="Gill Sans MT" w:hAnsi="Times New Roman" w:cs="Times New Roman"/>
          <w:color w:val="auto"/>
          <w:sz w:val="24"/>
          <w:szCs w:val="24"/>
          <w:lang w:val="es-DO"/>
        </w:rPr>
        <w:t>R</w:t>
      </w:r>
      <w:r w:rsidRPr="00BB231B">
        <w:rPr>
          <w:rFonts w:ascii="Times New Roman" w:eastAsia="Gill Sans MT" w:hAnsi="Times New Roman" w:cs="Times New Roman"/>
          <w:color w:val="auto"/>
          <w:spacing w:val="18"/>
          <w:sz w:val="24"/>
          <w:szCs w:val="24"/>
          <w:lang w:val="es-DO"/>
        </w:rPr>
        <w:t xml:space="preserve"> </w:t>
      </w:r>
      <w:r w:rsidRPr="00BB231B">
        <w:rPr>
          <w:rFonts w:ascii="Times New Roman" w:eastAsia="Gill Sans MT" w:hAnsi="Times New Roman" w:cs="Times New Roman"/>
          <w:color w:val="auto"/>
          <w:spacing w:val="1"/>
          <w:sz w:val="24"/>
          <w:szCs w:val="24"/>
          <w:lang w:val="es-DO"/>
        </w:rPr>
        <w:t>certificad</w:t>
      </w:r>
      <w:r w:rsidRPr="00BB231B">
        <w:rPr>
          <w:rFonts w:ascii="Times New Roman" w:eastAsia="Gill Sans MT" w:hAnsi="Times New Roman" w:cs="Times New Roman"/>
          <w:color w:val="auto"/>
          <w:sz w:val="24"/>
          <w:szCs w:val="24"/>
          <w:lang w:val="es-DO"/>
        </w:rPr>
        <w:t>a</w:t>
      </w:r>
      <w:r w:rsidRPr="00BB231B">
        <w:rPr>
          <w:rFonts w:ascii="Times New Roman" w:eastAsia="Gill Sans MT" w:hAnsi="Times New Roman" w:cs="Times New Roman"/>
          <w:color w:val="auto"/>
          <w:spacing w:val="32"/>
          <w:sz w:val="24"/>
          <w:szCs w:val="24"/>
          <w:lang w:val="es-DO"/>
        </w:rPr>
        <w:t xml:space="preserve"> </w:t>
      </w:r>
      <w:r w:rsidRPr="00BB231B">
        <w:rPr>
          <w:rFonts w:ascii="Times New Roman" w:eastAsia="Gill Sans MT" w:hAnsi="Times New Roman" w:cs="Times New Roman"/>
          <w:color w:val="auto"/>
          <w:spacing w:val="1"/>
          <w:w w:val="104"/>
          <w:sz w:val="24"/>
          <w:szCs w:val="24"/>
          <w:lang w:val="es-DO"/>
        </w:rPr>
        <w:t>e</w:t>
      </w:r>
      <w:r w:rsidRPr="00BB231B">
        <w:rPr>
          <w:rFonts w:ascii="Times New Roman" w:eastAsia="Gill Sans MT" w:hAnsi="Times New Roman" w:cs="Times New Roman"/>
          <w:color w:val="auto"/>
          <w:w w:val="104"/>
          <w:sz w:val="24"/>
          <w:szCs w:val="24"/>
          <w:lang w:val="es-DO"/>
        </w:rPr>
        <w:t xml:space="preserve">n </w:t>
      </w:r>
      <w:r w:rsidRPr="00BB231B">
        <w:rPr>
          <w:rFonts w:ascii="Times New Roman" w:eastAsia="Gill Sans MT" w:hAnsi="Times New Roman" w:cs="Times New Roman"/>
          <w:color w:val="auto"/>
          <w:spacing w:val="1"/>
          <w:w w:val="104"/>
          <w:sz w:val="24"/>
          <w:szCs w:val="24"/>
          <w:lang w:val="es-DO"/>
        </w:rPr>
        <w:t>l</w:t>
      </w:r>
      <w:r w:rsidRPr="00BB231B">
        <w:rPr>
          <w:rFonts w:ascii="Times New Roman" w:eastAsia="Gill Sans MT" w:hAnsi="Times New Roman" w:cs="Times New Roman"/>
          <w:color w:val="auto"/>
          <w:w w:val="104"/>
          <w:sz w:val="24"/>
          <w:szCs w:val="24"/>
          <w:lang w:val="es-DO"/>
        </w:rPr>
        <w:t>a</w:t>
      </w:r>
      <w:r w:rsidRPr="00BB231B">
        <w:rPr>
          <w:rFonts w:ascii="Times New Roman" w:eastAsia="Gill Sans MT" w:hAnsi="Times New Roman" w:cs="Times New Roman"/>
          <w:color w:val="auto"/>
          <w:spacing w:val="4"/>
          <w:sz w:val="24"/>
          <w:szCs w:val="24"/>
          <w:lang w:val="es-DO"/>
        </w:rPr>
        <w:t xml:space="preserve"> </w:t>
      </w:r>
      <w:r w:rsidRPr="00BB231B">
        <w:rPr>
          <w:rFonts w:ascii="Times New Roman" w:eastAsia="Gill Sans MT" w:hAnsi="Times New Roman" w:cs="Times New Roman"/>
          <w:color w:val="auto"/>
          <w:spacing w:val="1"/>
          <w:sz w:val="24"/>
          <w:szCs w:val="24"/>
          <w:lang w:val="es-DO"/>
        </w:rPr>
        <w:t>nor</w:t>
      </w:r>
      <w:r w:rsidRPr="00BB231B">
        <w:rPr>
          <w:rFonts w:ascii="Times New Roman" w:eastAsia="Gill Sans MT" w:hAnsi="Times New Roman" w:cs="Times New Roman"/>
          <w:color w:val="auto"/>
          <w:spacing w:val="2"/>
          <w:sz w:val="24"/>
          <w:szCs w:val="24"/>
          <w:lang w:val="es-DO"/>
        </w:rPr>
        <w:t>m</w:t>
      </w:r>
      <w:r w:rsidRPr="00BB231B">
        <w:rPr>
          <w:rFonts w:ascii="Times New Roman" w:eastAsia="Gill Sans MT" w:hAnsi="Times New Roman" w:cs="Times New Roman"/>
          <w:color w:val="auto"/>
          <w:sz w:val="24"/>
          <w:szCs w:val="24"/>
          <w:lang w:val="es-DO"/>
        </w:rPr>
        <w:t>a</w:t>
      </w:r>
      <w:r w:rsidRPr="00BB231B">
        <w:rPr>
          <w:rFonts w:ascii="Times New Roman" w:eastAsia="Gill Sans MT" w:hAnsi="Times New Roman" w:cs="Times New Roman"/>
          <w:color w:val="auto"/>
          <w:spacing w:val="22"/>
          <w:sz w:val="24"/>
          <w:szCs w:val="24"/>
          <w:lang w:val="es-DO"/>
        </w:rPr>
        <w:t xml:space="preserve"> </w:t>
      </w:r>
      <w:r w:rsidRPr="00BB231B">
        <w:rPr>
          <w:rFonts w:ascii="Times New Roman" w:eastAsia="Gill Sans MT" w:hAnsi="Times New Roman" w:cs="Times New Roman"/>
          <w:color w:val="auto"/>
          <w:spacing w:val="2"/>
          <w:w w:val="104"/>
          <w:sz w:val="24"/>
          <w:szCs w:val="24"/>
          <w:lang w:val="es-DO"/>
        </w:rPr>
        <w:t>NO</w:t>
      </w:r>
      <w:r w:rsidRPr="00BB231B">
        <w:rPr>
          <w:rFonts w:ascii="Times New Roman" w:eastAsia="Gill Sans MT" w:hAnsi="Times New Roman" w:cs="Times New Roman"/>
          <w:color w:val="auto"/>
          <w:spacing w:val="1"/>
          <w:w w:val="104"/>
          <w:sz w:val="24"/>
          <w:szCs w:val="24"/>
          <w:lang w:val="es-DO"/>
        </w:rPr>
        <w:t xml:space="preserve">RTIC </w:t>
      </w:r>
      <w:r w:rsidRPr="00BB231B">
        <w:rPr>
          <w:rFonts w:ascii="Times New Roman" w:eastAsia="Gill Sans MT" w:hAnsi="Times New Roman" w:cs="Times New Roman"/>
          <w:color w:val="auto"/>
          <w:spacing w:val="1"/>
          <w:sz w:val="24"/>
          <w:szCs w:val="24"/>
          <w:lang w:val="es-DO"/>
        </w:rPr>
        <w:t>B1</w:t>
      </w:r>
      <w:r w:rsidRPr="00BB231B">
        <w:rPr>
          <w:rFonts w:ascii="Times New Roman" w:eastAsia="Gill Sans MT" w:hAnsi="Times New Roman" w:cs="Times New Roman"/>
          <w:color w:val="auto"/>
          <w:sz w:val="24"/>
          <w:szCs w:val="24"/>
          <w:lang w:val="es-DO"/>
        </w:rPr>
        <w:t>–</w:t>
      </w:r>
      <w:r w:rsidRPr="00BB231B">
        <w:rPr>
          <w:rFonts w:ascii="Times New Roman" w:eastAsia="Gill Sans MT" w:hAnsi="Times New Roman" w:cs="Times New Roman"/>
          <w:color w:val="auto"/>
          <w:spacing w:val="15"/>
          <w:sz w:val="24"/>
          <w:szCs w:val="24"/>
          <w:lang w:val="es-DO"/>
        </w:rPr>
        <w:t xml:space="preserve"> </w:t>
      </w:r>
      <w:r w:rsidRPr="00BB231B">
        <w:rPr>
          <w:rFonts w:ascii="Times New Roman" w:eastAsia="Gill Sans MT" w:hAnsi="Times New Roman" w:cs="Times New Roman"/>
          <w:color w:val="auto"/>
          <w:spacing w:val="1"/>
          <w:sz w:val="24"/>
          <w:szCs w:val="24"/>
          <w:lang w:val="es-DO"/>
        </w:rPr>
        <w:t>Estándare</w:t>
      </w:r>
      <w:r w:rsidRPr="00BB231B">
        <w:rPr>
          <w:rFonts w:ascii="Times New Roman" w:eastAsia="Gill Sans MT" w:hAnsi="Times New Roman" w:cs="Times New Roman"/>
          <w:color w:val="auto"/>
          <w:sz w:val="24"/>
          <w:szCs w:val="24"/>
          <w:lang w:val="es-DO"/>
        </w:rPr>
        <w:t>s</w:t>
      </w:r>
      <w:r w:rsidRPr="00BB231B">
        <w:rPr>
          <w:rFonts w:ascii="Times New Roman" w:eastAsia="Gill Sans MT" w:hAnsi="Times New Roman" w:cs="Times New Roman"/>
          <w:color w:val="auto"/>
          <w:spacing w:val="33"/>
          <w:sz w:val="24"/>
          <w:szCs w:val="24"/>
          <w:lang w:val="es-DO"/>
        </w:rPr>
        <w:t xml:space="preserve"> </w:t>
      </w:r>
      <w:r w:rsidRPr="00BB231B">
        <w:rPr>
          <w:rFonts w:ascii="Times New Roman" w:eastAsia="Gill Sans MT" w:hAnsi="Times New Roman" w:cs="Times New Roman"/>
          <w:color w:val="auto"/>
          <w:spacing w:val="1"/>
          <w:w w:val="104"/>
          <w:sz w:val="24"/>
          <w:szCs w:val="24"/>
          <w:lang w:val="es-DO"/>
        </w:rPr>
        <w:t>par</w:t>
      </w:r>
      <w:r w:rsidRPr="00BB231B">
        <w:rPr>
          <w:rFonts w:ascii="Times New Roman" w:eastAsia="Gill Sans MT" w:hAnsi="Times New Roman" w:cs="Times New Roman"/>
          <w:color w:val="auto"/>
          <w:w w:val="104"/>
          <w:sz w:val="24"/>
          <w:szCs w:val="24"/>
          <w:lang w:val="es-DO"/>
        </w:rPr>
        <w:t xml:space="preserve">a </w:t>
      </w:r>
      <w:r w:rsidRPr="00BB231B">
        <w:rPr>
          <w:rFonts w:ascii="Times New Roman" w:eastAsia="Gill Sans MT" w:hAnsi="Times New Roman" w:cs="Times New Roman"/>
          <w:color w:val="auto"/>
          <w:spacing w:val="1"/>
          <w:sz w:val="24"/>
          <w:szCs w:val="24"/>
          <w:lang w:val="es-DO"/>
        </w:rPr>
        <w:t>l</w:t>
      </w:r>
      <w:r w:rsidRPr="00BB231B">
        <w:rPr>
          <w:rFonts w:ascii="Times New Roman" w:eastAsia="Gill Sans MT" w:hAnsi="Times New Roman" w:cs="Times New Roman"/>
          <w:color w:val="auto"/>
          <w:sz w:val="24"/>
          <w:szCs w:val="24"/>
          <w:lang w:val="es-DO"/>
        </w:rPr>
        <w:t>a</w:t>
      </w:r>
      <w:r w:rsidRPr="00BB231B">
        <w:rPr>
          <w:rFonts w:ascii="Times New Roman" w:eastAsia="Gill Sans MT" w:hAnsi="Times New Roman" w:cs="Times New Roman"/>
          <w:color w:val="auto"/>
          <w:spacing w:val="8"/>
          <w:sz w:val="24"/>
          <w:szCs w:val="24"/>
          <w:lang w:val="es-DO"/>
        </w:rPr>
        <w:t xml:space="preserve"> </w:t>
      </w:r>
      <w:r w:rsidR="006463AD" w:rsidRPr="00BB231B">
        <w:rPr>
          <w:rFonts w:ascii="Times New Roman" w:eastAsia="Gill Sans MT" w:hAnsi="Times New Roman" w:cs="Times New Roman"/>
          <w:color w:val="auto"/>
          <w:spacing w:val="1"/>
          <w:sz w:val="24"/>
          <w:szCs w:val="24"/>
          <w:lang w:val="es-DO"/>
        </w:rPr>
        <w:t>i</w:t>
      </w:r>
      <w:r w:rsidR="006463AD" w:rsidRPr="00BB231B">
        <w:rPr>
          <w:rFonts w:ascii="Times New Roman" w:eastAsia="Gill Sans MT" w:hAnsi="Times New Roman" w:cs="Times New Roman"/>
          <w:color w:val="auto"/>
          <w:spacing w:val="2"/>
          <w:sz w:val="24"/>
          <w:szCs w:val="24"/>
          <w:lang w:val="es-DO"/>
        </w:rPr>
        <w:t>m</w:t>
      </w:r>
      <w:r w:rsidR="006463AD" w:rsidRPr="00BB231B">
        <w:rPr>
          <w:rFonts w:ascii="Times New Roman" w:eastAsia="Gill Sans MT" w:hAnsi="Times New Roman" w:cs="Times New Roman"/>
          <w:color w:val="auto"/>
          <w:spacing w:val="1"/>
          <w:sz w:val="24"/>
          <w:szCs w:val="24"/>
          <w:lang w:val="es-DO"/>
        </w:rPr>
        <w:t>ple</w:t>
      </w:r>
      <w:r w:rsidR="006463AD" w:rsidRPr="00BB231B">
        <w:rPr>
          <w:rFonts w:ascii="Times New Roman" w:eastAsia="Gill Sans MT" w:hAnsi="Times New Roman" w:cs="Times New Roman"/>
          <w:color w:val="auto"/>
          <w:spacing w:val="2"/>
          <w:sz w:val="24"/>
          <w:szCs w:val="24"/>
          <w:lang w:val="es-DO"/>
        </w:rPr>
        <w:t>m</w:t>
      </w:r>
      <w:r w:rsidR="006463AD" w:rsidRPr="00BB231B">
        <w:rPr>
          <w:rFonts w:ascii="Times New Roman" w:eastAsia="Gill Sans MT" w:hAnsi="Times New Roman" w:cs="Times New Roman"/>
          <w:color w:val="auto"/>
          <w:spacing w:val="1"/>
          <w:sz w:val="24"/>
          <w:szCs w:val="24"/>
          <w:lang w:val="es-DO"/>
        </w:rPr>
        <w:t>entació</w:t>
      </w:r>
      <w:r w:rsidR="006463AD" w:rsidRPr="00BB231B">
        <w:rPr>
          <w:rFonts w:ascii="Times New Roman" w:eastAsia="Gill Sans MT" w:hAnsi="Times New Roman" w:cs="Times New Roman"/>
          <w:color w:val="auto"/>
          <w:sz w:val="24"/>
          <w:szCs w:val="24"/>
          <w:lang w:val="es-DO"/>
        </w:rPr>
        <w:t>n y</w:t>
      </w:r>
      <w:r w:rsidRPr="00BB231B">
        <w:rPr>
          <w:rFonts w:ascii="Times New Roman" w:eastAsia="Gill Sans MT" w:hAnsi="Times New Roman" w:cs="Times New Roman"/>
          <w:color w:val="auto"/>
          <w:w w:val="104"/>
          <w:sz w:val="24"/>
          <w:szCs w:val="24"/>
          <w:lang w:val="es-DO"/>
        </w:rPr>
        <w:t xml:space="preserve"> </w:t>
      </w:r>
      <w:r w:rsidRPr="00BB231B">
        <w:rPr>
          <w:rFonts w:ascii="Times New Roman" w:eastAsia="Gill Sans MT" w:hAnsi="Times New Roman" w:cs="Times New Roman"/>
          <w:color w:val="auto"/>
          <w:spacing w:val="1"/>
          <w:sz w:val="24"/>
          <w:szCs w:val="24"/>
          <w:lang w:val="es-DO"/>
        </w:rPr>
        <w:t>gestió</w:t>
      </w:r>
      <w:r w:rsidRPr="00BB231B">
        <w:rPr>
          <w:rFonts w:ascii="Times New Roman" w:eastAsia="Gill Sans MT" w:hAnsi="Times New Roman" w:cs="Times New Roman"/>
          <w:color w:val="auto"/>
          <w:sz w:val="24"/>
          <w:szCs w:val="24"/>
          <w:lang w:val="es-DO"/>
        </w:rPr>
        <w:t>n</w:t>
      </w:r>
      <w:r w:rsidRPr="00BB231B">
        <w:rPr>
          <w:rFonts w:ascii="Times New Roman" w:eastAsia="Gill Sans MT" w:hAnsi="Times New Roman" w:cs="Times New Roman"/>
          <w:color w:val="auto"/>
          <w:spacing w:val="24"/>
          <w:sz w:val="24"/>
          <w:szCs w:val="24"/>
          <w:lang w:val="es-DO"/>
        </w:rPr>
        <w:t xml:space="preserve"> </w:t>
      </w:r>
      <w:r w:rsidRPr="00BB231B">
        <w:rPr>
          <w:rFonts w:ascii="Times New Roman" w:eastAsia="Gill Sans MT" w:hAnsi="Times New Roman" w:cs="Times New Roman"/>
          <w:color w:val="auto"/>
          <w:spacing w:val="1"/>
          <w:sz w:val="24"/>
          <w:szCs w:val="24"/>
          <w:lang w:val="es-DO"/>
        </w:rPr>
        <w:t>d</w:t>
      </w:r>
      <w:r w:rsidRPr="00BB231B">
        <w:rPr>
          <w:rFonts w:ascii="Times New Roman" w:eastAsia="Gill Sans MT" w:hAnsi="Times New Roman" w:cs="Times New Roman"/>
          <w:color w:val="auto"/>
          <w:sz w:val="24"/>
          <w:szCs w:val="24"/>
          <w:lang w:val="es-DO"/>
        </w:rPr>
        <w:t>e</w:t>
      </w:r>
      <w:r w:rsidRPr="00BB231B">
        <w:rPr>
          <w:rFonts w:ascii="Times New Roman" w:eastAsia="Gill Sans MT" w:hAnsi="Times New Roman" w:cs="Times New Roman"/>
          <w:color w:val="auto"/>
          <w:spacing w:val="11"/>
          <w:sz w:val="24"/>
          <w:szCs w:val="24"/>
          <w:lang w:val="es-DO"/>
        </w:rPr>
        <w:t xml:space="preserve"> </w:t>
      </w:r>
      <w:r w:rsidRPr="00BB231B">
        <w:rPr>
          <w:rFonts w:ascii="Times New Roman" w:eastAsia="Gill Sans MT" w:hAnsi="Times New Roman" w:cs="Times New Roman"/>
          <w:color w:val="auto"/>
          <w:spacing w:val="1"/>
          <w:w w:val="104"/>
          <w:sz w:val="24"/>
          <w:szCs w:val="24"/>
          <w:lang w:val="es-DO"/>
        </w:rPr>
        <w:t>l</w:t>
      </w:r>
      <w:r w:rsidRPr="00BB231B">
        <w:rPr>
          <w:rFonts w:ascii="Times New Roman" w:eastAsia="Gill Sans MT" w:hAnsi="Times New Roman" w:cs="Times New Roman"/>
          <w:color w:val="auto"/>
          <w:w w:val="104"/>
          <w:sz w:val="24"/>
          <w:szCs w:val="24"/>
          <w:lang w:val="es-DO"/>
        </w:rPr>
        <w:t xml:space="preserve">a </w:t>
      </w:r>
      <w:r w:rsidRPr="00BB231B">
        <w:rPr>
          <w:rFonts w:ascii="Times New Roman" w:eastAsia="Gill Sans MT" w:hAnsi="Times New Roman" w:cs="Times New Roman"/>
          <w:color w:val="auto"/>
          <w:spacing w:val="1"/>
          <w:sz w:val="24"/>
          <w:szCs w:val="24"/>
          <w:lang w:val="es-DO"/>
        </w:rPr>
        <w:t>conect</w:t>
      </w:r>
      <w:r w:rsidRPr="00BB231B">
        <w:rPr>
          <w:rFonts w:ascii="Times New Roman" w:eastAsia="Gill Sans MT" w:hAnsi="Times New Roman" w:cs="Times New Roman"/>
          <w:color w:val="auto"/>
          <w:sz w:val="24"/>
          <w:szCs w:val="24"/>
          <w:lang w:val="es-DO"/>
        </w:rPr>
        <w:t>i</w:t>
      </w:r>
      <w:r w:rsidRPr="00BB231B">
        <w:rPr>
          <w:rFonts w:ascii="Times New Roman" w:eastAsia="Gill Sans MT" w:hAnsi="Times New Roman" w:cs="Times New Roman"/>
          <w:color w:val="auto"/>
          <w:spacing w:val="1"/>
          <w:sz w:val="24"/>
          <w:szCs w:val="24"/>
          <w:lang w:val="es-DO"/>
        </w:rPr>
        <w:t>v</w:t>
      </w:r>
      <w:r w:rsidRPr="00BB231B">
        <w:rPr>
          <w:rFonts w:ascii="Times New Roman" w:eastAsia="Gill Sans MT" w:hAnsi="Times New Roman" w:cs="Times New Roman"/>
          <w:color w:val="auto"/>
          <w:sz w:val="24"/>
          <w:szCs w:val="24"/>
          <w:lang w:val="es-DO"/>
        </w:rPr>
        <w:t>i</w:t>
      </w:r>
      <w:r w:rsidRPr="00BB231B">
        <w:rPr>
          <w:rFonts w:ascii="Times New Roman" w:eastAsia="Gill Sans MT" w:hAnsi="Times New Roman" w:cs="Times New Roman"/>
          <w:color w:val="auto"/>
          <w:spacing w:val="1"/>
          <w:sz w:val="24"/>
          <w:szCs w:val="24"/>
          <w:lang w:val="es-DO"/>
        </w:rPr>
        <w:t>da</w:t>
      </w:r>
      <w:r w:rsidRPr="00BB231B">
        <w:rPr>
          <w:rFonts w:ascii="Times New Roman" w:eastAsia="Gill Sans MT" w:hAnsi="Times New Roman" w:cs="Times New Roman"/>
          <w:color w:val="auto"/>
          <w:sz w:val="24"/>
          <w:szCs w:val="24"/>
          <w:lang w:val="es-DO"/>
        </w:rPr>
        <w:t>d</w:t>
      </w:r>
      <w:r w:rsidRPr="00BB231B">
        <w:rPr>
          <w:rFonts w:ascii="Times New Roman" w:eastAsia="Gill Sans MT" w:hAnsi="Times New Roman" w:cs="Times New Roman"/>
          <w:color w:val="auto"/>
          <w:spacing w:val="38"/>
          <w:sz w:val="24"/>
          <w:szCs w:val="24"/>
          <w:lang w:val="es-DO"/>
        </w:rPr>
        <w:t xml:space="preserve"> </w:t>
      </w:r>
      <w:r w:rsidRPr="00BB231B">
        <w:rPr>
          <w:rFonts w:ascii="Times New Roman" w:eastAsia="Gill Sans MT" w:hAnsi="Times New Roman" w:cs="Times New Roman"/>
          <w:color w:val="auto"/>
          <w:spacing w:val="1"/>
          <w:sz w:val="24"/>
          <w:szCs w:val="24"/>
          <w:lang w:val="es-DO"/>
        </w:rPr>
        <w:t>e</w:t>
      </w:r>
      <w:r w:rsidRPr="00BB231B">
        <w:rPr>
          <w:rFonts w:ascii="Times New Roman" w:eastAsia="Gill Sans MT" w:hAnsi="Times New Roman" w:cs="Times New Roman"/>
          <w:color w:val="auto"/>
          <w:sz w:val="24"/>
          <w:szCs w:val="24"/>
          <w:lang w:val="es-DO"/>
        </w:rPr>
        <w:t>n</w:t>
      </w:r>
      <w:r w:rsidRPr="00BB231B">
        <w:rPr>
          <w:rFonts w:ascii="Times New Roman" w:eastAsia="Gill Sans MT" w:hAnsi="Times New Roman" w:cs="Times New Roman"/>
          <w:color w:val="auto"/>
          <w:spacing w:val="11"/>
          <w:sz w:val="24"/>
          <w:szCs w:val="24"/>
          <w:lang w:val="es-DO"/>
        </w:rPr>
        <w:t xml:space="preserve"> </w:t>
      </w:r>
      <w:r w:rsidRPr="00BB231B">
        <w:rPr>
          <w:rFonts w:ascii="Times New Roman" w:eastAsia="Gill Sans MT" w:hAnsi="Times New Roman" w:cs="Times New Roman"/>
          <w:color w:val="auto"/>
          <w:spacing w:val="1"/>
          <w:w w:val="104"/>
          <w:sz w:val="24"/>
          <w:szCs w:val="24"/>
          <w:lang w:val="es-DO"/>
        </w:rPr>
        <w:t>e</w:t>
      </w:r>
      <w:r w:rsidRPr="00BB231B">
        <w:rPr>
          <w:rFonts w:ascii="Times New Roman" w:eastAsia="Gill Sans MT" w:hAnsi="Times New Roman" w:cs="Times New Roman"/>
          <w:color w:val="auto"/>
          <w:w w:val="104"/>
          <w:sz w:val="24"/>
          <w:szCs w:val="24"/>
          <w:lang w:val="es-DO"/>
        </w:rPr>
        <w:t xml:space="preserve">l </w:t>
      </w:r>
      <w:r w:rsidRPr="00BB231B">
        <w:rPr>
          <w:rFonts w:ascii="Times New Roman" w:eastAsia="Gill Sans MT" w:hAnsi="Times New Roman" w:cs="Times New Roman"/>
          <w:color w:val="auto"/>
          <w:spacing w:val="1"/>
          <w:sz w:val="24"/>
          <w:szCs w:val="24"/>
          <w:lang w:val="es-DO"/>
        </w:rPr>
        <w:t>Estad</w:t>
      </w:r>
      <w:r w:rsidRPr="00BB231B">
        <w:rPr>
          <w:rFonts w:ascii="Times New Roman" w:eastAsia="Gill Sans MT" w:hAnsi="Times New Roman" w:cs="Times New Roman"/>
          <w:color w:val="auto"/>
          <w:sz w:val="24"/>
          <w:szCs w:val="24"/>
          <w:lang w:val="es-DO"/>
        </w:rPr>
        <w:t>o</w:t>
      </w:r>
      <w:r w:rsidRPr="00BB231B">
        <w:rPr>
          <w:rFonts w:ascii="Times New Roman" w:eastAsia="Gill Sans MT" w:hAnsi="Times New Roman" w:cs="Times New Roman"/>
          <w:color w:val="auto"/>
          <w:spacing w:val="22"/>
          <w:sz w:val="24"/>
          <w:szCs w:val="24"/>
          <w:lang w:val="es-DO"/>
        </w:rPr>
        <w:t xml:space="preserve"> </w:t>
      </w:r>
      <w:r w:rsidRPr="00BB231B">
        <w:rPr>
          <w:rFonts w:ascii="Times New Roman" w:eastAsia="Gill Sans MT" w:hAnsi="Times New Roman" w:cs="Times New Roman"/>
          <w:color w:val="auto"/>
          <w:spacing w:val="1"/>
          <w:w w:val="104"/>
          <w:sz w:val="24"/>
          <w:szCs w:val="24"/>
          <w:lang w:val="es-DO"/>
        </w:rPr>
        <w:t>do</w:t>
      </w:r>
      <w:r w:rsidRPr="00BB231B">
        <w:rPr>
          <w:rFonts w:ascii="Times New Roman" w:eastAsia="Gill Sans MT" w:hAnsi="Times New Roman" w:cs="Times New Roman"/>
          <w:color w:val="auto"/>
          <w:spacing w:val="2"/>
          <w:w w:val="104"/>
          <w:sz w:val="24"/>
          <w:szCs w:val="24"/>
          <w:lang w:val="es-DO"/>
        </w:rPr>
        <w:t>m</w:t>
      </w:r>
      <w:r w:rsidRPr="00BB231B">
        <w:rPr>
          <w:rFonts w:ascii="Times New Roman" w:eastAsia="Gill Sans MT" w:hAnsi="Times New Roman" w:cs="Times New Roman"/>
          <w:color w:val="auto"/>
          <w:w w:val="104"/>
          <w:sz w:val="24"/>
          <w:szCs w:val="24"/>
          <w:lang w:val="es-DO"/>
        </w:rPr>
        <w:t>i</w:t>
      </w:r>
      <w:r w:rsidRPr="00BB231B">
        <w:rPr>
          <w:rFonts w:ascii="Times New Roman" w:eastAsia="Gill Sans MT" w:hAnsi="Times New Roman" w:cs="Times New Roman"/>
          <w:color w:val="auto"/>
          <w:spacing w:val="1"/>
          <w:w w:val="104"/>
          <w:sz w:val="24"/>
          <w:szCs w:val="24"/>
          <w:lang w:val="es-DO"/>
        </w:rPr>
        <w:t>n</w:t>
      </w:r>
      <w:r w:rsidRPr="00BB231B">
        <w:rPr>
          <w:rFonts w:ascii="Times New Roman" w:eastAsia="Gill Sans MT" w:hAnsi="Times New Roman" w:cs="Times New Roman"/>
          <w:color w:val="auto"/>
          <w:w w:val="104"/>
          <w:sz w:val="24"/>
          <w:szCs w:val="24"/>
          <w:lang w:val="es-DO"/>
        </w:rPr>
        <w:t>i</w:t>
      </w:r>
      <w:r w:rsidRPr="00BB231B">
        <w:rPr>
          <w:rFonts w:ascii="Times New Roman" w:eastAsia="Gill Sans MT" w:hAnsi="Times New Roman" w:cs="Times New Roman"/>
          <w:color w:val="auto"/>
          <w:spacing w:val="1"/>
          <w:w w:val="104"/>
          <w:sz w:val="24"/>
          <w:szCs w:val="24"/>
          <w:lang w:val="es-DO"/>
        </w:rPr>
        <w:t>cano.</w:t>
      </w:r>
    </w:p>
    <w:p w:rsidR="0087121E" w:rsidRPr="00BB231B" w:rsidRDefault="0087121E" w:rsidP="00906BCF">
      <w:pPr>
        <w:pStyle w:val="Prrafodelista"/>
        <w:numPr>
          <w:ilvl w:val="0"/>
          <w:numId w:val="50"/>
        </w:numPr>
        <w:spacing w:before="0" w:after="0" w:line="480" w:lineRule="auto"/>
        <w:ind w:left="1077" w:hanging="357"/>
        <w:rPr>
          <w:rFonts w:ascii="Times New Roman" w:hAnsi="Times New Roman" w:cs="Times New Roman"/>
          <w:color w:val="auto"/>
          <w:sz w:val="24"/>
          <w:szCs w:val="24"/>
        </w:rPr>
      </w:pPr>
      <w:r w:rsidRPr="00BB231B">
        <w:rPr>
          <w:rFonts w:ascii="Times New Roman" w:hAnsi="Times New Roman" w:cs="Times New Roman"/>
          <w:color w:val="auto"/>
          <w:sz w:val="24"/>
          <w:szCs w:val="24"/>
        </w:rPr>
        <w:t xml:space="preserve">Equipamiento tecnológico y didáctico de la </w:t>
      </w:r>
      <w:r w:rsidR="0036766D" w:rsidRPr="00BB231B">
        <w:rPr>
          <w:rFonts w:ascii="Times New Roman" w:hAnsi="Times New Roman" w:cs="Times New Roman"/>
          <w:color w:val="auto"/>
          <w:sz w:val="24"/>
          <w:szCs w:val="24"/>
        </w:rPr>
        <w:t>Escuela Nacional de Control (ENC)</w:t>
      </w:r>
      <w:r w:rsidRPr="00BB231B">
        <w:rPr>
          <w:rFonts w:ascii="Times New Roman" w:hAnsi="Times New Roman" w:cs="Times New Roman"/>
          <w:color w:val="auto"/>
          <w:sz w:val="24"/>
          <w:szCs w:val="24"/>
        </w:rPr>
        <w:t xml:space="preserve"> con base en resultados el diagnóstico.</w:t>
      </w:r>
    </w:p>
    <w:p w:rsidR="0059757A" w:rsidRPr="00BB231B" w:rsidRDefault="0059757A" w:rsidP="000F216C">
      <w:pPr>
        <w:pStyle w:val="Prrafodelista"/>
        <w:numPr>
          <w:ilvl w:val="0"/>
          <w:numId w:val="50"/>
        </w:numPr>
        <w:spacing w:before="0" w:after="0" w:line="480" w:lineRule="auto"/>
        <w:ind w:left="1077" w:right="646" w:hanging="357"/>
        <w:rPr>
          <w:rFonts w:ascii="Times New Roman" w:eastAsia="Arial Unicode MS" w:hAnsi="Times New Roman" w:cs="Times New Roman"/>
          <w:color w:val="auto"/>
          <w:sz w:val="24"/>
          <w:szCs w:val="24"/>
        </w:rPr>
      </w:pPr>
      <w:r w:rsidRPr="00BB231B">
        <w:rPr>
          <w:rFonts w:ascii="Times New Roman" w:eastAsia="Arial Unicode MS" w:hAnsi="Times New Roman" w:cs="Times New Roman"/>
          <w:color w:val="auto"/>
          <w:sz w:val="24"/>
          <w:szCs w:val="24"/>
        </w:rPr>
        <w:t>Programas docentes de maestrías y diplomados, que serán impartidos en coordinación con el Instituto de Auditores Internos y la Facultad de Ciencias Económicas y Sociales de la UASD.  El objetivo de estas capacitaciones es actualizar, especializar y certificar a los Auditores y profesionales de</w:t>
      </w:r>
      <w:r w:rsidR="00C05C85" w:rsidRPr="00BB231B">
        <w:rPr>
          <w:rFonts w:ascii="Times New Roman" w:eastAsia="Arial Unicode MS" w:hAnsi="Times New Roman" w:cs="Times New Roman"/>
          <w:color w:val="auto"/>
          <w:sz w:val="24"/>
          <w:szCs w:val="24"/>
        </w:rPr>
        <w:t>l área de Contabilidad, Auditorí</w:t>
      </w:r>
      <w:r w:rsidRPr="00BB231B">
        <w:rPr>
          <w:rFonts w:ascii="Times New Roman" w:eastAsia="Arial Unicode MS" w:hAnsi="Times New Roman" w:cs="Times New Roman"/>
          <w:color w:val="auto"/>
          <w:sz w:val="24"/>
          <w:szCs w:val="24"/>
        </w:rPr>
        <w:t>a, administración y financiera del Sector Públic</w:t>
      </w:r>
      <w:r w:rsidR="00C05C85" w:rsidRPr="00BB231B">
        <w:rPr>
          <w:rFonts w:ascii="Times New Roman" w:eastAsia="Arial Unicode MS" w:hAnsi="Times New Roman" w:cs="Times New Roman"/>
          <w:color w:val="auto"/>
          <w:sz w:val="24"/>
          <w:szCs w:val="24"/>
        </w:rPr>
        <w:t>o con especialidades en auditorí</w:t>
      </w:r>
      <w:r w:rsidRPr="00BB231B">
        <w:rPr>
          <w:rFonts w:ascii="Times New Roman" w:eastAsia="Arial Unicode MS" w:hAnsi="Times New Roman" w:cs="Times New Roman"/>
          <w:color w:val="auto"/>
          <w:sz w:val="24"/>
          <w:szCs w:val="24"/>
        </w:rPr>
        <w:t>a interna, contaduría pública, Gestión Moderna, en Tecnología, tales como manejo de redes sociales en data y ambiente de TI, Sistema de diagnóstico de las Normas Básicas de Control Interno (NOBACI) en el marco del Sistema Nacional de Control Interno.</w:t>
      </w:r>
    </w:p>
    <w:p w:rsidR="0087121E" w:rsidRPr="00BB231B" w:rsidRDefault="0087121E"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F91AB8" w:rsidRPr="00BB231B" w:rsidRDefault="00F91AB8" w:rsidP="0087121E">
      <w:pPr>
        <w:pStyle w:val="Prrafodelista"/>
        <w:ind w:left="1080" w:firstLine="0"/>
        <w:rPr>
          <w:rFonts w:ascii="Times New Roman" w:hAnsi="Times New Roman" w:cs="Times New Roman"/>
          <w:color w:val="auto"/>
        </w:rPr>
      </w:pPr>
    </w:p>
    <w:p w:rsidR="005E681B" w:rsidRDefault="005E681B" w:rsidP="005E681B">
      <w:pPr>
        <w:pStyle w:val="Prrafodelista"/>
        <w:spacing w:beforeLines="40" w:before="96" w:afterLines="40" w:after="96" w:line="480" w:lineRule="auto"/>
        <w:ind w:left="720" w:firstLine="0"/>
        <w:outlineLvl w:val="0"/>
        <w:rPr>
          <w:rFonts w:ascii="Times New Roman" w:hAnsi="Times New Roman" w:cs="Times New Roman"/>
          <w:b/>
          <w:iCs/>
          <w:color w:val="auto"/>
          <w:sz w:val="24"/>
          <w:szCs w:val="24"/>
        </w:rPr>
      </w:pPr>
      <w:bookmarkStart w:id="72" w:name="_Toc500858026"/>
      <w:bookmarkStart w:id="73" w:name="_Toc500858176"/>
      <w:bookmarkStart w:id="74" w:name="_Toc500918602"/>
    </w:p>
    <w:p w:rsidR="00CF43E6" w:rsidRPr="00BB231B" w:rsidRDefault="00CF43E6" w:rsidP="00E21EA2">
      <w:pPr>
        <w:pStyle w:val="Prrafodelista"/>
        <w:numPr>
          <w:ilvl w:val="0"/>
          <w:numId w:val="23"/>
        </w:numPr>
        <w:spacing w:beforeLines="40" w:before="96" w:afterLines="40" w:after="96" w:line="480" w:lineRule="auto"/>
        <w:outlineLvl w:val="0"/>
        <w:rPr>
          <w:rFonts w:ascii="Times New Roman" w:hAnsi="Times New Roman" w:cs="Times New Roman"/>
          <w:b/>
          <w:iCs/>
          <w:color w:val="auto"/>
          <w:sz w:val="24"/>
          <w:szCs w:val="24"/>
        </w:rPr>
      </w:pPr>
      <w:r w:rsidRPr="00BB231B">
        <w:rPr>
          <w:rFonts w:ascii="Times New Roman" w:hAnsi="Times New Roman" w:cs="Times New Roman"/>
          <w:b/>
          <w:iCs/>
          <w:color w:val="auto"/>
          <w:sz w:val="24"/>
          <w:szCs w:val="24"/>
        </w:rPr>
        <w:t>ANEXOS</w:t>
      </w:r>
      <w:bookmarkEnd w:id="72"/>
      <w:bookmarkEnd w:id="73"/>
      <w:bookmarkEnd w:id="74"/>
    </w:p>
    <w:p w:rsidR="00F91AB8" w:rsidRPr="00BB231B" w:rsidRDefault="00F91AB8" w:rsidP="00F91AB8">
      <w:pPr>
        <w:spacing w:after="0"/>
        <w:rPr>
          <w:rFonts w:ascii="Times New Roman" w:hAnsi="Times New Roman" w:cs="Times New Roman"/>
          <w:b/>
          <w:color w:val="auto"/>
          <w:sz w:val="20"/>
          <w:szCs w:val="20"/>
        </w:rPr>
      </w:pPr>
      <w:r w:rsidRPr="00BB231B">
        <w:rPr>
          <w:rFonts w:ascii="Times New Roman" w:hAnsi="Times New Roman" w:cs="Times New Roman"/>
          <w:b/>
          <w:color w:val="auto"/>
          <w:sz w:val="20"/>
          <w:szCs w:val="20"/>
        </w:rPr>
        <w:t>CERTIFICACIONES DE CONTRATOS: Cantidad y montos registrados por tipo de obras, 2017.</w:t>
      </w:r>
    </w:p>
    <w:tbl>
      <w:tblPr>
        <w:tblW w:w="5000" w:type="pct"/>
        <w:tblLayout w:type="fixed"/>
        <w:tblCellMar>
          <w:left w:w="70" w:type="dxa"/>
          <w:right w:w="70" w:type="dxa"/>
        </w:tblCellMar>
        <w:tblLook w:val="04A0" w:firstRow="1" w:lastRow="0" w:firstColumn="1" w:lastColumn="0" w:noHBand="0" w:noVBand="1"/>
      </w:tblPr>
      <w:tblGrid>
        <w:gridCol w:w="3491"/>
        <w:gridCol w:w="1293"/>
        <w:gridCol w:w="1899"/>
        <w:gridCol w:w="1377"/>
      </w:tblGrid>
      <w:tr w:rsidR="00F91AB8" w:rsidRPr="00BB231B" w:rsidTr="00F91AB8">
        <w:trPr>
          <w:trHeight w:val="300"/>
        </w:trPr>
        <w:tc>
          <w:tcPr>
            <w:tcW w:w="2166" w:type="pct"/>
            <w:vMerge w:val="restart"/>
            <w:tcBorders>
              <w:top w:val="nil"/>
              <w:left w:val="nil"/>
              <w:bottom w:val="nil"/>
              <w:right w:val="nil"/>
            </w:tcBorders>
            <w:shd w:val="clear" w:color="000000" w:fill="086633"/>
            <w:noWrap/>
            <w:vAlign w:val="center"/>
            <w:hideMark/>
          </w:tcPr>
          <w:p w:rsidR="00F91AB8" w:rsidRPr="00BB231B" w:rsidRDefault="00F91AB8" w:rsidP="00F91AB8">
            <w:pPr>
              <w:spacing w:after="0"/>
              <w:jc w:val="center"/>
              <w:rPr>
                <w:rFonts w:ascii="Times New Roman" w:eastAsia="Times New Roman" w:hAnsi="Times New Roman" w:cs="Times New Roman"/>
                <w:b/>
                <w:bCs/>
                <w:color w:val="auto"/>
                <w:lang w:eastAsia="es-DO"/>
              </w:rPr>
            </w:pPr>
            <w:r w:rsidRPr="00BB231B">
              <w:rPr>
                <w:rFonts w:ascii="Times New Roman" w:eastAsia="Times New Roman" w:hAnsi="Times New Roman" w:cs="Times New Roman"/>
                <w:b/>
                <w:bCs/>
                <w:color w:val="auto"/>
                <w:lang w:eastAsia="es-DO"/>
              </w:rPr>
              <w:t>Tipo de obras</w:t>
            </w:r>
          </w:p>
        </w:tc>
        <w:tc>
          <w:tcPr>
            <w:tcW w:w="802" w:type="pct"/>
            <w:vMerge w:val="restar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auto"/>
                <w:lang w:eastAsia="es-DO"/>
              </w:rPr>
            </w:pPr>
            <w:r w:rsidRPr="00BB231B">
              <w:rPr>
                <w:rFonts w:ascii="Times New Roman" w:eastAsia="Times New Roman" w:hAnsi="Times New Roman" w:cs="Times New Roman"/>
                <w:b/>
                <w:bCs/>
                <w:color w:val="auto"/>
                <w:lang w:eastAsia="es-DO"/>
              </w:rPr>
              <w:t>Cantidad de contratos</w:t>
            </w:r>
          </w:p>
        </w:tc>
        <w:tc>
          <w:tcPr>
            <w:tcW w:w="2032" w:type="pct"/>
            <w:gridSpan w:val="2"/>
            <w:tcBorders>
              <w:top w:val="nil"/>
              <w:left w:val="nil"/>
              <w:bottom w:val="nil"/>
              <w:right w:val="nil"/>
            </w:tcBorders>
            <w:shd w:val="clear" w:color="000000" w:fill="086633"/>
            <w:noWrap/>
            <w:vAlign w:val="center"/>
            <w:hideMark/>
          </w:tcPr>
          <w:p w:rsidR="00F91AB8" w:rsidRPr="00BB231B" w:rsidRDefault="00F91AB8" w:rsidP="00F91AB8">
            <w:pPr>
              <w:spacing w:after="0"/>
              <w:jc w:val="center"/>
              <w:rPr>
                <w:rFonts w:ascii="Times New Roman" w:eastAsia="Times New Roman" w:hAnsi="Times New Roman" w:cs="Times New Roman"/>
                <w:b/>
                <w:bCs/>
                <w:color w:val="auto"/>
                <w:lang w:eastAsia="es-DO"/>
              </w:rPr>
            </w:pPr>
            <w:r w:rsidRPr="00BB231B">
              <w:rPr>
                <w:rFonts w:ascii="Times New Roman" w:eastAsia="Times New Roman" w:hAnsi="Times New Roman" w:cs="Times New Roman"/>
                <w:b/>
                <w:bCs/>
                <w:color w:val="auto"/>
                <w:lang w:eastAsia="es-DO"/>
              </w:rPr>
              <w:t>Monto/Moneda</w:t>
            </w:r>
          </w:p>
        </w:tc>
      </w:tr>
      <w:tr w:rsidR="00F91AB8" w:rsidRPr="00BB231B" w:rsidTr="00F91AB8">
        <w:trPr>
          <w:trHeight w:val="300"/>
        </w:trPr>
        <w:tc>
          <w:tcPr>
            <w:tcW w:w="2166" w:type="pct"/>
            <w:vMerge/>
            <w:tcBorders>
              <w:top w:val="nil"/>
              <w:left w:val="nil"/>
              <w:bottom w:val="nil"/>
              <w:right w:val="nil"/>
            </w:tcBorders>
            <w:vAlign w:val="center"/>
            <w:hideMark/>
          </w:tcPr>
          <w:p w:rsidR="00F91AB8" w:rsidRPr="00BB231B" w:rsidRDefault="00F91AB8" w:rsidP="00F91AB8">
            <w:pPr>
              <w:spacing w:after="0"/>
              <w:rPr>
                <w:rFonts w:ascii="Times New Roman" w:eastAsia="Times New Roman" w:hAnsi="Times New Roman" w:cs="Times New Roman"/>
                <w:b/>
                <w:bCs/>
                <w:color w:val="FFFFFF"/>
                <w:lang w:eastAsia="es-DO"/>
              </w:rPr>
            </w:pPr>
          </w:p>
        </w:tc>
        <w:tc>
          <w:tcPr>
            <w:tcW w:w="802" w:type="pct"/>
            <w:vMerge/>
            <w:tcBorders>
              <w:top w:val="nil"/>
              <w:left w:val="nil"/>
              <w:bottom w:val="nil"/>
              <w:right w:val="nil"/>
            </w:tcBorders>
            <w:vAlign w:val="center"/>
            <w:hideMark/>
          </w:tcPr>
          <w:p w:rsidR="00F91AB8" w:rsidRPr="00BB231B" w:rsidRDefault="00F91AB8" w:rsidP="00F91AB8">
            <w:pPr>
              <w:spacing w:after="0"/>
              <w:rPr>
                <w:rFonts w:ascii="Times New Roman" w:eastAsia="Times New Roman" w:hAnsi="Times New Roman" w:cs="Times New Roman"/>
                <w:b/>
                <w:bCs/>
                <w:color w:val="FFFFFF"/>
                <w:lang w:eastAsia="es-DO"/>
              </w:rPr>
            </w:pPr>
          </w:p>
        </w:tc>
        <w:tc>
          <w:tcPr>
            <w:tcW w:w="1178" w:type="pct"/>
            <w:tcBorders>
              <w:top w:val="single" w:sz="4" w:space="0" w:color="FFFFFF"/>
              <w:left w:val="nil"/>
              <w:bottom w:val="nil"/>
              <w:right w:val="nil"/>
            </w:tcBorders>
            <w:shd w:val="clear" w:color="000000" w:fill="086633"/>
            <w:noWrap/>
            <w:vAlign w:val="center"/>
            <w:hideMark/>
          </w:tcPr>
          <w:p w:rsidR="00F91AB8" w:rsidRPr="00BB231B" w:rsidRDefault="00F91AB8" w:rsidP="00F91AB8">
            <w:pPr>
              <w:spacing w:after="0"/>
              <w:jc w:val="center"/>
              <w:rPr>
                <w:rFonts w:ascii="Times New Roman" w:eastAsia="Times New Roman" w:hAnsi="Times New Roman" w:cs="Times New Roman"/>
                <w:b/>
                <w:bCs/>
                <w:color w:val="FFFFFF"/>
                <w:lang w:eastAsia="es-DO"/>
              </w:rPr>
            </w:pPr>
            <w:r w:rsidRPr="00BB231B">
              <w:rPr>
                <w:rFonts w:ascii="Times New Roman" w:eastAsia="Times New Roman" w:hAnsi="Times New Roman" w:cs="Times New Roman"/>
                <w:b/>
                <w:bCs/>
                <w:color w:val="FFFFFF"/>
                <w:lang w:eastAsia="es-DO"/>
              </w:rPr>
              <w:t>RD$</w:t>
            </w:r>
          </w:p>
        </w:tc>
        <w:tc>
          <w:tcPr>
            <w:tcW w:w="854" w:type="pct"/>
            <w:tcBorders>
              <w:top w:val="single" w:sz="4" w:space="0" w:color="FFFFFF"/>
              <w:left w:val="nil"/>
              <w:bottom w:val="nil"/>
              <w:right w:val="nil"/>
            </w:tcBorders>
            <w:shd w:val="clear" w:color="000000" w:fill="086633"/>
            <w:noWrap/>
            <w:vAlign w:val="center"/>
            <w:hideMark/>
          </w:tcPr>
          <w:p w:rsidR="00F91AB8" w:rsidRPr="00BB231B" w:rsidRDefault="00F91AB8" w:rsidP="00F91AB8">
            <w:pPr>
              <w:spacing w:after="0"/>
              <w:jc w:val="center"/>
              <w:rPr>
                <w:rFonts w:ascii="Times New Roman" w:eastAsia="Times New Roman" w:hAnsi="Times New Roman" w:cs="Times New Roman"/>
                <w:b/>
                <w:bCs/>
                <w:color w:val="FFFFFF"/>
                <w:lang w:eastAsia="es-DO"/>
              </w:rPr>
            </w:pPr>
            <w:r w:rsidRPr="00BB231B">
              <w:rPr>
                <w:rFonts w:ascii="Times New Roman" w:eastAsia="Times New Roman" w:hAnsi="Times New Roman" w:cs="Times New Roman"/>
                <w:b/>
                <w:bCs/>
                <w:color w:val="FFFFFF"/>
                <w:lang w:eastAsia="es-DO"/>
              </w:rPr>
              <w:t>US$</w:t>
            </w: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Aceras y contenes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109</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7,996,204,107.77</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Acueductos, alcantarillados, y plantas de tratamiento</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182</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10,159,535,292.72</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173,348,147.09</w:t>
            </w: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Afirmado de calles y carreteras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12</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2,970,821,642.39</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Asfaltos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57</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8,276,872,599.69</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179,556,673.72</w:t>
            </w: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Calles y caminos vecinales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57</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5,451,663,904.56</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179,556,673.72</w:t>
            </w: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Canales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11</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311,567,782.00</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Carreteras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19</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3,428,879,167.94</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179,556,673.72</w:t>
            </w: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Centros comunales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19</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247,904,403.26</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Edificaciones de viviendas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326</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6,034,472,623.42</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745,000.00</w:t>
            </w: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Electrificaciones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103</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2,747,374,660.27</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ind w:firstLineChars="400" w:firstLine="80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Eléctrica</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18"/>
                <w:lang w:eastAsia="es-DO"/>
              </w:rPr>
            </w:pPr>
            <w:r w:rsidRPr="00BB231B">
              <w:rPr>
                <w:rFonts w:ascii="Times New Roman" w:eastAsia="Times New Roman" w:hAnsi="Times New Roman" w:cs="Times New Roman"/>
                <w:color w:val="000000"/>
                <w:sz w:val="18"/>
                <w:lang w:eastAsia="es-DO"/>
              </w:rPr>
              <w:t>11</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174,115,701.33</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ind w:firstLineChars="400" w:firstLine="80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Hidráulica</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18"/>
                <w:lang w:eastAsia="es-DO"/>
              </w:rPr>
            </w:pPr>
            <w:r w:rsidRPr="00BB231B">
              <w:rPr>
                <w:rFonts w:ascii="Times New Roman" w:eastAsia="Times New Roman" w:hAnsi="Times New Roman" w:cs="Times New Roman"/>
                <w:color w:val="000000"/>
                <w:sz w:val="18"/>
                <w:lang w:eastAsia="es-DO"/>
              </w:rPr>
              <w:t>84</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2,136,031,425.96</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ind w:firstLineChars="400" w:firstLine="80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Hidroeléctrica</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18"/>
                <w:lang w:eastAsia="es-DO"/>
              </w:rPr>
            </w:pPr>
            <w:r w:rsidRPr="00BB231B">
              <w:rPr>
                <w:rFonts w:ascii="Times New Roman" w:eastAsia="Times New Roman" w:hAnsi="Times New Roman" w:cs="Times New Roman"/>
                <w:color w:val="000000"/>
                <w:sz w:val="18"/>
                <w:lang w:eastAsia="es-DO"/>
              </w:rPr>
              <w:t>8</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437,227,532.98</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Escuelas y estancias infantiles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196</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5,624,450,870.79</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ind w:right="-21"/>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Hospitales y sub- centros de salud</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164</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27,521,676,683.88</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Instalaciones deportivas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43</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519,823,409.17</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Instalaciones militares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11</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53,045,863.12</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Líneas de transmisión</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3</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119,143,902.38</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Parques recreativos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21</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505,310,977.82</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lastRenderedPageBreak/>
              <w:t>Puentes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7</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976,988,324.56</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Puentes peatonales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1,997,457.18</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Remodelación de edificaciones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146</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1,387,205,720.98</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Universidades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6</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53,140,791.15</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Otras obras viales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95</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9,920,140,184.52</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9,489,448.58</w:t>
            </w:r>
          </w:p>
        </w:tc>
      </w:tr>
      <w:tr w:rsidR="00F91AB8" w:rsidRPr="00BB231B" w:rsidTr="00F91AB8">
        <w:trPr>
          <w:trHeight w:val="300"/>
        </w:trPr>
        <w:tc>
          <w:tcPr>
            <w:tcW w:w="2166" w:type="pct"/>
            <w:tcBorders>
              <w:top w:val="nil"/>
              <w:left w:val="nil"/>
              <w:bottom w:val="nil"/>
              <w:right w:val="nil"/>
            </w:tcBorders>
            <w:shd w:val="clear" w:color="auto" w:fill="auto"/>
            <w:noWrap/>
            <w:vAlign w:val="bottom"/>
            <w:hideMark/>
          </w:tcPr>
          <w:p w:rsidR="00F91AB8" w:rsidRPr="00BB231B" w:rsidRDefault="00F91AB8" w:rsidP="00F91AB8">
            <w:pPr>
              <w:spacing w:after="0"/>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Otras obras menores</w:t>
            </w:r>
          </w:p>
        </w:tc>
        <w:tc>
          <w:tcPr>
            <w:tcW w:w="802"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212</w:t>
            </w:r>
          </w:p>
        </w:tc>
        <w:tc>
          <w:tcPr>
            <w:tcW w:w="1178"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2,878,922,582.58</w:t>
            </w:r>
          </w:p>
        </w:tc>
        <w:tc>
          <w:tcPr>
            <w:tcW w:w="854" w:type="pct"/>
            <w:tcBorders>
              <w:top w:val="nil"/>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color w:val="000000"/>
                <w:sz w:val="20"/>
                <w:lang w:eastAsia="es-DO"/>
              </w:rPr>
            </w:pPr>
            <w:r w:rsidRPr="00BB231B">
              <w:rPr>
                <w:rFonts w:ascii="Times New Roman" w:eastAsia="Times New Roman" w:hAnsi="Times New Roman" w:cs="Times New Roman"/>
                <w:color w:val="000000"/>
                <w:sz w:val="20"/>
                <w:lang w:eastAsia="es-DO"/>
              </w:rPr>
              <w:t>1,979,644.42</w:t>
            </w:r>
          </w:p>
        </w:tc>
      </w:tr>
      <w:tr w:rsidR="00F91AB8" w:rsidRPr="00BB231B" w:rsidTr="00F91AB8">
        <w:trPr>
          <w:trHeight w:val="300"/>
        </w:trPr>
        <w:tc>
          <w:tcPr>
            <w:tcW w:w="2166" w:type="pct"/>
            <w:tcBorders>
              <w:top w:val="single" w:sz="4" w:space="0" w:color="auto"/>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b/>
                <w:bCs/>
                <w:color w:val="000000"/>
                <w:sz w:val="20"/>
                <w:lang w:eastAsia="es-DO"/>
              </w:rPr>
            </w:pPr>
            <w:r w:rsidRPr="00BB231B">
              <w:rPr>
                <w:rFonts w:ascii="Times New Roman" w:eastAsia="Times New Roman" w:hAnsi="Times New Roman" w:cs="Times New Roman"/>
                <w:b/>
                <w:bCs/>
                <w:color w:val="000000"/>
                <w:sz w:val="20"/>
                <w:lang w:eastAsia="es-DO"/>
              </w:rPr>
              <w:t>Total general</w:t>
            </w:r>
          </w:p>
        </w:tc>
        <w:tc>
          <w:tcPr>
            <w:tcW w:w="802" w:type="pct"/>
            <w:tcBorders>
              <w:top w:val="single" w:sz="4" w:space="0" w:color="auto"/>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b/>
                <w:bCs/>
                <w:color w:val="000000"/>
                <w:sz w:val="20"/>
                <w:lang w:eastAsia="es-DO"/>
              </w:rPr>
            </w:pPr>
            <w:r w:rsidRPr="00BB231B">
              <w:rPr>
                <w:rFonts w:ascii="Times New Roman" w:eastAsia="Times New Roman" w:hAnsi="Times New Roman" w:cs="Times New Roman"/>
                <w:b/>
                <w:bCs/>
                <w:color w:val="000000"/>
                <w:sz w:val="20"/>
                <w:lang w:eastAsia="es-DO"/>
              </w:rPr>
              <w:t>1,801</w:t>
            </w:r>
          </w:p>
        </w:tc>
        <w:tc>
          <w:tcPr>
            <w:tcW w:w="1178" w:type="pct"/>
            <w:tcBorders>
              <w:top w:val="single" w:sz="4" w:space="0" w:color="auto"/>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b/>
                <w:bCs/>
                <w:color w:val="000000"/>
                <w:sz w:val="20"/>
                <w:lang w:eastAsia="es-DO"/>
              </w:rPr>
            </w:pPr>
            <w:r w:rsidRPr="00BB231B">
              <w:rPr>
                <w:rFonts w:ascii="Times New Roman" w:eastAsia="Times New Roman" w:hAnsi="Times New Roman" w:cs="Times New Roman"/>
                <w:b/>
                <w:bCs/>
                <w:color w:val="000000"/>
                <w:sz w:val="20"/>
                <w:lang w:eastAsia="es-DO"/>
              </w:rPr>
              <w:t>97,187,142,952.15</w:t>
            </w:r>
          </w:p>
        </w:tc>
        <w:tc>
          <w:tcPr>
            <w:tcW w:w="854" w:type="pct"/>
            <w:tcBorders>
              <w:top w:val="single" w:sz="4" w:space="0" w:color="auto"/>
              <w:left w:val="nil"/>
              <w:bottom w:val="nil"/>
              <w:right w:val="nil"/>
            </w:tcBorders>
            <w:shd w:val="clear" w:color="auto" w:fill="auto"/>
            <w:noWrap/>
            <w:vAlign w:val="bottom"/>
            <w:hideMark/>
          </w:tcPr>
          <w:p w:rsidR="00F91AB8" w:rsidRPr="00BB231B" w:rsidRDefault="00F91AB8" w:rsidP="00F91AB8">
            <w:pPr>
              <w:spacing w:after="0"/>
              <w:jc w:val="center"/>
              <w:rPr>
                <w:rFonts w:ascii="Times New Roman" w:eastAsia="Times New Roman" w:hAnsi="Times New Roman" w:cs="Times New Roman"/>
                <w:b/>
                <w:bCs/>
                <w:color w:val="000000"/>
                <w:sz w:val="20"/>
                <w:lang w:eastAsia="es-DO"/>
              </w:rPr>
            </w:pPr>
            <w:r w:rsidRPr="00BB231B">
              <w:rPr>
                <w:rFonts w:ascii="Times New Roman" w:eastAsia="Times New Roman" w:hAnsi="Times New Roman" w:cs="Times New Roman"/>
                <w:b/>
                <w:bCs/>
                <w:color w:val="000000"/>
                <w:sz w:val="20"/>
                <w:lang w:eastAsia="es-DO"/>
              </w:rPr>
              <w:t>724,232,261.25</w:t>
            </w:r>
          </w:p>
        </w:tc>
      </w:tr>
    </w:tbl>
    <w:p w:rsidR="00F91AB8" w:rsidRPr="00BB231B" w:rsidRDefault="00F91AB8" w:rsidP="00F91AB8">
      <w:pPr>
        <w:spacing w:after="0"/>
        <w:rPr>
          <w:rFonts w:ascii="Times New Roman" w:hAnsi="Times New Roman" w:cs="Times New Roman"/>
          <w:b/>
          <w:sz w:val="20"/>
        </w:rPr>
      </w:pPr>
      <w:r w:rsidRPr="00BB231B">
        <w:rPr>
          <w:rFonts w:ascii="Times New Roman" w:hAnsi="Times New Roman" w:cs="Times New Roman"/>
          <w:b/>
          <w:sz w:val="20"/>
        </w:rPr>
        <w:t>CONTRALORÍA GENERAL DE LA REPÚBLICA: Actividades formativas internas, 2017.</w:t>
      </w:r>
    </w:p>
    <w:tbl>
      <w:tblPr>
        <w:tblW w:w="4994" w:type="pct"/>
        <w:tblInd w:w="5" w:type="dxa"/>
        <w:tblCellMar>
          <w:left w:w="70" w:type="dxa"/>
          <w:right w:w="70" w:type="dxa"/>
        </w:tblCellMar>
        <w:tblLook w:val="04A0" w:firstRow="1" w:lastRow="0" w:firstColumn="1" w:lastColumn="0" w:noHBand="0" w:noVBand="1"/>
      </w:tblPr>
      <w:tblGrid>
        <w:gridCol w:w="435"/>
        <w:gridCol w:w="2468"/>
        <w:gridCol w:w="950"/>
        <w:gridCol w:w="1359"/>
        <w:gridCol w:w="1753"/>
        <w:gridCol w:w="1085"/>
      </w:tblGrid>
      <w:tr w:rsidR="00F91AB8" w:rsidRPr="00BB231B" w:rsidTr="00F91AB8">
        <w:trPr>
          <w:trHeight w:val="1260"/>
          <w:tblHeader/>
        </w:trPr>
        <w:tc>
          <w:tcPr>
            <w:tcW w:w="277"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No.</w:t>
            </w:r>
          </w:p>
        </w:tc>
        <w:tc>
          <w:tcPr>
            <w:tcW w:w="1460"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Descripción actividad formativa</w:t>
            </w:r>
          </w:p>
        </w:tc>
        <w:tc>
          <w:tcPr>
            <w:tcW w:w="613"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Duración en horas</w:t>
            </w:r>
          </w:p>
        </w:tc>
        <w:tc>
          <w:tcPr>
            <w:tcW w:w="859"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Cantidad de participantes</w:t>
            </w:r>
          </w:p>
        </w:tc>
        <w:tc>
          <w:tcPr>
            <w:tcW w:w="1103"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Horas de capacitación (componente institución)</w:t>
            </w:r>
          </w:p>
        </w:tc>
        <w:tc>
          <w:tcPr>
            <w:tcW w:w="688"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 xml:space="preserve">Mes </w:t>
            </w:r>
          </w:p>
        </w:tc>
      </w:tr>
      <w:tr w:rsidR="00F91AB8" w:rsidRPr="00BB231B" w:rsidTr="00F91AB8">
        <w:trPr>
          <w:trHeight w:val="630"/>
        </w:trPr>
        <w:tc>
          <w:tcPr>
            <w:tcW w:w="277" w:type="pct"/>
            <w:tcBorders>
              <w:top w:val="single" w:sz="4" w:space="0" w:color="D9D9D9"/>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460" w:type="pct"/>
            <w:tcBorders>
              <w:top w:val="single" w:sz="4" w:space="0" w:color="D9D9D9"/>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"Rol del Defensor del Pueblo"</w:t>
            </w:r>
          </w:p>
        </w:tc>
        <w:tc>
          <w:tcPr>
            <w:tcW w:w="613" w:type="pct"/>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859" w:type="pct"/>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36</w:t>
            </w:r>
          </w:p>
        </w:tc>
        <w:tc>
          <w:tcPr>
            <w:tcW w:w="1103" w:type="pct"/>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36</w:t>
            </w:r>
          </w:p>
        </w:tc>
        <w:tc>
          <w:tcPr>
            <w:tcW w:w="688" w:type="pct"/>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Enero</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"Sistema SUAI - TRE CONTRATOS</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198</w:t>
            </w:r>
          </w:p>
        </w:tc>
        <w:tc>
          <w:tcPr>
            <w:tcW w:w="110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396</w:t>
            </w:r>
          </w:p>
        </w:tc>
        <w:tc>
          <w:tcPr>
            <w:tcW w:w="688"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Enero- Febrero</w:t>
            </w: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1460" w:type="pct"/>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Ofimática</w:t>
            </w:r>
          </w:p>
        </w:tc>
        <w:tc>
          <w:tcPr>
            <w:tcW w:w="613" w:type="pct"/>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859" w:type="pct"/>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17</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306</w:t>
            </w:r>
          </w:p>
        </w:tc>
        <w:tc>
          <w:tcPr>
            <w:tcW w:w="688" w:type="pct"/>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Febrero</w:t>
            </w: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460"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Programa de Inducción CGR</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31</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496</w:t>
            </w:r>
          </w:p>
        </w:tc>
        <w:tc>
          <w:tcPr>
            <w:tcW w:w="688" w:type="pct"/>
            <w:vMerge w:val="restar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Marzo</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 Planes de Salud, ARS y AFP</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30</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120</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 Presupuesto Orientado a Resultados 2017"</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601</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1,803</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7</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Ofimática</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216</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8</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Excel Avanzado</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17</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255</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"Orden y Limpieza en el Trabajo"</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21</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21</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10</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Impuestos Internos</w:t>
            </w:r>
          </w:p>
        </w:tc>
        <w:tc>
          <w:tcPr>
            <w:tcW w:w="613"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55</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660</w:t>
            </w:r>
          </w:p>
        </w:tc>
        <w:tc>
          <w:tcPr>
            <w:tcW w:w="688" w:type="pct"/>
            <w:vMerge w:val="restart"/>
            <w:tcBorders>
              <w:top w:val="nil"/>
              <w:left w:val="single" w:sz="4" w:space="0" w:color="D9D9D9"/>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Abril</w:t>
            </w: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11</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Ofimática</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324</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 Inteligencia Emocional y Calidad de Vida en el Trabajo</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8</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52</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416</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13</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Conferencia: Ética Ciudadana</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485</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1,455</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lastRenderedPageBreak/>
              <w:t>14</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 xml:space="preserve">Sensibilización Ley 41-08 de Función Pública </w:t>
            </w:r>
          </w:p>
        </w:tc>
        <w:tc>
          <w:tcPr>
            <w:tcW w:w="613"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32</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64</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Ofimática</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19</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342</w:t>
            </w:r>
          </w:p>
        </w:tc>
        <w:tc>
          <w:tcPr>
            <w:tcW w:w="688" w:type="pct"/>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Mayo</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 xml:space="preserve">Sensibilización Ley 41-08 de Función Pública </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103</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206</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17</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Ofimática</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162</w:t>
            </w:r>
          </w:p>
        </w:tc>
        <w:tc>
          <w:tcPr>
            <w:tcW w:w="688" w:type="pct"/>
            <w:vMerge w:val="restart"/>
            <w:tcBorders>
              <w:top w:val="nil"/>
              <w:left w:val="single" w:sz="4" w:space="0" w:color="D9D9D9"/>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Junio</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Excel Avanzado</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225</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19</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 xml:space="preserve">Sensibilización Ley 41-08 de Función Pública </w:t>
            </w:r>
          </w:p>
        </w:tc>
        <w:tc>
          <w:tcPr>
            <w:tcW w:w="613"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192</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384</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20</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 xml:space="preserve">Charlas " Planes Complementarios y Opcionales </w:t>
            </w:r>
            <w:proofErr w:type="spellStart"/>
            <w:r w:rsidRPr="00BB231B">
              <w:rPr>
                <w:rFonts w:ascii="Times New Roman" w:eastAsia="Times New Roman" w:hAnsi="Times New Roman" w:cs="Times New Roman"/>
                <w:color w:val="000000"/>
                <w:sz w:val="20"/>
                <w:szCs w:val="20"/>
                <w:lang w:eastAsia="es-DO"/>
              </w:rPr>
              <w:t>SeNaSa</w:t>
            </w:r>
            <w:proofErr w:type="spellEnd"/>
            <w:r w:rsidRPr="00BB231B">
              <w:rPr>
                <w:rFonts w:ascii="Times New Roman" w:eastAsia="Times New Roman" w:hAnsi="Times New Roman" w:cs="Times New Roman"/>
                <w:color w:val="000000"/>
                <w:sz w:val="20"/>
                <w:szCs w:val="20"/>
                <w:lang w:eastAsia="es-DO"/>
              </w:rPr>
              <w:t>"</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92</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184</w:t>
            </w:r>
          </w:p>
        </w:tc>
        <w:tc>
          <w:tcPr>
            <w:tcW w:w="688" w:type="pct"/>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Julio</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21</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 xml:space="preserve">Sensibilización Ley 41-08 de Función Pública </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58</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116</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22</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Conferencia "Empatía en el Ámbito Laboral"</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988</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1,976</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23</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Charlas " Ley 379-81 sobre Jubilaciones y Pensiones"</w:t>
            </w:r>
          </w:p>
        </w:tc>
        <w:tc>
          <w:tcPr>
            <w:tcW w:w="613"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114</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228</w:t>
            </w:r>
          </w:p>
        </w:tc>
        <w:tc>
          <w:tcPr>
            <w:tcW w:w="688"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Julio-Agosto</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24</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 xml:space="preserve">Sensibilización Ley 41-08 de Función Pública </w:t>
            </w:r>
          </w:p>
        </w:tc>
        <w:tc>
          <w:tcPr>
            <w:tcW w:w="613"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165</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330</w:t>
            </w:r>
          </w:p>
        </w:tc>
        <w:tc>
          <w:tcPr>
            <w:tcW w:w="688"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Agosto-Septiembre</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25</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Programa de Inducción Institucional CGR</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30</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480</w:t>
            </w:r>
          </w:p>
        </w:tc>
        <w:tc>
          <w:tcPr>
            <w:tcW w:w="688" w:type="pct"/>
            <w:vMerge w:val="restart"/>
            <w:tcBorders>
              <w:top w:val="nil"/>
              <w:left w:val="single" w:sz="4" w:space="0" w:color="D9D9D9"/>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Septiembre</w:t>
            </w: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26</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"Sistema SUAI - TRE CONTRATOS</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64</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128</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27</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Redes Sociales</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382</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1,528</w:t>
            </w:r>
          </w:p>
        </w:tc>
        <w:tc>
          <w:tcPr>
            <w:tcW w:w="688"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Septiembre -Octubre</w:t>
            </w: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28</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Retenciones de Impuestos sobre la Renta</w:t>
            </w:r>
          </w:p>
        </w:tc>
        <w:tc>
          <w:tcPr>
            <w:tcW w:w="613"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130</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520</w:t>
            </w:r>
          </w:p>
        </w:tc>
        <w:tc>
          <w:tcPr>
            <w:tcW w:w="688" w:type="pct"/>
            <w:vMerge w:val="restart"/>
            <w:tcBorders>
              <w:top w:val="nil"/>
              <w:left w:val="single" w:sz="4" w:space="0" w:color="D9D9D9"/>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Octubre</w:t>
            </w: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29</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Charlas " Ley 379-81 sobre Jubilaciones y Pensiones"</w:t>
            </w:r>
          </w:p>
        </w:tc>
        <w:tc>
          <w:tcPr>
            <w:tcW w:w="613"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43</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86</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lastRenderedPageBreak/>
              <w:t>30</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 Ética Derechos y Deberes del Servidor Público</w:t>
            </w:r>
          </w:p>
        </w:tc>
        <w:tc>
          <w:tcPr>
            <w:tcW w:w="613"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21</w:t>
            </w:r>
          </w:p>
        </w:tc>
        <w:tc>
          <w:tcPr>
            <w:tcW w:w="859"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252</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31</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"Sistema SUAI - TRE CONTRATOS</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55</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110</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32</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Ética Derechos y Deberes de los Servidores Públicos</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20</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240</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33</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"Ortografía"</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22</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352</w:t>
            </w:r>
          </w:p>
        </w:tc>
        <w:tc>
          <w:tcPr>
            <w:tcW w:w="688" w:type="pct"/>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Noviembre</w:t>
            </w: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34</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"Crianza Positiva"</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1,100</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3,300</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35</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Programa de Inducción Institucional CGR</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20</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180</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36</w:t>
            </w:r>
          </w:p>
        </w:tc>
        <w:tc>
          <w:tcPr>
            <w:tcW w:w="1460"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Ofimática</w:t>
            </w:r>
          </w:p>
        </w:tc>
        <w:tc>
          <w:tcPr>
            <w:tcW w:w="61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85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103"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270</w:t>
            </w:r>
          </w:p>
        </w:tc>
        <w:tc>
          <w:tcPr>
            <w:tcW w:w="688"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
        </w:trPr>
        <w:tc>
          <w:tcPr>
            <w:tcW w:w="277" w:type="pct"/>
            <w:tcBorders>
              <w:top w:val="nil"/>
              <w:left w:val="single" w:sz="4" w:space="0" w:color="D9D9D9"/>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37</w:t>
            </w:r>
          </w:p>
        </w:tc>
        <w:tc>
          <w:tcPr>
            <w:tcW w:w="1460"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Curso-Taller "Redacción "</w:t>
            </w:r>
          </w:p>
        </w:tc>
        <w:tc>
          <w:tcPr>
            <w:tcW w:w="61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w:t>
            </w:r>
          </w:p>
        </w:tc>
        <w:tc>
          <w:tcPr>
            <w:tcW w:w="859"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22</w:t>
            </w:r>
          </w:p>
        </w:tc>
        <w:tc>
          <w:tcPr>
            <w:tcW w:w="1103" w:type="pct"/>
            <w:tcBorders>
              <w:top w:val="nil"/>
              <w:left w:val="nil"/>
              <w:bottom w:val="single" w:sz="4" w:space="0" w:color="D9D9D9"/>
              <w:right w:val="single" w:sz="4" w:space="0" w:color="D9D9D9"/>
            </w:tcBorders>
            <w:shd w:val="clear" w:color="000000" w:fill="FFFFFF"/>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352</w:t>
            </w:r>
          </w:p>
        </w:tc>
        <w:tc>
          <w:tcPr>
            <w:tcW w:w="688" w:type="pct"/>
            <w:tcBorders>
              <w:top w:val="nil"/>
              <w:left w:val="nil"/>
              <w:bottom w:val="single" w:sz="4" w:space="0" w:color="D9D9D9"/>
              <w:right w:val="single" w:sz="4" w:space="0" w:color="D9D9D9"/>
            </w:tcBorders>
            <w:shd w:val="clear" w:color="000000" w:fill="FFFFFF"/>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Diciembre</w:t>
            </w:r>
          </w:p>
        </w:tc>
      </w:tr>
    </w:tbl>
    <w:p w:rsidR="00F91AB8" w:rsidRPr="00BB231B" w:rsidRDefault="00F91AB8" w:rsidP="00F91AB8">
      <w:pPr>
        <w:pStyle w:val="Prrafodelista"/>
        <w:ind w:left="720" w:firstLine="0"/>
        <w:rPr>
          <w:rFonts w:ascii="Times New Roman" w:hAnsi="Times New Roman" w:cs="Times New Roman"/>
        </w:rPr>
      </w:pPr>
    </w:p>
    <w:p w:rsidR="00F91AB8" w:rsidRPr="00BB231B" w:rsidRDefault="00F91AB8" w:rsidP="00801ED4">
      <w:pPr>
        <w:spacing w:after="0"/>
        <w:rPr>
          <w:rFonts w:ascii="Times New Roman" w:hAnsi="Times New Roman" w:cs="Times New Roman"/>
          <w:b/>
          <w:sz w:val="20"/>
          <w:szCs w:val="20"/>
        </w:rPr>
      </w:pPr>
      <w:r w:rsidRPr="00BB231B">
        <w:rPr>
          <w:rFonts w:ascii="Times New Roman" w:hAnsi="Times New Roman" w:cs="Times New Roman"/>
          <w:b/>
          <w:sz w:val="20"/>
          <w:szCs w:val="20"/>
        </w:rPr>
        <w:t>CONTRALORÍA GENERAL DE LA REPÚBLICA: Actividades formativas externas, 2017.</w:t>
      </w:r>
    </w:p>
    <w:tbl>
      <w:tblPr>
        <w:tblW w:w="9020" w:type="dxa"/>
        <w:tblInd w:w="5" w:type="dxa"/>
        <w:tblCellMar>
          <w:left w:w="70" w:type="dxa"/>
          <w:right w:w="70" w:type="dxa"/>
        </w:tblCellMar>
        <w:tblLook w:val="04A0" w:firstRow="1" w:lastRow="0" w:firstColumn="1" w:lastColumn="0" w:noHBand="0" w:noVBand="1"/>
      </w:tblPr>
      <w:tblGrid>
        <w:gridCol w:w="1200"/>
        <w:gridCol w:w="2020"/>
        <w:gridCol w:w="1200"/>
        <w:gridCol w:w="1540"/>
        <w:gridCol w:w="1860"/>
        <w:gridCol w:w="1200"/>
      </w:tblGrid>
      <w:tr w:rsidR="00F91AB8" w:rsidRPr="00BB231B" w:rsidTr="00F91AB8">
        <w:trPr>
          <w:trHeight w:val="1260"/>
          <w:tblHeader/>
        </w:trPr>
        <w:tc>
          <w:tcPr>
            <w:tcW w:w="1200" w:type="dxa"/>
            <w:tcBorders>
              <w:top w:val="nil"/>
              <w:left w:val="nil"/>
              <w:bottom w:val="nil"/>
              <w:right w:val="nil"/>
            </w:tcBorders>
            <w:shd w:val="clear" w:color="000000" w:fill="086633"/>
            <w:noWrap/>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NO.</w:t>
            </w:r>
          </w:p>
        </w:tc>
        <w:tc>
          <w:tcPr>
            <w:tcW w:w="2020" w:type="dxa"/>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Descripción actividad formativa</w:t>
            </w:r>
          </w:p>
        </w:tc>
        <w:tc>
          <w:tcPr>
            <w:tcW w:w="1200" w:type="dxa"/>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Duración en horas</w:t>
            </w:r>
          </w:p>
        </w:tc>
        <w:tc>
          <w:tcPr>
            <w:tcW w:w="1540" w:type="dxa"/>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Cantidad participantes</w:t>
            </w:r>
          </w:p>
        </w:tc>
        <w:tc>
          <w:tcPr>
            <w:tcW w:w="1860" w:type="dxa"/>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Horas de capacitación (componente institución)</w:t>
            </w:r>
          </w:p>
        </w:tc>
        <w:tc>
          <w:tcPr>
            <w:tcW w:w="1200" w:type="dxa"/>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Mes</w:t>
            </w:r>
          </w:p>
        </w:tc>
      </w:tr>
      <w:tr w:rsidR="00F91AB8" w:rsidRPr="00BB231B" w:rsidTr="00F91AB8">
        <w:trPr>
          <w:trHeight w:val="1575"/>
        </w:trPr>
        <w:tc>
          <w:tcPr>
            <w:tcW w:w="1200" w:type="dxa"/>
            <w:tcBorders>
              <w:top w:val="single" w:sz="4" w:space="0" w:color="D9D9D9"/>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2020" w:type="dxa"/>
            <w:tcBorders>
              <w:top w:val="single" w:sz="4" w:space="0" w:color="D9D9D9"/>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"La Secretaria Administrativa, Exitosa y Emprendedora"</w:t>
            </w:r>
          </w:p>
        </w:tc>
        <w:tc>
          <w:tcPr>
            <w:tcW w:w="1200" w:type="dxa"/>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540" w:type="dxa"/>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10</w:t>
            </w:r>
          </w:p>
        </w:tc>
        <w:tc>
          <w:tcPr>
            <w:tcW w:w="1860" w:type="dxa"/>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20</w:t>
            </w:r>
          </w:p>
        </w:tc>
        <w:tc>
          <w:tcPr>
            <w:tcW w:w="1200" w:type="dxa"/>
            <w:tcBorders>
              <w:top w:val="single" w:sz="4" w:space="0" w:color="D9D9D9"/>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Abril</w:t>
            </w:r>
          </w:p>
        </w:tc>
      </w:tr>
      <w:tr w:rsidR="00F91AB8" w:rsidRPr="00BB231B" w:rsidTr="00F91AB8">
        <w:trPr>
          <w:trHeight w:val="945"/>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 "Mantenimiento Preventivo"</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20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Mayo</w:t>
            </w:r>
          </w:p>
        </w:tc>
      </w:tr>
      <w:tr w:rsidR="00F91AB8" w:rsidRPr="00BB231B" w:rsidTr="00F91AB8">
        <w:trPr>
          <w:trHeight w:val="2205"/>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lastRenderedPageBreak/>
              <w:t>3</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 Especializado en Archivística Avanzada: Sistemas de Gestión de Documentos Electrónicos (SGDE)</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36</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72</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1260"/>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Congreso ADOARH Negocio y Talento: Sinergia que Transforma</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24</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96</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0"/>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Capacitación Auditoría de Sistemas de Gestión de la Continuidad del Negocio basados en ISO 22301</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40</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40</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120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Normas ISO 30300 de Sistemas</w:t>
            </w:r>
          </w:p>
        </w:tc>
        <w:tc>
          <w:tcPr>
            <w:tcW w:w="120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54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86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1260"/>
        </w:trPr>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Gestión para Documentos.</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c>
          <w:tcPr>
            <w:tcW w:w="154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c>
          <w:tcPr>
            <w:tcW w:w="186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1575"/>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7</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XVI Congreso Regional de Auditoría Interna, Riesgo y Control de Gestión y Finanzas.</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24</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26</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624</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Junio</w:t>
            </w:r>
          </w:p>
        </w:tc>
      </w:tr>
      <w:tr w:rsidR="00F91AB8" w:rsidRPr="00BB231B" w:rsidTr="00F91AB8">
        <w:trPr>
          <w:trHeight w:val="2205"/>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lastRenderedPageBreak/>
              <w:t>8</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XII Congreso Internacional de Finanzas y Auditoria y XVII Seminario Latinoamericano de Contadores y Auditores</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24</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96</w:t>
            </w:r>
          </w:p>
        </w:tc>
        <w:tc>
          <w:tcPr>
            <w:tcW w:w="120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Julio</w:t>
            </w:r>
          </w:p>
        </w:tc>
      </w:tr>
      <w:tr w:rsidR="00F91AB8" w:rsidRPr="00BB231B" w:rsidTr="00F91AB8">
        <w:trPr>
          <w:trHeight w:val="3150"/>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9</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 xml:space="preserve">Coloquio </w:t>
            </w:r>
            <w:proofErr w:type="spellStart"/>
            <w:r w:rsidRPr="00BB231B">
              <w:rPr>
                <w:rFonts w:ascii="Times New Roman" w:eastAsia="Times New Roman" w:hAnsi="Times New Roman" w:cs="Times New Roman"/>
                <w:color w:val="000000"/>
                <w:sz w:val="20"/>
                <w:szCs w:val="20"/>
                <w:lang w:eastAsia="es-DO"/>
              </w:rPr>
              <w:t>Transdisciplinar</w:t>
            </w:r>
            <w:proofErr w:type="spellEnd"/>
            <w:r w:rsidRPr="00BB231B">
              <w:rPr>
                <w:rFonts w:ascii="Times New Roman" w:eastAsia="Times New Roman" w:hAnsi="Times New Roman" w:cs="Times New Roman"/>
                <w:color w:val="000000"/>
                <w:sz w:val="20"/>
                <w:szCs w:val="20"/>
                <w:lang w:eastAsia="es-DO"/>
              </w:rPr>
              <w:t xml:space="preserve">: "Confianza e institucionalidad: análisis de los resultados de encuestas aplicadas por el </w:t>
            </w:r>
            <w:proofErr w:type="spellStart"/>
            <w:r w:rsidRPr="00BB231B">
              <w:rPr>
                <w:rFonts w:ascii="Times New Roman" w:eastAsia="Times New Roman" w:hAnsi="Times New Roman" w:cs="Times New Roman"/>
                <w:color w:val="000000"/>
                <w:sz w:val="20"/>
                <w:szCs w:val="20"/>
                <w:lang w:eastAsia="es-DO"/>
              </w:rPr>
              <w:t>MEPyD</w:t>
            </w:r>
            <w:proofErr w:type="spellEnd"/>
            <w:r w:rsidRPr="00BB231B">
              <w:rPr>
                <w:rFonts w:ascii="Times New Roman" w:eastAsia="Times New Roman" w:hAnsi="Times New Roman" w:cs="Times New Roman"/>
                <w:color w:val="000000"/>
                <w:sz w:val="20"/>
                <w:szCs w:val="20"/>
                <w:lang w:eastAsia="es-DO"/>
              </w:rPr>
              <w:t xml:space="preserve"> en el período 2009-2016”</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10</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Charla "Perdón y Reconciliación"</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2520"/>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11</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Conferencia "Los Desafíos de la Gestión Humana en la Administración Pública"</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3150"/>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lastRenderedPageBreak/>
              <w:t>12</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Conferencia: "Herramientas para mejorar la productividad y la competitividad sostenible</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2520"/>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13</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Seminario Internacional "Alianza para el Fortalecimiento de la Función Pública y el Reconocimiento del Derecho a la Indemnización"</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7</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7</w:t>
            </w:r>
          </w:p>
        </w:tc>
        <w:tc>
          <w:tcPr>
            <w:tcW w:w="1200" w:type="dxa"/>
            <w:vMerge w:val="restart"/>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Septiembre</w:t>
            </w:r>
          </w:p>
        </w:tc>
      </w:tr>
      <w:tr w:rsidR="00F91AB8" w:rsidRPr="00BB231B" w:rsidTr="00F91AB8">
        <w:trPr>
          <w:trHeight w:val="1575"/>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14</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Congreso Internacional de Comunicación Política y Comunicación</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23</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46</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1575"/>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Nueva versión del Sistema de Monitoreo de la Administración Pública (SISMAP)</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w:t>
            </w:r>
          </w:p>
        </w:tc>
        <w:tc>
          <w:tcPr>
            <w:tcW w:w="120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Octubre</w:t>
            </w:r>
          </w:p>
        </w:tc>
      </w:tr>
      <w:tr w:rsidR="00F91AB8" w:rsidRPr="00BB231B" w:rsidTr="00F91AB8">
        <w:trPr>
          <w:trHeight w:val="1260"/>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Taller sobre Gestión del Clima y Bienestar en el Trabajo</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12</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1575"/>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lastRenderedPageBreak/>
              <w:t>17</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Curso: Fundamentos de Planificación y Gestión de la Inversión Pública del Estado</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15</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45</w:t>
            </w:r>
          </w:p>
        </w:tc>
        <w:tc>
          <w:tcPr>
            <w:tcW w:w="1200" w:type="dxa"/>
            <w:vMerge w:val="restart"/>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Noviembre</w:t>
            </w:r>
          </w:p>
        </w:tc>
      </w:tr>
      <w:tr w:rsidR="00F91AB8" w:rsidRPr="00BB231B" w:rsidTr="00F91AB8">
        <w:trPr>
          <w:trHeight w:val="945"/>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18</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Conferenc</w:t>
            </w:r>
            <w:r w:rsidR="00590AA0" w:rsidRPr="00BB231B">
              <w:rPr>
                <w:rFonts w:ascii="Times New Roman" w:eastAsia="Times New Roman" w:hAnsi="Times New Roman" w:cs="Times New Roman"/>
                <w:color w:val="000000"/>
                <w:sz w:val="20"/>
                <w:szCs w:val="20"/>
                <w:lang w:eastAsia="es-DO"/>
              </w:rPr>
              <w:t>ia sobre Calidad del Servidor Pú</w:t>
            </w:r>
            <w:r w:rsidRPr="00BB231B">
              <w:rPr>
                <w:rFonts w:ascii="Times New Roman" w:eastAsia="Times New Roman" w:hAnsi="Times New Roman" w:cs="Times New Roman"/>
                <w:color w:val="000000"/>
                <w:sz w:val="20"/>
                <w:szCs w:val="20"/>
                <w:lang w:eastAsia="es-DO"/>
              </w:rPr>
              <w:t>blico</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8</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24</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945"/>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19</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Reunión -  Taller: Intercambio de Impresiones, IDSS</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5</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10</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630"/>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20</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Cine FÓRUM, mes de la familia - INAP</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1260"/>
        </w:trPr>
        <w:tc>
          <w:tcPr>
            <w:tcW w:w="1200" w:type="dxa"/>
            <w:tcBorders>
              <w:top w:val="nil"/>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22</w:t>
            </w:r>
          </w:p>
        </w:tc>
        <w:tc>
          <w:tcPr>
            <w:tcW w:w="2020" w:type="dxa"/>
            <w:tcBorders>
              <w:top w:val="nil"/>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Encuentro "Creación de la cultura 3Rs y separación en las instituciones pública</w:t>
            </w:r>
            <w:r w:rsidR="00590AA0" w:rsidRPr="00BB231B">
              <w:rPr>
                <w:rFonts w:ascii="Times New Roman" w:eastAsia="Times New Roman" w:hAnsi="Times New Roman" w:cs="Times New Roman"/>
                <w:color w:val="000000"/>
                <w:sz w:val="20"/>
                <w:szCs w:val="20"/>
                <w:lang w:eastAsia="es-DO"/>
              </w:rPr>
              <w:t>s</w:t>
            </w:r>
            <w:r w:rsidRPr="00BB231B">
              <w:rPr>
                <w:rFonts w:ascii="Times New Roman" w:eastAsia="Times New Roman" w:hAnsi="Times New Roman" w:cs="Times New Roman"/>
                <w:color w:val="000000"/>
                <w:sz w:val="20"/>
                <w:szCs w:val="20"/>
                <w:lang w:eastAsia="es-DO"/>
              </w:rPr>
              <w:t>"</w:t>
            </w:r>
          </w:p>
        </w:tc>
        <w:tc>
          <w:tcPr>
            <w:tcW w:w="120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54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860" w:type="dxa"/>
            <w:tcBorders>
              <w:top w:val="nil"/>
              <w:left w:val="nil"/>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r w:rsidR="00F91AB8" w:rsidRPr="00BB231B" w:rsidTr="00F91AB8">
        <w:trPr>
          <w:trHeight w:val="1575"/>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21</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Disertación "Los Conflictos de Interés en el Sector Público: ¿Cómo identificarlos y prevenirlos?</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10</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40</w:t>
            </w:r>
          </w:p>
        </w:tc>
        <w:tc>
          <w:tcPr>
            <w:tcW w:w="1200" w:type="dxa"/>
            <w:vMerge w:val="restar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Diciembre</w:t>
            </w:r>
          </w:p>
        </w:tc>
      </w:tr>
      <w:tr w:rsidR="00F91AB8" w:rsidRPr="00BB231B" w:rsidTr="00F91AB8">
        <w:trPr>
          <w:trHeight w:val="2205"/>
        </w:trPr>
        <w:tc>
          <w:tcPr>
            <w:tcW w:w="1200" w:type="dxa"/>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22</w:t>
            </w:r>
          </w:p>
        </w:tc>
        <w:tc>
          <w:tcPr>
            <w:tcW w:w="2020" w:type="dxa"/>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Taller "Mejores prácticas para procedimientos de contratación en casos de emergencia y desastres naturales"</w:t>
            </w:r>
          </w:p>
        </w:tc>
        <w:tc>
          <w:tcPr>
            <w:tcW w:w="120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7</w:t>
            </w:r>
          </w:p>
        </w:tc>
        <w:tc>
          <w:tcPr>
            <w:tcW w:w="154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16</w:t>
            </w:r>
          </w:p>
        </w:tc>
        <w:tc>
          <w:tcPr>
            <w:tcW w:w="1860" w:type="dxa"/>
            <w:tcBorders>
              <w:top w:val="nil"/>
              <w:left w:val="nil"/>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112</w:t>
            </w:r>
          </w:p>
        </w:tc>
        <w:tc>
          <w:tcPr>
            <w:tcW w:w="1200" w:type="dxa"/>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bl>
    <w:p w:rsidR="00F91AB8" w:rsidRPr="00BB231B" w:rsidRDefault="00F91AB8" w:rsidP="00801ED4">
      <w:pPr>
        <w:pStyle w:val="Prrafodelista"/>
        <w:ind w:left="720" w:firstLine="0"/>
        <w:rPr>
          <w:rFonts w:ascii="Times New Roman" w:hAnsi="Times New Roman" w:cs="Times New Roman"/>
        </w:rPr>
      </w:pPr>
    </w:p>
    <w:p w:rsidR="00F91AB8" w:rsidRPr="00BB231B" w:rsidRDefault="00F91AB8"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801ED4" w:rsidRPr="00BB231B" w:rsidRDefault="00801ED4" w:rsidP="00801ED4">
      <w:pPr>
        <w:pStyle w:val="Prrafodelista"/>
        <w:ind w:left="720" w:firstLine="0"/>
        <w:rPr>
          <w:rFonts w:ascii="Times New Roman" w:hAnsi="Times New Roman" w:cs="Times New Roman"/>
        </w:rPr>
      </w:pPr>
    </w:p>
    <w:p w:rsidR="00F91AB8" w:rsidRPr="00BB231B" w:rsidRDefault="00F91AB8" w:rsidP="00801ED4">
      <w:pPr>
        <w:spacing w:after="0"/>
        <w:rPr>
          <w:rFonts w:ascii="Times New Roman" w:hAnsi="Times New Roman" w:cs="Times New Roman"/>
          <w:b/>
          <w:sz w:val="20"/>
          <w:szCs w:val="20"/>
        </w:rPr>
      </w:pPr>
      <w:r w:rsidRPr="00BB231B">
        <w:rPr>
          <w:rFonts w:ascii="Times New Roman" w:hAnsi="Times New Roman" w:cs="Times New Roman"/>
          <w:b/>
          <w:sz w:val="20"/>
          <w:szCs w:val="20"/>
        </w:rPr>
        <w:t>CONTRALORÍA GENERAL DE LA REPÚBLICA: Actividades formativas internacionales, 2017.</w:t>
      </w:r>
    </w:p>
    <w:tbl>
      <w:tblPr>
        <w:tblW w:w="4994" w:type="pct"/>
        <w:tblInd w:w="5" w:type="dxa"/>
        <w:tblCellMar>
          <w:left w:w="70" w:type="dxa"/>
          <w:right w:w="70" w:type="dxa"/>
        </w:tblCellMar>
        <w:tblLook w:val="04A0" w:firstRow="1" w:lastRow="0" w:firstColumn="1" w:lastColumn="0" w:noHBand="0" w:noVBand="1"/>
      </w:tblPr>
      <w:tblGrid>
        <w:gridCol w:w="1422"/>
        <w:gridCol w:w="1911"/>
        <w:gridCol w:w="1178"/>
        <w:gridCol w:w="1263"/>
        <w:gridCol w:w="1240"/>
        <w:gridCol w:w="1036"/>
      </w:tblGrid>
      <w:tr w:rsidR="00F91AB8" w:rsidRPr="00BB231B" w:rsidTr="00F91AB8">
        <w:trPr>
          <w:trHeight w:val="1140"/>
        </w:trPr>
        <w:tc>
          <w:tcPr>
            <w:tcW w:w="888" w:type="pct"/>
            <w:tcBorders>
              <w:top w:val="nil"/>
              <w:left w:val="nil"/>
              <w:bottom w:val="nil"/>
              <w:right w:val="nil"/>
            </w:tcBorders>
            <w:shd w:val="clear" w:color="000000" w:fill="086633"/>
            <w:noWrap/>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NO.</w:t>
            </w:r>
          </w:p>
        </w:tc>
        <w:tc>
          <w:tcPr>
            <w:tcW w:w="1191"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Descripción actividad formativa</w:t>
            </w:r>
          </w:p>
        </w:tc>
        <w:tc>
          <w:tcPr>
            <w:tcW w:w="736"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Duración en horas</w:t>
            </w:r>
          </w:p>
        </w:tc>
        <w:tc>
          <w:tcPr>
            <w:tcW w:w="769"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Cantidad de participantes</w:t>
            </w:r>
          </w:p>
        </w:tc>
        <w:tc>
          <w:tcPr>
            <w:tcW w:w="768"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Horas de capacitación (componente institución)</w:t>
            </w:r>
          </w:p>
        </w:tc>
        <w:tc>
          <w:tcPr>
            <w:tcW w:w="649" w:type="pct"/>
            <w:tcBorders>
              <w:top w:val="nil"/>
              <w:left w:val="nil"/>
              <w:bottom w:val="nil"/>
              <w:right w:val="nil"/>
            </w:tcBorders>
            <w:shd w:val="clear" w:color="000000" w:fill="086633"/>
            <w:vAlign w:val="center"/>
            <w:hideMark/>
          </w:tcPr>
          <w:p w:rsidR="00F91AB8" w:rsidRPr="00BB231B" w:rsidRDefault="00F91AB8" w:rsidP="00F91AB8">
            <w:pPr>
              <w:spacing w:after="0"/>
              <w:jc w:val="center"/>
              <w:rPr>
                <w:rFonts w:ascii="Times New Roman" w:eastAsia="Times New Roman" w:hAnsi="Times New Roman" w:cs="Times New Roman"/>
                <w:b/>
                <w:bCs/>
                <w:color w:val="FFFFFF"/>
                <w:sz w:val="20"/>
                <w:szCs w:val="20"/>
                <w:lang w:eastAsia="es-DO"/>
              </w:rPr>
            </w:pPr>
            <w:r w:rsidRPr="00BB231B">
              <w:rPr>
                <w:rFonts w:ascii="Times New Roman" w:eastAsia="Times New Roman" w:hAnsi="Times New Roman" w:cs="Times New Roman"/>
                <w:b/>
                <w:bCs/>
                <w:color w:val="FFFFFF"/>
                <w:sz w:val="20"/>
                <w:szCs w:val="20"/>
                <w:lang w:eastAsia="es-DO"/>
              </w:rPr>
              <w:t>Mes- Año</w:t>
            </w:r>
          </w:p>
        </w:tc>
      </w:tr>
      <w:tr w:rsidR="00F91AB8" w:rsidRPr="00BB231B" w:rsidTr="00F91AB8">
        <w:trPr>
          <w:trHeight w:val="1260"/>
        </w:trPr>
        <w:tc>
          <w:tcPr>
            <w:tcW w:w="888" w:type="pct"/>
            <w:tcBorders>
              <w:top w:val="single" w:sz="4" w:space="0" w:color="D9D9D9"/>
              <w:left w:val="single" w:sz="4" w:space="0" w:color="D9D9D9"/>
              <w:bottom w:val="single" w:sz="4" w:space="0" w:color="D9D9D9"/>
              <w:right w:val="single" w:sz="4" w:space="0" w:color="D9D9D9"/>
            </w:tcBorders>
            <w:shd w:val="clear" w:color="auto" w:fill="auto"/>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1191" w:type="pct"/>
            <w:tcBorders>
              <w:top w:val="single" w:sz="4" w:space="0" w:color="D9D9D9"/>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XXVII Asamblea General Ordinaria de la OLACEFS</w:t>
            </w:r>
          </w:p>
        </w:tc>
        <w:tc>
          <w:tcPr>
            <w:tcW w:w="736" w:type="pct"/>
            <w:tcBorders>
              <w:top w:val="single" w:sz="4" w:space="0" w:color="D9D9D9"/>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30</w:t>
            </w:r>
          </w:p>
        </w:tc>
        <w:tc>
          <w:tcPr>
            <w:tcW w:w="769" w:type="pct"/>
            <w:tcBorders>
              <w:top w:val="single" w:sz="4" w:space="0" w:color="D9D9D9"/>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768" w:type="pct"/>
            <w:tcBorders>
              <w:top w:val="single" w:sz="4" w:space="0" w:color="D9D9D9"/>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60</w:t>
            </w:r>
          </w:p>
        </w:tc>
        <w:tc>
          <w:tcPr>
            <w:tcW w:w="649" w:type="pct"/>
            <w:tcBorders>
              <w:top w:val="single" w:sz="4" w:space="0" w:color="D9D9D9"/>
              <w:left w:val="nil"/>
              <w:bottom w:val="single" w:sz="4" w:space="0" w:color="D9D9D9"/>
              <w:right w:val="single" w:sz="4" w:space="0" w:color="D9D9D9"/>
            </w:tcBorders>
            <w:shd w:val="clear" w:color="auto" w:fill="auto"/>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oct-17</w:t>
            </w:r>
          </w:p>
        </w:tc>
      </w:tr>
      <w:tr w:rsidR="00F91AB8" w:rsidRPr="00BB231B" w:rsidTr="00F91AB8">
        <w:trPr>
          <w:trHeight w:val="2280"/>
        </w:trPr>
        <w:tc>
          <w:tcPr>
            <w:tcW w:w="888" w:type="pc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2</w:t>
            </w:r>
          </w:p>
        </w:tc>
        <w:tc>
          <w:tcPr>
            <w:tcW w:w="1191"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XXI Congreso Internacional del CLAD 2017 sobre Reforma del Estado y de la Administración Pública</w:t>
            </w:r>
          </w:p>
        </w:tc>
        <w:tc>
          <w:tcPr>
            <w:tcW w:w="736"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32</w:t>
            </w:r>
          </w:p>
        </w:tc>
        <w:tc>
          <w:tcPr>
            <w:tcW w:w="76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768"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32</w:t>
            </w:r>
          </w:p>
        </w:tc>
        <w:tc>
          <w:tcPr>
            <w:tcW w:w="649" w:type="pct"/>
            <w:vMerge w:val="restart"/>
            <w:tcBorders>
              <w:top w:val="nil"/>
              <w:left w:val="single" w:sz="4" w:space="0" w:color="D9D9D9"/>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nov-17</w:t>
            </w:r>
          </w:p>
        </w:tc>
      </w:tr>
      <w:tr w:rsidR="00F91AB8" w:rsidRPr="00BB231B" w:rsidTr="00F91AB8">
        <w:trPr>
          <w:trHeight w:val="1890"/>
        </w:trPr>
        <w:tc>
          <w:tcPr>
            <w:tcW w:w="888" w:type="pct"/>
            <w:tcBorders>
              <w:top w:val="nil"/>
              <w:left w:val="single" w:sz="4" w:space="0" w:color="D9D9D9"/>
              <w:bottom w:val="single" w:sz="4" w:space="0" w:color="D9D9D9"/>
              <w:right w:val="single" w:sz="4" w:space="0" w:color="D9D9D9"/>
            </w:tcBorders>
            <w:shd w:val="clear" w:color="000000" w:fill="E2EFDA"/>
            <w:noWrap/>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w:t>
            </w:r>
          </w:p>
        </w:tc>
        <w:tc>
          <w:tcPr>
            <w:tcW w:w="1191"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Seminario sobre transparencia y exigencia de responsabilidad en la Gestión Pública</w:t>
            </w:r>
          </w:p>
        </w:tc>
        <w:tc>
          <w:tcPr>
            <w:tcW w:w="736"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30</w:t>
            </w:r>
          </w:p>
        </w:tc>
        <w:tc>
          <w:tcPr>
            <w:tcW w:w="769"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1</w:t>
            </w:r>
          </w:p>
        </w:tc>
        <w:tc>
          <w:tcPr>
            <w:tcW w:w="768" w:type="pct"/>
            <w:tcBorders>
              <w:top w:val="nil"/>
              <w:left w:val="nil"/>
              <w:bottom w:val="single" w:sz="4" w:space="0" w:color="D9D9D9"/>
              <w:right w:val="single" w:sz="4" w:space="0" w:color="D9D9D9"/>
            </w:tcBorders>
            <w:shd w:val="clear" w:color="000000" w:fill="E2EFDA"/>
            <w:vAlign w:val="center"/>
            <w:hideMark/>
          </w:tcPr>
          <w:p w:rsidR="00F91AB8" w:rsidRPr="00BB231B" w:rsidRDefault="00F91AB8" w:rsidP="00F91AB8">
            <w:pPr>
              <w:spacing w:after="0"/>
              <w:jc w:val="center"/>
              <w:rPr>
                <w:rFonts w:ascii="Times New Roman" w:eastAsia="Times New Roman" w:hAnsi="Times New Roman" w:cs="Times New Roman"/>
                <w:color w:val="000000"/>
                <w:sz w:val="20"/>
                <w:szCs w:val="20"/>
                <w:lang w:eastAsia="es-DO"/>
              </w:rPr>
            </w:pPr>
            <w:r w:rsidRPr="00BB231B">
              <w:rPr>
                <w:rFonts w:ascii="Times New Roman" w:eastAsia="Times New Roman" w:hAnsi="Times New Roman" w:cs="Times New Roman"/>
                <w:color w:val="000000"/>
                <w:sz w:val="20"/>
                <w:szCs w:val="20"/>
                <w:lang w:eastAsia="es-DO"/>
              </w:rPr>
              <w:t>30</w:t>
            </w:r>
          </w:p>
        </w:tc>
        <w:tc>
          <w:tcPr>
            <w:tcW w:w="649" w:type="pct"/>
            <w:vMerge/>
            <w:tcBorders>
              <w:top w:val="nil"/>
              <w:left w:val="single" w:sz="4" w:space="0" w:color="D9D9D9"/>
              <w:bottom w:val="single" w:sz="4" w:space="0" w:color="D9D9D9"/>
              <w:right w:val="single" w:sz="4" w:space="0" w:color="D9D9D9"/>
            </w:tcBorders>
            <w:vAlign w:val="center"/>
            <w:hideMark/>
          </w:tcPr>
          <w:p w:rsidR="00F91AB8" w:rsidRPr="00BB231B" w:rsidRDefault="00F91AB8" w:rsidP="00F91AB8">
            <w:pPr>
              <w:spacing w:after="0"/>
              <w:rPr>
                <w:rFonts w:ascii="Times New Roman" w:eastAsia="Times New Roman" w:hAnsi="Times New Roman" w:cs="Times New Roman"/>
                <w:color w:val="000000"/>
                <w:sz w:val="20"/>
                <w:szCs w:val="20"/>
                <w:lang w:eastAsia="es-DO"/>
              </w:rPr>
            </w:pPr>
          </w:p>
        </w:tc>
      </w:tr>
    </w:tbl>
    <w:p w:rsidR="00F91AB8" w:rsidRPr="00BB231B" w:rsidRDefault="00F91AB8" w:rsidP="00801ED4">
      <w:pPr>
        <w:rPr>
          <w:rFonts w:ascii="Times New Roman" w:hAnsi="Times New Roman" w:cs="Times New Roman"/>
        </w:rPr>
      </w:pPr>
    </w:p>
    <w:p w:rsidR="00F91AB8" w:rsidRPr="00BB231B" w:rsidRDefault="00F91AB8" w:rsidP="00801ED4">
      <w:pPr>
        <w:pStyle w:val="Prrafodelista"/>
        <w:ind w:left="720" w:firstLine="0"/>
        <w:rPr>
          <w:rFonts w:ascii="Times New Roman" w:hAnsi="Times New Roman" w:cs="Times New Roman"/>
        </w:rPr>
      </w:pPr>
    </w:p>
    <w:p w:rsidR="00F91AB8" w:rsidRPr="00BB231B" w:rsidRDefault="00F91AB8" w:rsidP="00F91AB8">
      <w:pPr>
        <w:spacing w:beforeLines="40" w:before="96" w:afterLines="40" w:after="96" w:line="480" w:lineRule="auto"/>
        <w:outlineLvl w:val="0"/>
        <w:rPr>
          <w:rFonts w:ascii="Times New Roman" w:hAnsi="Times New Roman" w:cs="Times New Roman"/>
          <w:b/>
          <w:iCs/>
          <w:color w:val="auto"/>
          <w:sz w:val="24"/>
          <w:szCs w:val="24"/>
        </w:rPr>
      </w:pPr>
    </w:p>
    <w:sectPr w:rsidR="00F91AB8" w:rsidRPr="00BB231B" w:rsidSect="00951486">
      <w:headerReference w:type="default" r:id="rId31"/>
      <w:footerReference w:type="default" r:id="rId32"/>
      <w:pgSz w:w="12240" w:h="15840"/>
      <w:pgMar w:top="1440" w:right="2160" w:bottom="1440" w:left="2160" w:header="720" w:footer="3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E97" w:rsidRDefault="00F77E97" w:rsidP="00C074B1">
      <w:r>
        <w:separator/>
      </w:r>
    </w:p>
  </w:endnote>
  <w:endnote w:type="continuationSeparator" w:id="0">
    <w:p w:rsidR="00F77E97" w:rsidRDefault="00F77E97" w:rsidP="00C0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IXSizeFiveSym-Regular">
    <w:altName w:val="Times New Roman"/>
    <w:charset w:val="00"/>
    <w:family w:val="auto"/>
    <w:pitch w:val="variable"/>
    <w:sig w:usb0="00000001" w:usb1="00000084" w:usb2="00000000" w:usb3="00000000" w:csb0="80000101" w:csb1="00000000"/>
  </w:font>
  <w:font w:name="Avenir Roman">
    <w:altName w:val="Corbel"/>
    <w:panose1 w:val="020B0503020203020204"/>
    <w:charset w:val="00"/>
    <w:family w:val="auto"/>
    <w:pitch w:val="variable"/>
    <w:sig w:usb0="00000001" w:usb1="5000204A" w:usb2="00000000" w:usb3="00000000" w:csb0="0000009B" w:csb1="00000000"/>
  </w:font>
  <w:font w:name="Avenir Heavy">
    <w:panose1 w:val="020B07030202030202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43" w:usb2="00000009" w:usb3="00000000" w:csb0="000001FF" w:csb1="00000000"/>
  </w:font>
  <w:font w:name="Avenir Black">
    <w:panose1 w:val="020B0803020203020204"/>
    <w:charset w:val="00"/>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venir Medium">
    <w:panose1 w:val="02000603020000020003"/>
    <w:charset w:val="00"/>
    <w:family w:val="auto"/>
    <w:pitch w:val="variable"/>
    <w:sig w:usb0="800000AF" w:usb1="5000204A" w:usb2="00000000" w:usb3="00000000" w:csb0="0000009B" w:csb1="00000000"/>
  </w:font>
  <w:font w:name="Segoe Condensed">
    <w:altName w:val="Franklin Gothic Medium Cond"/>
    <w:charset w:val="00"/>
    <w:family w:val="swiss"/>
    <w:pitch w:val="variable"/>
    <w:sig w:usb0="A00002AF" w:usb1="4000205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4F8" w:rsidRDefault="00B534F8">
    <w:pPr>
      <w:spacing w:line="200" w:lineRule="exact"/>
    </w:pPr>
    <w:r>
      <w:rPr>
        <w:noProof/>
        <w:lang w:val="es-US" w:eastAsia="es-US"/>
      </w:rPr>
      <mc:AlternateContent>
        <mc:Choice Requires="wps">
          <w:drawing>
            <wp:anchor distT="0" distB="0" distL="114300" distR="114300" simplePos="0" relativeHeight="251658752" behindDoc="1" locked="0" layoutInCell="1" allowOverlap="1" wp14:anchorId="52AADBD1" wp14:editId="7FBFBF42">
              <wp:simplePos x="0" y="0"/>
              <wp:positionH relativeFrom="page">
                <wp:posOffset>7035165</wp:posOffset>
              </wp:positionH>
              <wp:positionV relativeFrom="page">
                <wp:posOffset>9274175</wp:posOffset>
              </wp:positionV>
              <wp:extent cx="194310" cy="16573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4F8" w:rsidRDefault="00B534F8">
                          <w:pPr>
                            <w:spacing w:line="24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875E09">
                            <w:rPr>
                              <w:rFonts w:ascii="Calibri" w:eastAsia="Calibri" w:hAnsi="Calibri" w:cs="Calibri"/>
                              <w:noProof/>
                              <w:position w:val="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53.95pt;margin-top:730.25pt;width:15.3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" filled="f" stroked="f">
              <v:textbox inset="0,0,0,0">
                <w:txbxContent>
                  <w:p w:rsidR="00B534F8" w:rsidRDefault="00B534F8">
                    <w:pPr>
                      <w:spacing w:line="24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875E09">
                      <w:rPr>
                        <w:rFonts w:ascii="Calibri" w:eastAsia="Calibri" w:hAnsi="Calibri" w:cs="Calibri"/>
                        <w:noProof/>
                        <w:position w:val="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428798"/>
      <w:docPartObj>
        <w:docPartGallery w:val="Page Numbers (Bottom of Page)"/>
        <w:docPartUnique/>
      </w:docPartObj>
    </w:sdtPr>
    <w:sdtEndPr/>
    <w:sdtContent>
      <w:p w:rsidR="00B534F8" w:rsidRDefault="00B534F8">
        <w:pPr>
          <w:pStyle w:val="Piedepgina"/>
          <w:jc w:val="right"/>
        </w:pPr>
        <w:r w:rsidRPr="003F3E7F">
          <w:rPr>
            <w:sz w:val="20"/>
          </w:rPr>
          <w:fldChar w:fldCharType="begin"/>
        </w:r>
        <w:r w:rsidRPr="003F3E7F">
          <w:rPr>
            <w:sz w:val="20"/>
          </w:rPr>
          <w:instrText>PAGE   \* MERGEFORMAT</w:instrText>
        </w:r>
        <w:r w:rsidRPr="003F3E7F">
          <w:rPr>
            <w:sz w:val="20"/>
          </w:rPr>
          <w:fldChar w:fldCharType="separate"/>
        </w:r>
        <w:r w:rsidR="00875E09">
          <w:rPr>
            <w:noProof/>
            <w:sz w:val="20"/>
          </w:rPr>
          <w:t>96</w:t>
        </w:r>
        <w:r w:rsidRPr="003F3E7F">
          <w:rPr>
            <w:sz w:val="20"/>
          </w:rPr>
          <w:fldChar w:fldCharType="end"/>
        </w:r>
      </w:p>
    </w:sdtContent>
  </w:sdt>
  <w:p w:rsidR="00B534F8" w:rsidRDefault="00B534F8">
    <w:pPr>
      <w:pStyle w:val="Piedepgina"/>
    </w:pPr>
  </w:p>
  <w:p w:rsidR="00B534F8" w:rsidRDefault="00B534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E97" w:rsidRDefault="00F77E97" w:rsidP="00C074B1">
      <w:r>
        <w:separator/>
      </w:r>
    </w:p>
  </w:footnote>
  <w:footnote w:type="continuationSeparator" w:id="0">
    <w:p w:rsidR="00F77E97" w:rsidRDefault="00F77E97" w:rsidP="00C07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4F8" w:rsidRDefault="00B534F8" w:rsidP="00CA7E2B">
    <w:pPr>
      <w:pStyle w:val="Encabezado"/>
      <w:tabs>
        <w:tab w:val="clear" w:pos="4513"/>
        <w:tab w:val="clear" w:pos="9026"/>
        <w:tab w:val="left" w:pos="7896"/>
      </w:tabs>
    </w:pPr>
    <w:r>
      <w:rPr>
        <w:rFonts w:ascii="Arial" w:hAnsi="Arial" w:cs="Arial"/>
        <w:noProof/>
        <w:color w:val="000000" w:themeColor="text1"/>
        <w:lang w:val="es-US" w:eastAsia="es-US"/>
      </w:rPr>
      <w:drawing>
        <wp:anchor distT="0" distB="0" distL="114300" distR="114300" simplePos="0" relativeHeight="251657728" behindDoc="0" locked="0" layoutInCell="1" allowOverlap="1" wp14:anchorId="1635FFA4" wp14:editId="309CE689">
          <wp:simplePos x="0" y="0"/>
          <wp:positionH relativeFrom="column">
            <wp:posOffset>5726761</wp:posOffset>
          </wp:positionH>
          <wp:positionV relativeFrom="paragraph">
            <wp:posOffset>-251460</wp:posOffset>
          </wp:positionV>
          <wp:extent cx="638810" cy="660400"/>
          <wp:effectExtent l="0" t="0" r="8890" b="635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E4B6F4.tmp"/>
                  <pic:cNvPicPr/>
                </pic:nvPicPr>
                <pic:blipFill>
                  <a:blip r:embed="rId1">
                    <a:extLst>
                      <a:ext uri="{28A0092B-C50C-407E-A947-70E740481C1C}">
                        <a14:useLocalDpi xmlns:a14="http://schemas.microsoft.com/office/drawing/2010/main" val="0"/>
                      </a:ext>
                    </a:extLst>
                  </a:blip>
                  <a:stretch>
                    <a:fillRect/>
                  </a:stretch>
                </pic:blipFill>
                <pic:spPr>
                  <a:xfrm>
                    <a:off x="0" y="0"/>
                    <a:ext cx="638810" cy="660400"/>
                  </a:xfrm>
                  <a:prstGeom prst="rect">
                    <a:avLst/>
                  </a:prstGeom>
                </pic:spPr>
              </pic:pic>
            </a:graphicData>
          </a:graphic>
          <wp14:sizeRelH relativeFrom="page">
            <wp14:pctWidth>0</wp14:pctWidth>
          </wp14:sizeRelH>
          <wp14:sizeRelV relativeFrom="page">
            <wp14:pctHeight>0</wp14:pctHeight>
          </wp14:sizeRelV>
        </wp:anchor>
      </w:drawing>
    </w:r>
    <w:r w:rsidRPr="00376A88">
      <w:rPr>
        <w:noProof/>
        <w:lang w:val="es-US" w:eastAsia="es-US"/>
      </w:rPr>
      <mc:AlternateContent>
        <mc:Choice Requires="wps">
          <w:drawing>
            <wp:anchor distT="0" distB="0" distL="114300" distR="114300" simplePos="0" relativeHeight="251656704" behindDoc="0" locked="0" layoutInCell="1" allowOverlap="1" wp14:anchorId="4AA8B00C" wp14:editId="4476A21D">
              <wp:simplePos x="0" y="0"/>
              <wp:positionH relativeFrom="page">
                <wp:posOffset>7421880</wp:posOffset>
              </wp:positionH>
              <wp:positionV relativeFrom="margin">
                <wp:align>top</wp:align>
              </wp:positionV>
              <wp:extent cx="307975" cy="12663805"/>
              <wp:effectExtent l="0" t="0" r="0" b="4445"/>
              <wp:wrapNone/>
              <wp:docPr id="316" name="Rectángulo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 cy="12663805"/>
                      </a:xfrm>
                      <a:prstGeom prst="rect">
                        <a:avLst/>
                      </a:prstGeom>
                      <a:solidFill>
                        <a:srgbClr val="13591B"/>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89C3BF3" id="Rectángulo 316" o:spid="_x0000_s1026" style="position:absolute;margin-left:584.4pt;margin-top:0;width:24.25pt;height:997.15pt;z-index:25165670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" fillcolor="#13591b" stroked="f">
              <v:path arrowok="t"/>
              <w10:wrap anchorx="page" anchory="margin"/>
            </v:rect>
          </w:pict>
        </mc:Fallback>
      </mc:AlternateContent>
    </w:r>
    <w:r>
      <w:tab/>
    </w:r>
  </w:p>
  <w:p w:rsidR="00B534F8" w:rsidRDefault="00B534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3.5pt;height:20.25pt" o:bullet="t">
        <v:imagedata r:id="rId1" o:title="Viñetas-04"/>
      </v:shape>
    </w:pict>
  </w:numPicBullet>
  <w:numPicBullet w:numPicBulletId="1">
    <w:pict>
      <v:shape id="_x0000_i1035" type="#_x0000_t75" style="width:20.25pt;height:20.25pt" o:bullet="t">
        <v:imagedata r:id="rId2" o:title="Viñetas-05"/>
      </v:shape>
    </w:pict>
  </w:numPicBullet>
  <w:numPicBullet w:numPicBulletId="2">
    <w:pict>
      <v:shape id="_x0000_i1036" type="#_x0000_t75" style="width:20.25pt;height:20.25pt" o:bullet="t">
        <v:imagedata r:id="rId3" o:title="Viñetas-04"/>
      </v:shape>
    </w:pict>
  </w:numPicBullet>
  <w:numPicBullet w:numPicBulletId="3">
    <w:pict>
      <v:shape id="_x0000_i1037" type="#_x0000_t75" style="width:20.25pt;height:20.25pt" o:bullet="t">
        <v:imagedata r:id="rId4" o:title="Viñetas-06"/>
      </v:shape>
    </w:pict>
  </w:numPicBullet>
  <w:numPicBullet w:numPicBulletId="4">
    <w:pict>
      <v:shape id="_x0000_i1038" type="#_x0000_t75" style="width:3in;height:3in" o:bullet="t">
        <v:imagedata r:id="rId5" o:title="viñeta-02"/>
      </v:shape>
    </w:pict>
  </w:numPicBullet>
  <w:abstractNum w:abstractNumId="0">
    <w:nsid w:val="02A47EBE"/>
    <w:multiLevelType w:val="hybridMultilevel"/>
    <w:tmpl w:val="D58C0A9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2AC2B9F"/>
    <w:multiLevelType w:val="hybridMultilevel"/>
    <w:tmpl w:val="A2D690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510625E"/>
    <w:multiLevelType w:val="multilevel"/>
    <w:tmpl w:val="5562FCD8"/>
    <w:styleLink w:val="Sublista"/>
    <w:lvl w:ilvl="0">
      <w:start w:val="1"/>
      <w:numFmt w:val="bullet"/>
      <w:pStyle w:val="Prrafodesublista"/>
      <w:lvlText w:val="•"/>
      <w:lvlJc w:val="left"/>
      <w:pPr>
        <w:ind w:left="1778" w:hanging="360"/>
      </w:pPr>
      <w:rPr>
        <w:rFonts w:ascii="STIXSizeFiveSym-Regular" w:hAnsi="STIXSizeFiveSym-Regular" w:hint="default"/>
        <w:b/>
        <w:color w:val="97A4AC" w:themeColor="text2"/>
        <w:sz w:val="24"/>
      </w:rPr>
    </w:lvl>
    <w:lvl w:ilvl="1">
      <w:start w:val="1"/>
      <w:numFmt w:val="bullet"/>
      <w:lvlText w:val="o"/>
      <w:lvlJc w:val="left"/>
      <w:pPr>
        <w:ind w:left="2487" w:hanging="360"/>
      </w:pPr>
      <w:rPr>
        <w:rFonts w:ascii="Courier New" w:hAnsi="Courier New" w:hint="default"/>
        <w:color w:val="97A4AC" w:themeColor="text2"/>
        <w:sz w:val="24"/>
      </w:rPr>
    </w:lvl>
    <w:lvl w:ilvl="2">
      <w:start w:val="1"/>
      <w:numFmt w:val="none"/>
      <w:lvlText w:val="%3"/>
      <w:lvlJc w:val="left"/>
      <w:pPr>
        <w:ind w:left="2487" w:hanging="360"/>
      </w:pPr>
      <w:rPr>
        <w:rFonts w:ascii="Times New Roman" w:hAnsi="Times New Roman" w:hint="default"/>
      </w:rPr>
    </w:lvl>
    <w:lvl w:ilvl="3">
      <w:start w:val="1"/>
      <w:numFmt w:val="none"/>
      <w:lvlText w:val="%4"/>
      <w:lvlJc w:val="left"/>
      <w:pPr>
        <w:ind w:left="2487" w:hanging="360"/>
      </w:pPr>
      <w:rPr>
        <w:rFonts w:ascii="Times New Roman" w:hAnsi="Times New Roman" w:hint="default"/>
      </w:rPr>
    </w:lvl>
    <w:lvl w:ilvl="4">
      <w:start w:val="1"/>
      <w:numFmt w:val="none"/>
      <w:lvlText w:val="%5"/>
      <w:lvlJc w:val="left"/>
      <w:pPr>
        <w:ind w:left="2487" w:hanging="360"/>
      </w:pPr>
      <w:rPr>
        <w:rFonts w:ascii="Courier New" w:hAnsi="Courier New" w:hint="default"/>
      </w:rPr>
    </w:lvl>
    <w:lvl w:ilvl="5">
      <w:start w:val="1"/>
      <w:numFmt w:val="none"/>
      <w:lvlText w:val="%6"/>
      <w:lvlJc w:val="left"/>
      <w:pPr>
        <w:ind w:left="2487" w:hanging="360"/>
      </w:pPr>
      <w:rPr>
        <w:rFonts w:ascii="Times New Roman" w:hAnsi="Times New Roman" w:hint="default"/>
      </w:rPr>
    </w:lvl>
    <w:lvl w:ilvl="6">
      <w:start w:val="1"/>
      <w:numFmt w:val="none"/>
      <w:lvlText w:val="%7"/>
      <w:lvlJc w:val="left"/>
      <w:pPr>
        <w:ind w:left="2487" w:hanging="360"/>
      </w:pPr>
      <w:rPr>
        <w:rFonts w:ascii="Times New Roman" w:hAnsi="Times New Roman" w:hint="default"/>
      </w:rPr>
    </w:lvl>
    <w:lvl w:ilvl="7">
      <w:start w:val="1"/>
      <w:numFmt w:val="none"/>
      <w:lvlText w:val="%8"/>
      <w:lvlJc w:val="left"/>
      <w:pPr>
        <w:ind w:left="2487" w:hanging="360"/>
      </w:pPr>
      <w:rPr>
        <w:rFonts w:ascii="Courier New" w:hAnsi="Courier New" w:hint="default"/>
      </w:rPr>
    </w:lvl>
    <w:lvl w:ilvl="8">
      <w:start w:val="1"/>
      <w:numFmt w:val="none"/>
      <w:lvlText w:val="%9"/>
      <w:lvlJc w:val="left"/>
      <w:pPr>
        <w:ind w:left="2487" w:hanging="360"/>
      </w:pPr>
      <w:rPr>
        <w:rFonts w:ascii="Times New Roman" w:hAnsi="Times New Roman" w:hint="default"/>
      </w:rPr>
    </w:lvl>
  </w:abstractNum>
  <w:abstractNum w:abstractNumId="3">
    <w:nsid w:val="053C0BCE"/>
    <w:multiLevelType w:val="hybridMultilevel"/>
    <w:tmpl w:val="F86615AA"/>
    <w:lvl w:ilvl="0" w:tplc="EE549DC4">
      <w:start w:val="1"/>
      <w:numFmt w:val="bullet"/>
      <w:pStyle w:val="Subttulo2"/>
      <w:lvlText w:val=""/>
      <w:lvlJc w:val="left"/>
      <w:pPr>
        <w:tabs>
          <w:tab w:val="num" w:pos="284"/>
        </w:tabs>
        <w:ind w:left="284" w:hanging="171"/>
      </w:pPr>
      <w:rPr>
        <w:rFonts w:ascii="Symbol" w:hAnsi="Symbol" w:hint="default"/>
        <w:sz w:val="22"/>
        <w:szCs w:val="20"/>
      </w:rPr>
    </w:lvl>
    <w:lvl w:ilvl="1" w:tplc="0C0A0003" w:tentative="1">
      <w:start w:val="1"/>
      <w:numFmt w:val="bullet"/>
      <w:lvlText w:val="o"/>
      <w:lvlJc w:val="left"/>
      <w:pPr>
        <w:ind w:left="1553" w:hanging="360"/>
      </w:pPr>
      <w:rPr>
        <w:rFonts w:ascii="Courier New" w:hAnsi="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4">
    <w:nsid w:val="06063139"/>
    <w:multiLevelType w:val="hybridMultilevel"/>
    <w:tmpl w:val="726655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7AB6958"/>
    <w:multiLevelType w:val="hybridMultilevel"/>
    <w:tmpl w:val="215E5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8530FD1"/>
    <w:multiLevelType w:val="multilevel"/>
    <w:tmpl w:val="A1C6D950"/>
    <w:styleLink w:val="Listaprincipal"/>
    <w:lvl w:ilvl="0">
      <w:start w:val="1"/>
      <w:numFmt w:val="bullet"/>
      <w:pStyle w:val="Prrafodelistaprincipal"/>
      <w:lvlText w:val="•"/>
      <w:lvlJc w:val="left"/>
      <w:pPr>
        <w:ind w:left="1069" w:hanging="360"/>
      </w:pPr>
      <w:rPr>
        <w:rFonts w:ascii="STIXSizeFiveSym-Regular" w:hAnsi="STIXSizeFiveSym-Regular" w:hint="default"/>
        <w:b/>
        <w:color w:val="E62E00" w:themeColor="accent2"/>
        <w:sz w:val="28"/>
      </w:rPr>
    </w:lvl>
    <w:lvl w:ilvl="1">
      <w:start w:val="1"/>
      <w:numFmt w:val="bullet"/>
      <w:lvlText w:val=""/>
      <w:lvlJc w:val="left"/>
      <w:pPr>
        <w:ind w:left="1778" w:hanging="360"/>
      </w:pPr>
      <w:rPr>
        <w:rFonts w:ascii="Symbol" w:hAnsi="Symbol" w:hint="default"/>
        <w:color w:val="97A4AC" w:themeColor="text2"/>
        <w:sz w:val="22"/>
      </w:rPr>
    </w:lvl>
    <w:lvl w:ilvl="2">
      <w:start w:val="1"/>
      <w:numFmt w:val="bullet"/>
      <w:lvlText w:val=""/>
      <w:lvlJc w:val="left"/>
      <w:pPr>
        <w:ind w:left="2487" w:hanging="360"/>
      </w:pPr>
      <w:rPr>
        <w:rFonts w:ascii="Symbol" w:hAnsi="Symbol" w:hint="default"/>
        <w:color w:val="97A4AC" w:themeColor="text2"/>
        <w:sz w:val="22"/>
      </w:rPr>
    </w:lvl>
    <w:lvl w:ilvl="3">
      <w:start w:val="1"/>
      <w:numFmt w:val="none"/>
      <w:lvlText w:val="(%4)"/>
      <w:lvlJc w:val="left"/>
      <w:pPr>
        <w:ind w:left="2487" w:hanging="360"/>
      </w:pPr>
    </w:lvl>
    <w:lvl w:ilvl="4">
      <w:start w:val="1"/>
      <w:numFmt w:val="none"/>
      <w:lvlText w:val="(%5)"/>
      <w:lvlJc w:val="left"/>
      <w:pPr>
        <w:ind w:left="2487" w:hanging="360"/>
      </w:pPr>
    </w:lvl>
    <w:lvl w:ilvl="5">
      <w:start w:val="1"/>
      <w:numFmt w:val="none"/>
      <w:lvlText w:val="(%6)"/>
      <w:lvlJc w:val="left"/>
      <w:pPr>
        <w:ind w:left="2487" w:hanging="360"/>
      </w:pPr>
    </w:lvl>
    <w:lvl w:ilvl="6">
      <w:start w:val="1"/>
      <w:numFmt w:val="none"/>
      <w:lvlText w:val="%7."/>
      <w:lvlJc w:val="left"/>
      <w:pPr>
        <w:ind w:left="2487" w:hanging="360"/>
      </w:pPr>
    </w:lvl>
    <w:lvl w:ilvl="7">
      <w:start w:val="1"/>
      <w:numFmt w:val="none"/>
      <w:lvlText w:val="%8."/>
      <w:lvlJc w:val="left"/>
      <w:pPr>
        <w:ind w:left="2487" w:hanging="360"/>
      </w:pPr>
    </w:lvl>
    <w:lvl w:ilvl="8">
      <w:start w:val="1"/>
      <w:numFmt w:val="none"/>
      <w:lvlText w:val="%9"/>
      <w:lvlJc w:val="left"/>
      <w:pPr>
        <w:ind w:left="2487" w:hanging="360"/>
      </w:pPr>
      <w:rPr>
        <w:rFonts w:ascii="Times New Roman" w:hAnsi="Times New Roman" w:hint="default"/>
      </w:rPr>
    </w:lvl>
  </w:abstractNum>
  <w:abstractNum w:abstractNumId="7">
    <w:nsid w:val="0F722B3B"/>
    <w:multiLevelType w:val="hybridMultilevel"/>
    <w:tmpl w:val="4AEEF254"/>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140B0CC7"/>
    <w:multiLevelType w:val="hybridMultilevel"/>
    <w:tmpl w:val="75C47734"/>
    <w:lvl w:ilvl="0" w:tplc="94586BB0">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AB1413F"/>
    <w:multiLevelType w:val="multilevel"/>
    <w:tmpl w:val="6FA0C634"/>
    <w:numStyleLink w:val="Listacajadetexo"/>
  </w:abstractNum>
  <w:abstractNum w:abstractNumId="10">
    <w:nsid w:val="1BA1302C"/>
    <w:multiLevelType w:val="hybridMultilevel"/>
    <w:tmpl w:val="B9DEF498"/>
    <w:lvl w:ilvl="0" w:tplc="1C0A0017">
      <w:start w:val="1"/>
      <w:numFmt w:val="lowerLetter"/>
      <w:lvlText w:val="%1)"/>
      <w:lvlJc w:val="left"/>
      <w:pPr>
        <w:ind w:left="720" w:hanging="360"/>
      </w:pPr>
      <w:rPr>
        <w:rFonts w:hint="default"/>
      </w:rPr>
    </w:lvl>
    <w:lvl w:ilvl="1" w:tplc="2D4C3552">
      <w:start w:val="1"/>
      <w:numFmt w:val="lowerLetter"/>
      <w:lvlText w:val="%2."/>
      <w:lvlJc w:val="left"/>
      <w:pPr>
        <w:ind w:left="1440" w:hanging="360"/>
      </w:pPr>
      <w:rPr>
        <w:b/>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DAF6B17"/>
    <w:multiLevelType w:val="hybridMultilevel"/>
    <w:tmpl w:val="5DD8B6FE"/>
    <w:lvl w:ilvl="0" w:tplc="1C0A0001">
      <w:start w:val="1"/>
      <w:numFmt w:val="bullet"/>
      <w:lvlText w:val=""/>
      <w:lvlJc w:val="left"/>
      <w:pPr>
        <w:ind w:left="720" w:hanging="360"/>
      </w:pPr>
      <w:rPr>
        <w:rFonts w:ascii="Symbol" w:hAnsi="Symbol" w:hint="default"/>
      </w:rPr>
    </w:lvl>
    <w:lvl w:ilvl="1" w:tplc="E368A3C0">
      <w:numFmt w:val="bullet"/>
      <w:lvlText w:val="-"/>
      <w:lvlJc w:val="left"/>
      <w:pPr>
        <w:ind w:left="1440" w:hanging="360"/>
      </w:pPr>
      <w:rPr>
        <w:rFonts w:ascii="Avenir Roman" w:eastAsia="Times New Roman" w:hAnsi="Avenir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1E765E65"/>
    <w:multiLevelType w:val="hybridMultilevel"/>
    <w:tmpl w:val="29CA9A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1FFC38D6"/>
    <w:multiLevelType w:val="hybridMultilevel"/>
    <w:tmpl w:val="321472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0186672"/>
    <w:multiLevelType w:val="hybridMultilevel"/>
    <w:tmpl w:val="58F41AAE"/>
    <w:lvl w:ilvl="0" w:tplc="ED5EBF5A">
      <w:start w:val="1"/>
      <w:numFmt w:val="bullet"/>
      <w:pStyle w:val="Listadoespecial-Tabla"/>
      <w:lvlText w:val=""/>
      <w:lvlPicBulletId w:val="4"/>
      <w:lvlJc w:val="left"/>
      <w:pPr>
        <w:tabs>
          <w:tab w:val="num" w:pos="284"/>
        </w:tabs>
        <w:ind w:left="284" w:hanging="284"/>
      </w:pPr>
      <w:rPr>
        <w:rFonts w:ascii="Symbol" w:hAnsi="Symbol" w:hint="default"/>
        <w:color w:val="0A3F76"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0423367"/>
    <w:multiLevelType w:val="hybridMultilevel"/>
    <w:tmpl w:val="FB207FFE"/>
    <w:lvl w:ilvl="0" w:tplc="DBAE5C26">
      <w:start w:val="1"/>
      <w:numFmt w:val="bullet"/>
      <w:lvlText w:val=""/>
      <w:lvlJc w:val="left"/>
      <w:pPr>
        <w:ind w:left="720" w:hanging="360"/>
      </w:pPr>
      <w:rPr>
        <w:rFonts w:ascii="Symbol" w:hAnsi="Symbol" w:hint="default"/>
        <w:color w:val="000000" w:themeColor="text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21894D5F"/>
    <w:multiLevelType w:val="multilevel"/>
    <w:tmpl w:val="5E16EB88"/>
    <w:lvl w:ilvl="0">
      <w:start w:val="1"/>
      <w:numFmt w:val="decimal"/>
      <w:lvlText w:val="%1."/>
      <w:lvlJc w:val="left"/>
      <w:pPr>
        <w:ind w:left="720" w:hanging="360"/>
      </w:p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244B02CF"/>
    <w:multiLevelType w:val="multilevel"/>
    <w:tmpl w:val="0C0A001D"/>
    <w:styleLink w:val="Listaalfabtica"/>
    <w:lvl w:ilvl="0">
      <w:start w:val="1"/>
      <w:numFmt w:val="upperLetter"/>
      <w:pStyle w:val="Prrafolistaalfabtica"/>
      <w:lvlText w:val="%1)"/>
      <w:lvlJc w:val="left"/>
      <w:pPr>
        <w:ind w:left="360" w:hanging="360"/>
      </w:pPr>
      <w:rPr>
        <w:rFonts w:ascii="Avenir Heavy" w:hAnsi="Avenir Heavy"/>
        <w:color w:val="E62E00" w:themeColor="accent2"/>
        <w:sz w:val="22"/>
      </w:rPr>
    </w:lvl>
    <w:lvl w:ilvl="1">
      <w:start w:val="1"/>
      <w:numFmt w:val="lowerLetter"/>
      <w:lvlText w:val="%2)"/>
      <w:lvlJc w:val="left"/>
      <w:pPr>
        <w:ind w:left="1069" w:hanging="360"/>
      </w:pPr>
      <w:rPr>
        <w:rFonts w:ascii="Avenir Roman" w:hAnsi="Avenir Roman"/>
        <w:color w:val="0A3F76" w:themeColor="accent1"/>
        <w:sz w:val="24"/>
      </w:rPr>
    </w:lvl>
    <w:lvl w:ilvl="2">
      <w:start w:val="1"/>
      <w:numFmt w:val="none"/>
      <w:lvlText w:val="%3)"/>
      <w:lvlJc w:val="left"/>
      <w:pPr>
        <w:ind w:left="1778" w:hanging="360"/>
      </w:pPr>
    </w:lvl>
    <w:lvl w:ilvl="3">
      <w:start w:val="1"/>
      <w:numFmt w:val="none"/>
      <w:lvlText w:val="(%4)"/>
      <w:lvlJc w:val="left"/>
      <w:pPr>
        <w:ind w:left="1778" w:hanging="360"/>
      </w:pPr>
    </w:lvl>
    <w:lvl w:ilvl="4">
      <w:start w:val="1"/>
      <w:numFmt w:val="none"/>
      <w:lvlText w:val="(%5)"/>
      <w:lvlJc w:val="left"/>
      <w:pPr>
        <w:ind w:left="1800" w:hanging="360"/>
      </w:pPr>
    </w:lvl>
    <w:lvl w:ilvl="5">
      <w:start w:val="1"/>
      <w:numFmt w:val="none"/>
      <w:lvlText w:val="(%6)"/>
      <w:lvlJc w:val="left"/>
      <w:pPr>
        <w:ind w:left="1778" w:hanging="360"/>
      </w:pPr>
    </w:lvl>
    <w:lvl w:ilvl="6">
      <w:start w:val="1"/>
      <w:numFmt w:val="none"/>
      <w:lvlText w:val="%7."/>
      <w:lvlJc w:val="left"/>
      <w:pPr>
        <w:ind w:left="1778" w:hanging="360"/>
      </w:pPr>
    </w:lvl>
    <w:lvl w:ilvl="7">
      <w:start w:val="1"/>
      <w:numFmt w:val="none"/>
      <w:lvlText w:val="%8."/>
      <w:lvlJc w:val="left"/>
      <w:pPr>
        <w:ind w:left="1778" w:hanging="360"/>
      </w:pPr>
    </w:lvl>
    <w:lvl w:ilvl="8">
      <w:start w:val="1"/>
      <w:numFmt w:val="none"/>
      <w:lvlText w:val="%9."/>
      <w:lvlJc w:val="left"/>
      <w:pPr>
        <w:ind w:left="1778" w:hanging="360"/>
      </w:pPr>
    </w:lvl>
  </w:abstractNum>
  <w:abstractNum w:abstractNumId="18">
    <w:nsid w:val="24807D47"/>
    <w:multiLevelType w:val="hybridMultilevel"/>
    <w:tmpl w:val="C6B20C5A"/>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9">
    <w:nsid w:val="27AE7FC2"/>
    <w:multiLevelType w:val="hybridMultilevel"/>
    <w:tmpl w:val="E8908AE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2B8C632B"/>
    <w:multiLevelType w:val="hybridMultilevel"/>
    <w:tmpl w:val="20D60042"/>
    <w:lvl w:ilvl="0" w:tplc="6346D902">
      <w:start w:val="1"/>
      <w:numFmt w:val="decimal"/>
      <w:lvlText w:val="%1-"/>
      <w:lvlJc w:val="left"/>
      <w:pPr>
        <w:ind w:left="1440" w:hanging="360"/>
      </w:pPr>
      <w:rPr>
        <w:rFonts w:ascii="Times New Roman" w:eastAsiaTheme="minorHAnsi" w:hAnsi="Times New Roman" w:cs="Times New Roman"/>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1">
    <w:nsid w:val="2D76436A"/>
    <w:multiLevelType w:val="multilevel"/>
    <w:tmpl w:val="A1C6D950"/>
    <w:numStyleLink w:val="Listaprincipal"/>
  </w:abstractNum>
  <w:abstractNum w:abstractNumId="22">
    <w:nsid w:val="2D846ABE"/>
    <w:multiLevelType w:val="hybridMultilevel"/>
    <w:tmpl w:val="A5040C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350A7AF2"/>
    <w:multiLevelType w:val="hybridMultilevel"/>
    <w:tmpl w:val="CA20A71C"/>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nsid w:val="3A690A52"/>
    <w:multiLevelType w:val="hybridMultilevel"/>
    <w:tmpl w:val="5F86F5CA"/>
    <w:lvl w:ilvl="0" w:tplc="E0BC4C3E">
      <w:start w:val="15"/>
      <w:numFmt w:val="lowerLetter"/>
      <w:lvlText w:val="%1."/>
      <w:lvlJc w:val="left"/>
      <w:pPr>
        <w:tabs>
          <w:tab w:val="num" w:pos="720"/>
        </w:tabs>
        <w:ind w:left="720" w:hanging="360"/>
      </w:pPr>
      <w:rPr>
        <w:rFonts w:hint="default"/>
        <w:b/>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25">
    <w:nsid w:val="3DB17D49"/>
    <w:multiLevelType w:val="multilevel"/>
    <w:tmpl w:val="0C0A001D"/>
    <w:numStyleLink w:val="Listaenumerada"/>
  </w:abstractNum>
  <w:abstractNum w:abstractNumId="26">
    <w:nsid w:val="3E020CC4"/>
    <w:multiLevelType w:val="hybridMultilevel"/>
    <w:tmpl w:val="C50CE8F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3EFE5F7F"/>
    <w:multiLevelType w:val="hybridMultilevel"/>
    <w:tmpl w:val="9DF2BD90"/>
    <w:lvl w:ilvl="0" w:tplc="1C0A0001">
      <w:start w:val="1"/>
      <w:numFmt w:val="bullet"/>
      <w:lvlText w:val=""/>
      <w:lvlJc w:val="left"/>
      <w:pPr>
        <w:ind w:left="1080" w:hanging="360"/>
      </w:pPr>
      <w:rPr>
        <w:rFonts w:ascii="Symbol" w:hAnsi="Symbol"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8">
    <w:nsid w:val="3FD505CD"/>
    <w:multiLevelType w:val="multilevel"/>
    <w:tmpl w:val="6FA0C634"/>
    <w:styleLink w:val="Listacajadetexo"/>
    <w:lvl w:ilvl="0">
      <w:start w:val="1"/>
      <w:numFmt w:val="bullet"/>
      <w:pStyle w:val="Prrafodelistacajadetexto"/>
      <w:lvlText w:val=""/>
      <w:lvlJc w:val="left"/>
      <w:pPr>
        <w:tabs>
          <w:tab w:val="num" w:pos="227"/>
        </w:tabs>
        <w:ind w:left="170" w:hanging="170"/>
      </w:pPr>
      <w:rPr>
        <w:rFonts w:ascii="Symbol" w:hAnsi="Symbol" w:hint="default"/>
        <w:b/>
        <w:color w:val="DC151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83424AF"/>
    <w:multiLevelType w:val="multilevel"/>
    <w:tmpl w:val="0C0A001D"/>
    <w:numStyleLink w:val="Listaespecialroja"/>
  </w:abstractNum>
  <w:abstractNum w:abstractNumId="30">
    <w:nsid w:val="4ABF3826"/>
    <w:multiLevelType w:val="multilevel"/>
    <w:tmpl w:val="0C0A001D"/>
    <w:numStyleLink w:val="Listaalfabtica"/>
  </w:abstractNum>
  <w:abstractNum w:abstractNumId="31">
    <w:nsid w:val="4ACB0C45"/>
    <w:multiLevelType w:val="hybridMultilevel"/>
    <w:tmpl w:val="ACF4A0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4D67305C"/>
    <w:multiLevelType w:val="multilevel"/>
    <w:tmpl w:val="A950E55E"/>
    <w:lvl w:ilvl="0">
      <w:start w:val="1"/>
      <w:numFmt w:val="decimal"/>
      <w:lvlText w:val="%1"/>
      <w:lvlJc w:val="left"/>
      <w:pPr>
        <w:ind w:left="432" w:hanging="432"/>
      </w:pPr>
      <w:rPr>
        <w:rFonts w:ascii="Avenir Black" w:hAnsi="Avenir Black" w:hint="default"/>
        <w:color w:val="072F58" w:themeColor="accent1" w:themeShade="BF"/>
        <w:sz w:val="400"/>
        <w:szCs w:val="400"/>
      </w:rPr>
    </w:lvl>
    <w:lvl w:ilvl="1">
      <w:start w:val="1"/>
      <w:numFmt w:val="decimal"/>
      <w:lvlText w:val="%1.%2"/>
      <w:lvlJc w:val="left"/>
      <w:pPr>
        <w:ind w:left="576" w:hanging="576"/>
      </w:pPr>
      <w:rPr>
        <w:color w:val="072F58" w:themeColor="accent1" w:themeShade="BF"/>
        <w:sz w:val="24"/>
      </w:r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nsid w:val="4F855F80"/>
    <w:multiLevelType w:val="hybridMultilevel"/>
    <w:tmpl w:val="865CEA80"/>
    <w:lvl w:ilvl="0" w:tplc="E65881AA">
      <w:start w:val="1"/>
      <w:numFmt w:val="bullet"/>
      <w:pStyle w:val="Ttulo2enpginadeseccin"/>
      <w:lvlText w:val=""/>
      <w:lvlPicBulletId w:val="0"/>
      <w:lvlJc w:val="left"/>
      <w:pPr>
        <w:ind w:left="720" w:hanging="360"/>
      </w:pPr>
      <w:rPr>
        <w:rFonts w:ascii="Symbol" w:hAnsi="Symbol" w:hint="default"/>
        <w:sz w:val="2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15B53BB"/>
    <w:multiLevelType w:val="hybridMultilevel"/>
    <w:tmpl w:val="1CF2E69E"/>
    <w:lvl w:ilvl="0" w:tplc="1C0A000F">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5">
    <w:nsid w:val="533674B8"/>
    <w:multiLevelType w:val="hybridMultilevel"/>
    <w:tmpl w:val="E542D7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549F2397"/>
    <w:multiLevelType w:val="hybridMultilevel"/>
    <w:tmpl w:val="981CEF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54DA0060"/>
    <w:multiLevelType w:val="multilevel"/>
    <w:tmpl w:val="0C0A001D"/>
    <w:styleLink w:val="Listaespecialroja"/>
    <w:lvl w:ilvl="0">
      <w:start w:val="1"/>
      <w:numFmt w:val="bullet"/>
      <w:pStyle w:val="Prrafolistaespecialroja"/>
      <w:lvlText w:val=""/>
      <w:lvlPicBulletId w:val="1"/>
      <w:lvlJc w:val="left"/>
      <w:pPr>
        <w:ind w:left="360" w:hanging="360"/>
      </w:pPr>
      <w:rPr>
        <w:rFonts w:ascii="Symbol" w:hAnsi="Symbol" w:hint="default"/>
        <w:color w:val="E62E00" w:themeColor="accent2"/>
        <w:sz w:val="24"/>
      </w:rPr>
    </w:lvl>
    <w:lvl w:ilvl="1">
      <w:start w:val="1"/>
      <w:numFmt w:val="bullet"/>
      <w:lvlText w:val="•"/>
      <w:lvlJc w:val="left"/>
      <w:pPr>
        <w:ind w:left="1069" w:hanging="360"/>
      </w:pPr>
      <w:rPr>
        <w:rFonts w:ascii="STIXSizeFiveSym-Regular" w:hAnsi="STIXSizeFiveSym-Regular" w:hint="default"/>
        <w:color w:val="97A4AC" w:themeColor="text2"/>
      </w:rPr>
    </w:lvl>
    <w:lvl w:ilvl="2">
      <w:start w:val="1"/>
      <w:numFmt w:val="bullet"/>
      <w:lvlText w:val=""/>
      <w:lvlJc w:val="left"/>
      <w:pPr>
        <w:ind w:left="1778" w:hanging="360"/>
      </w:pPr>
      <w:rPr>
        <w:rFonts w:ascii="Symbol" w:hAnsi="Symbol" w:hint="default"/>
      </w:rPr>
    </w:lvl>
    <w:lvl w:ilvl="3">
      <w:start w:val="1"/>
      <w:numFmt w:val="none"/>
      <w:lvlText w:val="(%4)"/>
      <w:lvlJc w:val="left"/>
      <w:pPr>
        <w:ind w:left="2487" w:hanging="360"/>
      </w:pPr>
    </w:lvl>
    <w:lvl w:ilvl="4">
      <w:start w:val="1"/>
      <w:numFmt w:val="none"/>
      <w:lvlText w:val="(%5)"/>
      <w:lvlJc w:val="left"/>
      <w:pPr>
        <w:ind w:left="2487" w:hanging="360"/>
      </w:pPr>
    </w:lvl>
    <w:lvl w:ilvl="5">
      <w:start w:val="1"/>
      <w:numFmt w:val="none"/>
      <w:lvlText w:val="(%6)"/>
      <w:lvlJc w:val="left"/>
      <w:pPr>
        <w:ind w:left="2487" w:hanging="360"/>
      </w:pPr>
    </w:lvl>
    <w:lvl w:ilvl="6">
      <w:start w:val="1"/>
      <w:numFmt w:val="none"/>
      <w:lvlText w:val="%7."/>
      <w:lvlJc w:val="left"/>
      <w:pPr>
        <w:ind w:left="2487" w:hanging="360"/>
      </w:pPr>
    </w:lvl>
    <w:lvl w:ilvl="7">
      <w:start w:val="1"/>
      <w:numFmt w:val="none"/>
      <w:lvlText w:val="%8."/>
      <w:lvlJc w:val="left"/>
      <w:pPr>
        <w:ind w:left="2487" w:hanging="360"/>
      </w:pPr>
    </w:lvl>
    <w:lvl w:ilvl="8">
      <w:start w:val="1"/>
      <w:numFmt w:val="none"/>
      <w:lvlText w:val="%9"/>
      <w:lvlJc w:val="left"/>
      <w:pPr>
        <w:ind w:left="2487" w:hanging="360"/>
      </w:pPr>
      <w:rPr>
        <w:rFonts w:ascii="Times New Roman" w:hAnsi="Times New Roman" w:hint="default"/>
      </w:rPr>
    </w:lvl>
  </w:abstractNum>
  <w:abstractNum w:abstractNumId="38">
    <w:nsid w:val="585B7543"/>
    <w:multiLevelType w:val="multilevel"/>
    <w:tmpl w:val="5562FCD8"/>
    <w:numStyleLink w:val="Sublista"/>
  </w:abstractNum>
  <w:abstractNum w:abstractNumId="39">
    <w:nsid w:val="58CA7E2A"/>
    <w:multiLevelType w:val="multilevel"/>
    <w:tmpl w:val="0C0A001D"/>
    <w:numStyleLink w:val="Listaespecialblanca"/>
  </w:abstractNum>
  <w:abstractNum w:abstractNumId="40">
    <w:nsid w:val="59AE3362"/>
    <w:multiLevelType w:val="multilevel"/>
    <w:tmpl w:val="0C0A001D"/>
    <w:styleLink w:val="Listaespecialblanca"/>
    <w:lvl w:ilvl="0">
      <w:start w:val="1"/>
      <w:numFmt w:val="bullet"/>
      <w:pStyle w:val="Prrafolistaespecialblanca"/>
      <w:lvlText w:val=""/>
      <w:lvlPicBulletId w:val="2"/>
      <w:lvlJc w:val="left"/>
      <w:pPr>
        <w:ind w:left="360" w:hanging="360"/>
      </w:pPr>
      <w:rPr>
        <w:rFonts w:ascii="Symbol" w:hAnsi="Symbol" w:hint="default"/>
        <w:color w:val="FFFFFF" w:themeColor="background2"/>
        <w:sz w:val="24"/>
      </w:rPr>
    </w:lvl>
    <w:lvl w:ilvl="1">
      <w:start w:val="1"/>
      <w:numFmt w:val="bullet"/>
      <w:lvlText w:val="•"/>
      <w:lvlJc w:val="left"/>
      <w:pPr>
        <w:ind w:left="1069" w:hanging="360"/>
      </w:pPr>
      <w:rPr>
        <w:rFonts w:ascii="STIXSizeFiveSym-Regular" w:hAnsi="STIXSizeFiveSym-Regular" w:hint="default"/>
        <w:color w:val="97A4AC" w:themeColor="text2"/>
      </w:rPr>
    </w:lvl>
    <w:lvl w:ilvl="2">
      <w:start w:val="1"/>
      <w:numFmt w:val="bullet"/>
      <w:lvlText w:val=""/>
      <w:lvlJc w:val="left"/>
      <w:pPr>
        <w:ind w:left="1778" w:hanging="360"/>
      </w:pPr>
      <w:rPr>
        <w:rFonts w:ascii="Symbol" w:hAnsi="Symbol" w:hint="default"/>
      </w:rPr>
    </w:lvl>
    <w:lvl w:ilvl="3">
      <w:start w:val="1"/>
      <w:numFmt w:val="none"/>
      <w:lvlText w:val="(%4)"/>
      <w:lvlJc w:val="left"/>
      <w:pPr>
        <w:ind w:left="2487" w:hanging="360"/>
      </w:pPr>
    </w:lvl>
    <w:lvl w:ilvl="4">
      <w:start w:val="1"/>
      <w:numFmt w:val="none"/>
      <w:lvlText w:val="(%5)"/>
      <w:lvlJc w:val="left"/>
      <w:pPr>
        <w:ind w:left="2487" w:hanging="360"/>
      </w:pPr>
    </w:lvl>
    <w:lvl w:ilvl="5">
      <w:start w:val="1"/>
      <w:numFmt w:val="none"/>
      <w:lvlText w:val="(%6)"/>
      <w:lvlJc w:val="left"/>
      <w:pPr>
        <w:ind w:left="2487" w:hanging="360"/>
      </w:pPr>
    </w:lvl>
    <w:lvl w:ilvl="6">
      <w:start w:val="1"/>
      <w:numFmt w:val="none"/>
      <w:lvlText w:val="%7."/>
      <w:lvlJc w:val="left"/>
      <w:pPr>
        <w:ind w:left="2487" w:hanging="360"/>
      </w:pPr>
    </w:lvl>
    <w:lvl w:ilvl="7">
      <w:start w:val="1"/>
      <w:numFmt w:val="none"/>
      <w:lvlText w:val="%8."/>
      <w:lvlJc w:val="left"/>
      <w:pPr>
        <w:ind w:left="2487" w:hanging="360"/>
      </w:pPr>
    </w:lvl>
    <w:lvl w:ilvl="8">
      <w:start w:val="1"/>
      <w:numFmt w:val="none"/>
      <w:lvlText w:val="%9"/>
      <w:lvlJc w:val="left"/>
      <w:pPr>
        <w:ind w:left="2487" w:hanging="360"/>
      </w:pPr>
      <w:rPr>
        <w:rFonts w:ascii="Times New Roman" w:hAnsi="Times New Roman" w:hint="default"/>
      </w:rPr>
    </w:lvl>
  </w:abstractNum>
  <w:abstractNum w:abstractNumId="41">
    <w:nsid w:val="59F37C4F"/>
    <w:multiLevelType w:val="hybridMultilevel"/>
    <w:tmpl w:val="4E7A1C60"/>
    <w:lvl w:ilvl="0" w:tplc="2D4C3552">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CAB4D44"/>
    <w:multiLevelType w:val="multilevel"/>
    <w:tmpl w:val="0C0A001D"/>
    <w:styleLink w:val="Listaespecialazul"/>
    <w:lvl w:ilvl="0">
      <w:start w:val="1"/>
      <w:numFmt w:val="bullet"/>
      <w:pStyle w:val="Prrafolistaespecialazul"/>
      <w:lvlText w:val=""/>
      <w:lvlPicBulletId w:val="3"/>
      <w:lvlJc w:val="left"/>
      <w:pPr>
        <w:ind w:left="360" w:hanging="360"/>
      </w:pPr>
      <w:rPr>
        <w:rFonts w:ascii="Symbol" w:hAnsi="Symbol" w:hint="default"/>
        <w:color w:val="0A3F76" w:themeColor="accent1"/>
        <w:sz w:val="24"/>
      </w:rPr>
    </w:lvl>
    <w:lvl w:ilvl="1">
      <w:start w:val="1"/>
      <w:numFmt w:val="bullet"/>
      <w:lvlText w:val="•"/>
      <w:lvlJc w:val="left"/>
      <w:pPr>
        <w:ind w:left="1069" w:hanging="360"/>
      </w:pPr>
      <w:rPr>
        <w:rFonts w:ascii="STIXSizeFiveSym-Regular" w:hAnsi="STIXSizeFiveSym-Regular" w:hint="default"/>
        <w:color w:val="97A4AC" w:themeColor="text2"/>
      </w:rPr>
    </w:lvl>
    <w:lvl w:ilvl="2">
      <w:start w:val="1"/>
      <w:numFmt w:val="bullet"/>
      <w:lvlText w:val=""/>
      <w:lvlJc w:val="left"/>
      <w:pPr>
        <w:ind w:left="1778" w:hanging="360"/>
      </w:pPr>
      <w:rPr>
        <w:rFonts w:ascii="Symbol" w:hAnsi="Symbol" w:hint="default"/>
      </w:rPr>
    </w:lvl>
    <w:lvl w:ilvl="3">
      <w:start w:val="1"/>
      <w:numFmt w:val="none"/>
      <w:lvlText w:val="(%4)"/>
      <w:lvlJc w:val="left"/>
      <w:pPr>
        <w:ind w:left="2487" w:hanging="360"/>
      </w:pPr>
    </w:lvl>
    <w:lvl w:ilvl="4">
      <w:start w:val="1"/>
      <w:numFmt w:val="none"/>
      <w:lvlText w:val="(%5)"/>
      <w:lvlJc w:val="left"/>
      <w:pPr>
        <w:ind w:left="2487" w:hanging="360"/>
      </w:pPr>
    </w:lvl>
    <w:lvl w:ilvl="5">
      <w:start w:val="1"/>
      <w:numFmt w:val="none"/>
      <w:lvlText w:val="(%6)"/>
      <w:lvlJc w:val="left"/>
      <w:pPr>
        <w:ind w:left="2487" w:hanging="360"/>
      </w:pPr>
    </w:lvl>
    <w:lvl w:ilvl="6">
      <w:start w:val="1"/>
      <w:numFmt w:val="none"/>
      <w:lvlText w:val="%7."/>
      <w:lvlJc w:val="left"/>
      <w:pPr>
        <w:ind w:left="2487" w:hanging="360"/>
      </w:pPr>
    </w:lvl>
    <w:lvl w:ilvl="7">
      <w:start w:val="1"/>
      <w:numFmt w:val="none"/>
      <w:lvlText w:val="%8."/>
      <w:lvlJc w:val="left"/>
      <w:pPr>
        <w:ind w:left="2487" w:hanging="360"/>
      </w:pPr>
    </w:lvl>
    <w:lvl w:ilvl="8">
      <w:start w:val="1"/>
      <w:numFmt w:val="none"/>
      <w:lvlText w:val="%9"/>
      <w:lvlJc w:val="left"/>
      <w:pPr>
        <w:ind w:left="2487" w:hanging="360"/>
      </w:pPr>
      <w:rPr>
        <w:rFonts w:ascii="Times New Roman" w:hAnsi="Times New Roman" w:hint="default"/>
      </w:rPr>
    </w:lvl>
  </w:abstractNum>
  <w:abstractNum w:abstractNumId="43">
    <w:nsid w:val="5CDF1885"/>
    <w:multiLevelType w:val="hybridMultilevel"/>
    <w:tmpl w:val="A44212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nsid w:val="628A0A6F"/>
    <w:multiLevelType w:val="hybridMultilevel"/>
    <w:tmpl w:val="06203F8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nsid w:val="62D665B9"/>
    <w:multiLevelType w:val="hybridMultilevel"/>
    <w:tmpl w:val="92A4465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nsid w:val="68C52917"/>
    <w:multiLevelType w:val="multilevel"/>
    <w:tmpl w:val="0C0A001D"/>
    <w:numStyleLink w:val="Listaespecialazul"/>
  </w:abstractNum>
  <w:abstractNum w:abstractNumId="47">
    <w:nsid w:val="6D14651F"/>
    <w:multiLevelType w:val="hybridMultilevel"/>
    <w:tmpl w:val="68C26736"/>
    <w:lvl w:ilvl="0" w:tplc="203CE678">
      <w:start w:val="1"/>
      <w:numFmt w:val="lowerLetter"/>
      <w:lvlText w:val="%1."/>
      <w:lvlJc w:val="left"/>
      <w:pPr>
        <w:tabs>
          <w:tab w:val="num" w:pos="720"/>
        </w:tabs>
        <w:ind w:left="720" w:hanging="360"/>
      </w:pPr>
      <w:rPr>
        <w:rFonts w:hint="default"/>
        <w:b/>
        <w:i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1521FEE"/>
    <w:multiLevelType w:val="hybridMultilevel"/>
    <w:tmpl w:val="55727D7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9">
    <w:nsid w:val="72FA3323"/>
    <w:multiLevelType w:val="hybridMultilevel"/>
    <w:tmpl w:val="7406A86A"/>
    <w:lvl w:ilvl="0" w:tplc="1C0A0013">
      <w:start w:val="1"/>
      <w:numFmt w:val="upperRoman"/>
      <w:lvlText w:val="%1."/>
      <w:lvlJc w:val="right"/>
      <w:pPr>
        <w:ind w:left="720" w:hanging="360"/>
      </w:pPr>
    </w:lvl>
    <w:lvl w:ilvl="1" w:tplc="0024CD76">
      <w:start w:val="1"/>
      <w:numFmt w:val="decimal"/>
      <w:lvlText w:val="%2."/>
      <w:lvlJc w:val="left"/>
      <w:pPr>
        <w:ind w:left="1440" w:hanging="360"/>
      </w:pPr>
      <w:rPr>
        <w:rFonts w:hint="default"/>
      </w:rPr>
    </w:lvl>
    <w:lvl w:ilvl="2" w:tplc="D3DA145A">
      <w:start w:val="1"/>
      <w:numFmt w:val="decimal"/>
      <w:lvlText w:val="%3)"/>
      <w:lvlJc w:val="left"/>
      <w:pPr>
        <w:ind w:left="1980" w:firstLine="0"/>
      </w:pPr>
      <w:rPr>
        <w:rFonts w:hint="default"/>
      </w:rPr>
    </w:lvl>
    <w:lvl w:ilvl="3" w:tplc="7EF6057C">
      <w:numFmt w:val="bullet"/>
      <w:lvlText w:val="•"/>
      <w:lvlJc w:val="left"/>
      <w:pPr>
        <w:ind w:left="2880" w:hanging="360"/>
      </w:pPr>
      <w:rPr>
        <w:rFonts w:ascii="Arial" w:eastAsiaTheme="minorEastAsia" w:hAnsi="Arial" w:cs="Arial" w:hint="default"/>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nsid w:val="75120601"/>
    <w:multiLevelType w:val="hybridMultilevel"/>
    <w:tmpl w:val="0EC03D3C"/>
    <w:lvl w:ilvl="0" w:tplc="E862B1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517E16"/>
    <w:multiLevelType w:val="multilevel"/>
    <w:tmpl w:val="0C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8262C10"/>
    <w:multiLevelType w:val="hybridMultilevel"/>
    <w:tmpl w:val="2572DFE0"/>
    <w:lvl w:ilvl="0" w:tplc="060EC0E0">
      <w:start w:val="16"/>
      <w:numFmt w:val="lowerLetter"/>
      <w:lvlText w:val="%1."/>
      <w:lvlJc w:val="left"/>
      <w:pPr>
        <w:tabs>
          <w:tab w:val="num" w:pos="720"/>
        </w:tabs>
        <w:ind w:left="720" w:hanging="360"/>
      </w:pPr>
      <w:rPr>
        <w:rFonts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83D0F8A"/>
    <w:multiLevelType w:val="multilevel"/>
    <w:tmpl w:val="0C0A001D"/>
    <w:styleLink w:val="Listaenumerada"/>
    <w:lvl w:ilvl="0">
      <w:start w:val="1"/>
      <w:numFmt w:val="decimal"/>
      <w:pStyle w:val="Prrafolistaenumeradaprincipal"/>
      <w:lvlText w:val="%1)"/>
      <w:lvlJc w:val="left"/>
      <w:pPr>
        <w:ind w:left="360" w:hanging="360"/>
      </w:pPr>
      <w:rPr>
        <w:rFonts w:ascii="Avenir Black" w:hAnsi="Avenir Black"/>
        <w:color w:val="E62E00" w:themeColor="accent2"/>
        <w:sz w:val="22"/>
      </w:rPr>
    </w:lvl>
    <w:lvl w:ilvl="1">
      <w:start w:val="1"/>
      <w:numFmt w:val="upperLetter"/>
      <w:lvlText w:val="%2)"/>
      <w:lvlJc w:val="left"/>
      <w:pPr>
        <w:ind w:left="1069" w:hanging="360"/>
      </w:pPr>
      <w:rPr>
        <w:rFonts w:ascii="Avenir Heavy" w:hAnsi="Avenir Heavy"/>
        <w:color w:val="97A4AC" w:themeColor="text2"/>
        <w:sz w:val="22"/>
      </w:rPr>
    </w:lvl>
    <w:lvl w:ilvl="2">
      <w:start w:val="1"/>
      <w:numFmt w:val="lowerLetter"/>
      <w:lvlText w:val="%3)"/>
      <w:lvlJc w:val="left"/>
      <w:pPr>
        <w:ind w:left="1778" w:hanging="360"/>
      </w:pPr>
      <w:rPr>
        <w:rFonts w:ascii="Avenir Roman" w:hAnsi="Avenir Roman"/>
        <w:color w:val="0A3F76" w:themeColor="accent1"/>
        <w:sz w:val="22"/>
      </w:rPr>
    </w:lvl>
    <w:lvl w:ilvl="3">
      <w:start w:val="1"/>
      <w:numFmt w:val="none"/>
      <w:lvlText w:val="(%4)"/>
      <w:lvlJc w:val="left"/>
      <w:pPr>
        <w:ind w:left="1778" w:hanging="360"/>
      </w:pPr>
    </w:lvl>
    <w:lvl w:ilvl="4">
      <w:start w:val="1"/>
      <w:numFmt w:val="none"/>
      <w:lvlText w:val="(%5)"/>
      <w:lvlJc w:val="left"/>
      <w:pPr>
        <w:ind w:left="1800" w:hanging="360"/>
      </w:pPr>
    </w:lvl>
    <w:lvl w:ilvl="5">
      <w:start w:val="1"/>
      <w:numFmt w:val="none"/>
      <w:lvlText w:val="(%6)"/>
      <w:lvlJc w:val="left"/>
      <w:pPr>
        <w:ind w:left="1778" w:hanging="360"/>
      </w:pPr>
    </w:lvl>
    <w:lvl w:ilvl="6">
      <w:start w:val="1"/>
      <w:numFmt w:val="none"/>
      <w:lvlText w:val="%7."/>
      <w:lvlJc w:val="left"/>
      <w:pPr>
        <w:ind w:left="1778" w:hanging="360"/>
      </w:pPr>
    </w:lvl>
    <w:lvl w:ilvl="7">
      <w:start w:val="1"/>
      <w:numFmt w:val="none"/>
      <w:lvlText w:val="%8."/>
      <w:lvlJc w:val="left"/>
      <w:pPr>
        <w:ind w:left="1778" w:hanging="360"/>
      </w:pPr>
    </w:lvl>
    <w:lvl w:ilvl="8">
      <w:start w:val="1"/>
      <w:numFmt w:val="none"/>
      <w:lvlText w:val="%9."/>
      <w:lvlJc w:val="left"/>
      <w:pPr>
        <w:ind w:left="1778" w:hanging="360"/>
      </w:pPr>
    </w:lvl>
  </w:abstractNum>
  <w:abstractNum w:abstractNumId="54">
    <w:nsid w:val="7919111B"/>
    <w:multiLevelType w:val="multilevel"/>
    <w:tmpl w:val="EE3E6262"/>
    <w:numStyleLink w:val="Sublistaenumerada"/>
  </w:abstractNum>
  <w:abstractNum w:abstractNumId="55">
    <w:nsid w:val="79BD0D2E"/>
    <w:multiLevelType w:val="hybridMultilevel"/>
    <w:tmpl w:val="B8064176"/>
    <w:lvl w:ilvl="0" w:tplc="1C0A0003">
      <w:start w:val="1"/>
      <w:numFmt w:val="bullet"/>
      <w:lvlText w:val="o"/>
      <w:lvlJc w:val="left"/>
      <w:pPr>
        <w:ind w:left="1854" w:hanging="360"/>
      </w:pPr>
      <w:rPr>
        <w:rFonts w:ascii="Courier New" w:hAnsi="Courier New" w:cs="Courier New" w:hint="default"/>
      </w:rPr>
    </w:lvl>
    <w:lvl w:ilvl="1" w:tplc="1C0A0003" w:tentative="1">
      <w:start w:val="1"/>
      <w:numFmt w:val="bullet"/>
      <w:lvlText w:val="o"/>
      <w:lvlJc w:val="left"/>
      <w:pPr>
        <w:ind w:left="2574" w:hanging="360"/>
      </w:pPr>
      <w:rPr>
        <w:rFonts w:ascii="Courier New" w:hAnsi="Courier New" w:cs="Courier New" w:hint="default"/>
      </w:rPr>
    </w:lvl>
    <w:lvl w:ilvl="2" w:tplc="1C0A0005" w:tentative="1">
      <w:start w:val="1"/>
      <w:numFmt w:val="bullet"/>
      <w:lvlText w:val=""/>
      <w:lvlJc w:val="left"/>
      <w:pPr>
        <w:ind w:left="3294" w:hanging="360"/>
      </w:pPr>
      <w:rPr>
        <w:rFonts w:ascii="Wingdings" w:hAnsi="Wingdings" w:hint="default"/>
      </w:rPr>
    </w:lvl>
    <w:lvl w:ilvl="3" w:tplc="1C0A0001" w:tentative="1">
      <w:start w:val="1"/>
      <w:numFmt w:val="bullet"/>
      <w:lvlText w:val=""/>
      <w:lvlJc w:val="left"/>
      <w:pPr>
        <w:ind w:left="4014" w:hanging="360"/>
      </w:pPr>
      <w:rPr>
        <w:rFonts w:ascii="Symbol" w:hAnsi="Symbol" w:hint="default"/>
      </w:rPr>
    </w:lvl>
    <w:lvl w:ilvl="4" w:tplc="1C0A0003" w:tentative="1">
      <w:start w:val="1"/>
      <w:numFmt w:val="bullet"/>
      <w:lvlText w:val="o"/>
      <w:lvlJc w:val="left"/>
      <w:pPr>
        <w:ind w:left="4734" w:hanging="360"/>
      </w:pPr>
      <w:rPr>
        <w:rFonts w:ascii="Courier New" w:hAnsi="Courier New" w:cs="Courier New" w:hint="default"/>
      </w:rPr>
    </w:lvl>
    <w:lvl w:ilvl="5" w:tplc="1C0A0005" w:tentative="1">
      <w:start w:val="1"/>
      <w:numFmt w:val="bullet"/>
      <w:lvlText w:val=""/>
      <w:lvlJc w:val="left"/>
      <w:pPr>
        <w:ind w:left="5454" w:hanging="360"/>
      </w:pPr>
      <w:rPr>
        <w:rFonts w:ascii="Wingdings" w:hAnsi="Wingdings" w:hint="default"/>
      </w:rPr>
    </w:lvl>
    <w:lvl w:ilvl="6" w:tplc="1C0A0001" w:tentative="1">
      <w:start w:val="1"/>
      <w:numFmt w:val="bullet"/>
      <w:lvlText w:val=""/>
      <w:lvlJc w:val="left"/>
      <w:pPr>
        <w:ind w:left="6174" w:hanging="360"/>
      </w:pPr>
      <w:rPr>
        <w:rFonts w:ascii="Symbol" w:hAnsi="Symbol" w:hint="default"/>
      </w:rPr>
    </w:lvl>
    <w:lvl w:ilvl="7" w:tplc="1C0A0003" w:tentative="1">
      <w:start w:val="1"/>
      <w:numFmt w:val="bullet"/>
      <w:lvlText w:val="o"/>
      <w:lvlJc w:val="left"/>
      <w:pPr>
        <w:ind w:left="6894" w:hanging="360"/>
      </w:pPr>
      <w:rPr>
        <w:rFonts w:ascii="Courier New" w:hAnsi="Courier New" w:cs="Courier New" w:hint="default"/>
      </w:rPr>
    </w:lvl>
    <w:lvl w:ilvl="8" w:tplc="1C0A0005" w:tentative="1">
      <w:start w:val="1"/>
      <w:numFmt w:val="bullet"/>
      <w:lvlText w:val=""/>
      <w:lvlJc w:val="left"/>
      <w:pPr>
        <w:ind w:left="7614" w:hanging="360"/>
      </w:pPr>
      <w:rPr>
        <w:rFonts w:ascii="Wingdings" w:hAnsi="Wingdings" w:hint="default"/>
      </w:rPr>
    </w:lvl>
  </w:abstractNum>
  <w:abstractNum w:abstractNumId="56">
    <w:nsid w:val="7BDF7CFB"/>
    <w:multiLevelType w:val="hybridMultilevel"/>
    <w:tmpl w:val="5546B67C"/>
    <w:lvl w:ilvl="0" w:tplc="557C027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nsid w:val="7BE7109E"/>
    <w:multiLevelType w:val="hybridMultilevel"/>
    <w:tmpl w:val="68C26736"/>
    <w:lvl w:ilvl="0" w:tplc="203CE678">
      <w:start w:val="1"/>
      <w:numFmt w:val="lowerLetter"/>
      <w:lvlText w:val="%1."/>
      <w:lvlJc w:val="left"/>
      <w:pPr>
        <w:tabs>
          <w:tab w:val="num" w:pos="720"/>
        </w:tabs>
        <w:ind w:left="720" w:hanging="360"/>
      </w:pPr>
      <w:rPr>
        <w:rFonts w:hint="default"/>
        <w:b/>
        <w:i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C496210"/>
    <w:multiLevelType w:val="multilevel"/>
    <w:tmpl w:val="EE3E6262"/>
    <w:styleLink w:val="Sublistaenumerada"/>
    <w:lvl w:ilvl="0">
      <w:start w:val="1"/>
      <w:numFmt w:val="decimal"/>
      <w:pStyle w:val="Prrafosublistaenumerada"/>
      <w:lvlText w:val="%1)"/>
      <w:lvlJc w:val="left"/>
      <w:pPr>
        <w:ind w:left="624" w:hanging="511"/>
      </w:pPr>
      <w:rPr>
        <w:rFonts w:ascii="Avenir Heavy" w:hAnsi="Avenir Heavy" w:hint="default"/>
        <w:color w:val="0A3F76" w:themeColor="accent1"/>
        <w:sz w:val="22"/>
        <w:szCs w:val="22"/>
      </w:rPr>
    </w:lvl>
    <w:lvl w:ilvl="1">
      <w:start w:val="1"/>
      <w:numFmt w:val="none"/>
      <w:lvlText w:val="%2)"/>
      <w:lvlJc w:val="left"/>
      <w:pPr>
        <w:ind w:left="1778" w:hanging="360"/>
      </w:pPr>
      <w:rPr>
        <w:rFonts w:ascii="Avenir Heavy" w:hAnsi="Avenir Heavy" w:hint="default"/>
        <w:color w:val="97A4AC" w:themeColor="text2"/>
        <w:sz w:val="22"/>
      </w:rPr>
    </w:lvl>
    <w:lvl w:ilvl="2">
      <w:start w:val="1"/>
      <w:numFmt w:val="none"/>
      <w:lvlText w:val="%3)"/>
      <w:lvlJc w:val="left"/>
      <w:pPr>
        <w:ind w:left="1778" w:hanging="360"/>
      </w:pPr>
      <w:rPr>
        <w:rFonts w:ascii="Avenir Roman" w:hAnsi="Avenir Roman" w:hint="default"/>
        <w:color w:val="0A3F76" w:themeColor="accent1"/>
        <w:sz w:val="22"/>
      </w:rPr>
    </w:lvl>
    <w:lvl w:ilvl="3">
      <w:start w:val="1"/>
      <w:numFmt w:val="none"/>
      <w:lvlText w:val="(%4)"/>
      <w:lvlJc w:val="left"/>
      <w:pPr>
        <w:ind w:left="1778"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1778" w:hanging="360"/>
      </w:pPr>
      <w:rPr>
        <w:rFonts w:hint="default"/>
      </w:rPr>
    </w:lvl>
    <w:lvl w:ilvl="6">
      <w:start w:val="1"/>
      <w:numFmt w:val="none"/>
      <w:lvlText w:val="%7."/>
      <w:lvlJc w:val="left"/>
      <w:pPr>
        <w:ind w:left="1778" w:hanging="360"/>
      </w:pPr>
      <w:rPr>
        <w:rFonts w:hint="default"/>
      </w:rPr>
    </w:lvl>
    <w:lvl w:ilvl="7">
      <w:start w:val="1"/>
      <w:numFmt w:val="none"/>
      <w:lvlText w:val="%8."/>
      <w:lvlJc w:val="left"/>
      <w:pPr>
        <w:ind w:left="1778" w:hanging="360"/>
      </w:pPr>
      <w:rPr>
        <w:rFonts w:hint="default"/>
      </w:rPr>
    </w:lvl>
    <w:lvl w:ilvl="8">
      <w:start w:val="1"/>
      <w:numFmt w:val="none"/>
      <w:lvlText w:val="%9."/>
      <w:lvlJc w:val="left"/>
      <w:pPr>
        <w:ind w:left="1778" w:hanging="360"/>
      </w:pPr>
      <w:rPr>
        <w:rFonts w:hint="default"/>
      </w:rPr>
    </w:lvl>
  </w:abstractNum>
  <w:num w:numId="1">
    <w:abstractNumId w:val="51"/>
  </w:num>
  <w:num w:numId="2">
    <w:abstractNumId w:val="32"/>
  </w:num>
  <w:num w:numId="3">
    <w:abstractNumId w:val="3"/>
  </w:num>
  <w:num w:numId="4">
    <w:abstractNumId w:val="33"/>
  </w:num>
  <w:num w:numId="5">
    <w:abstractNumId w:val="42"/>
  </w:num>
  <w:num w:numId="6">
    <w:abstractNumId w:val="37"/>
  </w:num>
  <w:num w:numId="7">
    <w:abstractNumId w:val="40"/>
  </w:num>
  <w:num w:numId="8">
    <w:abstractNumId w:val="6"/>
  </w:num>
  <w:num w:numId="9">
    <w:abstractNumId w:val="46"/>
  </w:num>
  <w:num w:numId="10">
    <w:abstractNumId w:val="2"/>
  </w:num>
  <w:num w:numId="11">
    <w:abstractNumId w:val="53"/>
  </w:num>
  <w:num w:numId="12">
    <w:abstractNumId w:val="25"/>
  </w:num>
  <w:num w:numId="13">
    <w:abstractNumId w:val="21"/>
  </w:num>
  <w:num w:numId="14">
    <w:abstractNumId w:val="38"/>
  </w:num>
  <w:num w:numId="15">
    <w:abstractNumId w:val="58"/>
  </w:num>
  <w:num w:numId="16">
    <w:abstractNumId w:val="17"/>
  </w:num>
  <w:num w:numId="17">
    <w:abstractNumId w:val="30"/>
  </w:num>
  <w:num w:numId="18">
    <w:abstractNumId w:val="29"/>
  </w:num>
  <w:num w:numId="19">
    <w:abstractNumId w:val="54"/>
  </w:num>
  <w:num w:numId="20">
    <w:abstractNumId w:val="39"/>
  </w:num>
  <w:num w:numId="21">
    <w:abstractNumId w:val="28"/>
  </w:num>
  <w:num w:numId="22">
    <w:abstractNumId w:val="9"/>
  </w:num>
  <w:num w:numId="23">
    <w:abstractNumId w:val="49"/>
  </w:num>
  <w:num w:numId="24">
    <w:abstractNumId w:val="7"/>
  </w:num>
  <w:num w:numId="25">
    <w:abstractNumId w:val="23"/>
  </w:num>
  <w:num w:numId="26">
    <w:abstractNumId w:val="14"/>
  </w:num>
  <w:num w:numId="27">
    <w:abstractNumId w:val="55"/>
  </w:num>
  <w:num w:numId="28">
    <w:abstractNumId w:val="56"/>
  </w:num>
  <w:num w:numId="29">
    <w:abstractNumId w:val="45"/>
  </w:num>
  <w:num w:numId="30">
    <w:abstractNumId w:val="19"/>
  </w:num>
  <w:num w:numId="31">
    <w:abstractNumId w:val="48"/>
  </w:num>
  <w:num w:numId="32">
    <w:abstractNumId w:val="18"/>
  </w:num>
  <w:num w:numId="33">
    <w:abstractNumId w:val="43"/>
  </w:num>
  <w:num w:numId="34">
    <w:abstractNumId w:val="26"/>
  </w:num>
  <w:num w:numId="35">
    <w:abstractNumId w:val="4"/>
  </w:num>
  <w:num w:numId="36">
    <w:abstractNumId w:val="22"/>
  </w:num>
  <w:num w:numId="37">
    <w:abstractNumId w:val="15"/>
  </w:num>
  <w:num w:numId="38">
    <w:abstractNumId w:val="5"/>
  </w:num>
  <w:num w:numId="39">
    <w:abstractNumId w:val="13"/>
  </w:num>
  <w:num w:numId="40">
    <w:abstractNumId w:val="20"/>
  </w:num>
  <w:num w:numId="41">
    <w:abstractNumId w:val="57"/>
  </w:num>
  <w:num w:numId="42">
    <w:abstractNumId w:val="34"/>
  </w:num>
  <w:num w:numId="43">
    <w:abstractNumId w:val="16"/>
  </w:num>
  <w:num w:numId="44">
    <w:abstractNumId w:val="44"/>
  </w:num>
  <w:num w:numId="45">
    <w:abstractNumId w:val="12"/>
  </w:num>
  <w:num w:numId="46">
    <w:abstractNumId w:val="11"/>
  </w:num>
  <w:num w:numId="47">
    <w:abstractNumId w:val="0"/>
  </w:num>
  <w:num w:numId="48">
    <w:abstractNumId w:val="35"/>
  </w:num>
  <w:num w:numId="49">
    <w:abstractNumId w:val="36"/>
  </w:num>
  <w:num w:numId="50">
    <w:abstractNumId w:val="27"/>
  </w:num>
  <w:num w:numId="51">
    <w:abstractNumId w:val="10"/>
  </w:num>
  <w:num w:numId="52">
    <w:abstractNumId w:val="1"/>
  </w:num>
  <w:num w:numId="53">
    <w:abstractNumId w:val="8"/>
  </w:num>
  <w:num w:numId="54">
    <w:abstractNumId w:val="50"/>
  </w:num>
  <w:num w:numId="55">
    <w:abstractNumId w:val="31"/>
  </w:num>
  <w:num w:numId="56">
    <w:abstractNumId w:val="41"/>
  </w:num>
  <w:num w:numId="57">
    <w:abstractNumId w:val="24"/>
  </w:num>
  <w:num w:numId="58">
    <w:abstractNumId w:val="47"/>
  </w:num>
  <w:num w:numId="59">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DO"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9"/>
  <w:hyphenationZone w:val="425"/>
  <w:defaultTableStyle w:val="Tablapredefinida"/>
  <w:drawingGridHorizontalSpacing w:val="181"/>
  <w:drawingGridVerticalSpacing w:val="181"/>
  <w:displayHorizontalDrawingGridEvery w:val="0"/>
  <w:doNotUseMarginsForDrawingGridOrigin/>
  <w:drawingGridHorizontalOrigin w:val="1077"/>
  <w:drawingGridVerticalOrigin w:val="144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8CB"/>
    <w:rsid w:val="00000085"/>
    <w:rsid w:val="00000108"/>
    <w:rsid w:val="000015DB"/>
    <w:rsid w:val="00002AF0"/>
    <w:rsid w:val="000047B2"/>
    <w:rsid w:val="00004B1D"/>
    <w:rsid w:val="00004D55"/>
    <w:rsid w:val="00005668"/>
    <w:rsid w:val="000059AB"/>
    <w:rsid w:val="00005BA4"/>
    <w:rsid w:val="0000610C"/>
    <w:rsid w:val="00007224"/>
    <w:rsid w:val="0001123E"/>
    <w:rsid w:val="0001159E"/>
    <w:rsid w:val="00012FE8"/>
    <w:rsid w:val="00013046"/>
    <w:rsid w:val="00013233"/>
    <w:rsid w:val="000133EB"/>
    <w:rsid w:val="000146D4"/>
    <w:rsid w:val="00014955"/>
    <w:rsid w:val="00015B80"/>
    <w:rsid w:val="000164A8"/>
    <w:rsid w:val="00016A6D"/>
    <w:rsid w:val="00016E4A"/>
    <w:rsid w:val="0002007E"/>
    <w:rsid w:val="000200D4"/>
    <w:rsid w:val="00020538"/>
    <w:rsid w:val="000216AF"/>
    <w:rsid w:val="00022871"/>
    <w:rsid w:val="0002330D"/>
    <w:rsid w:val="00024B81"/>
    <w:rsid w:val="00024C6F"/>
    <w:rsid w:val="00025007"/>
    <w:rsid w:val="0002546E"/>
    <w:rsid w:val="00025D25"/>
    <w:rsid w:val="00027232"/>
    <w:rsid w:val="00027ABD"/>
    <w:rsid w:val="0003044A"/>
    <w:rsid w:val="00031A8E"/>
    <w:rsid w:val="00031AEE"/>
    <w:rsid w:val="00032B17"/>
    <w:rsid w:val="00032E51"/>
    <w:rsid w:val="00032E72"/>
    <w:rsid w:val="000334EE"/>
    <w:rsid w:val="00033914"/>
    <w:rsid w:val="00033E2A"/>
    <w:rsid w:val="0003415A"/>
    <w:rsid w:val="0003501E"/>
    <w:rsid w:val="00035DAC"/>
    <w:rsid w:val="0003607F"/>
    <w:rsid w:val="00036A55"/>
    <w:rsid w:val="0003780B"/>
    <w:rsid w:val="000401E5"/>
    <w:rsid w:val="00040207"/>
    <w:rsid w:val="0004070E"/>
    <w:rsid w:val="0004159C"/>
    <w:rsid w:val="00042789"/>
    <w:rsid w:val="000442D7"/>
    <w:rsid w:val="0004457E"/>
    <w:rsid w:val="00046802"/>
    <w:rsid w:val="0004704E"/>
    <w:rsid w:val="00050D9D"/>
    <w:rsid w:val="00050E15"/>
    <w:rsid w:val="0005112C"/>
    <w:rsid w:val="00051F2A"/>
    <w:rsid w:val="00053709"/>
    <w:rsid w:val="00053C67"/>
    <w:rsid w:val="000549C0"/>
    <w:rsid w:val="0005565B"/>
    <w:rsid w:val="00055972"/>
    <w:rsid w:val="000568A7"/>
    <w:rsid w:val="000568B9"/>
    <w:rsid w:val="00057499"/>
    <w:rsid w:val="00057781"/>
    <w:rsid w:val="00057BAA"/>
    <w:rsid w:val="00057F00"/>
    <w:rsid w:val="000617DB"/>
    <w:rsid w:val="00062B5B"/>
    <w:rsid w:val="000632D3"/>
    <w:rsid w:val="00065014"/>
    <w:rsid w:val="000651EE"/>
    <w:rsid w:val="00065CD3"/>
    <w:rsid w:val="0006667B"/>
    <w:rsid w:val="00071226"/>
    <w:rsid w:val="000717EE"/>
    <w:rsid w:val="00071962"/>
    <w:rsid w:val="00072599"/>
    <w:rsid w:val="00073AB7"/>
    <w:rsid w:val="00073E6D"/>
    <w:rsid w:val="00074794"/>
    <w:rsid w:val="00080FB3"/>
    <w:rsid w:val="00082074"/>
    <w:rsid w:val="00082178"/>
    <w:rsid w:val="00082BFE"/>
    <w:rsid w:val="00082D0F"/>
    <w:rsid w:val="00083185"/>
    <w:rsid w:val="000839AD"/>
    <w:rsid w:val="00083C10"/>
    <w:rsid w:val="00086C4B"/>
    <w:rsid w:val="0009001C"/>
    <w:rsid w:val="0009164C"/>
    <w:rsid w:val="00092147"/>
    <w:rsid w:val="000925F5"/>
    <w:rsid w:val="00092A8F"/>
    <w:rsid w:val="00093035"/>
    <w:rsid w:val="000948F1"/>
    <w:rsid w:val="00095BB1"/>
    <w:rsid w:val="00095D26"/>
    <w:rsid w:val="00095F79"/>
    <w:rsid w:val="00096FB7"/>
    <w:rsid w:val="00097030"/>
    <w:rsid w:val="000A053D"/>
    <w:rsid w:val="000A124D"/>
    <w:rsid w:val="000A1F47"/>
    <w:rsid w:val="000A29F1"/>
    <w:rsid w:val="000A2D9F"/>
    <w:rsid w:val="000A3875"/>
    <w:rsid w:val="000A3986"/>
    <w:rsid w:val="000A41CC"/>
    <w:rsid w:val="000A461F"/>
    <w:rsid w:val="000A56F2"/>
    <w:rsid w:val="000A64B6"/>
    <w:rsid w:val="000A6F5C"/>
    <w:rsid w:val="000A7C65"/>
    <w:rsid w:val="000A7F52"/>
    <w:rsid w:val="000A7F63"/>
    <w:rsid w:val="000B0990"/>
    <w:rsid w:val="000B1B6B"/>
    <w:rsid w:val="000B1D8B"/>
    <w:rsid w:val="000B2703"/>
    <w:rsid w:val="000B4BAD"/>
    <w:rsid w:val="000B520B"/>
    <w:rsid w:val="000B57B3"/>
    <w:rsid w:val="000B622F"/>
    <w:rsid w:val="000B69C6"/>
    <w:rsid w:val="000B6BB1"/>
    <w:rsid w:val="000B7A7A"/>
    <w:rsid w:val="000C030E"/>
    <w:rsid w:val="000C1121"/>
    <w:rsid w:val="000C186B"/>
    <w:rsid w:val="000C1947"/>
    <w:rsid w:val="000C1C13"/>
    <w:rsid w:val="000C4917"/>
    <w:rsid w:val="000C5333"/>
    <w:rsid w:val="000C6E2C"/>
    <w:rsid w:val="000C6E4A"/>
    <w:rsid w:val="000C7816"/>
    <w:rsid w:val="000D0246"/>
    <w:rsid w:val="000D17E7"/>
    <w:rsid w:val="000D1C8B"/>
    <w:rsid w:val="000D2C9F"/>
    <w:rsid w:val="000D2F62"/>
    <w:rsid w:val="000D3690"/>
    <w:rsid w:val="000D3B55"/>
    <w:rsid w:val="000D40B4"/>
    <w:rsid w:val="000D636F"/>
    <w:rsid w:val="000D6E85"/>
    <w:rsid w:val="000D7FB8"/>
    <w:rsid w:val="000E11ED"/>
    <w:rsid w:val="000E17BE"/>
    <w:rsid w:val="000E1A8D"/>
    <w:rsid w:val="000E251E"/>
    <w:rsid w:val="000E3FCA"/>
    <w:rsid w:val="000E4080"/>
    <w:rsid w:val="000E43AC"/>
    <w:rsid w:val="000E4732"/>
    <w:rsid w:val="000E49A6"/>
    <w:rsid w:val="000E4DFC"/>
    <w:rsid w:val="000E53FC"/>
    <w:rsid w:val="000E59BD"/>
    <w:rsid w:val="000E6A3C"/>
    <w:rsid w:val="000E7A9D"/>
    <w:rsid w:val="000F0F80"/>
    <w:rsid w:val="000F10FE"/>
    <w:rsid w:val="000F216C"/>
    <w:rsid w:val="000F2CEA"/>
    <w:rsid w:val="000F31E9"/>
    <w:rsid w:val="000F35EC"/>
    <w:rsid w:val="000F3B5E"/>
    <w:rsid w:val="000F4EA6"/>
    <w:rsid w:val="000F5256"/>
    <w:rsid w:val="000F5523"/>
    <w:rsid w:val="000F58A0"/>
    <w:rsid w:val="000F5C79"/>
    <w:rsid w:val="000F5E53"/>
    <w:rsid w:val="000F6BCC"/>
    <w:rsid w:val="000F7082"/>
    <w:rsid w:val="000F727C"/>
    <w:rsid w:val="000F7481"/>
    <w:rsid w:val="00100A4C"/>
    <w:rsid w:val="001030FE"/>
    <w:rsid w:val="001031D0"/>
    <w:rsid w:val="00103E1E"/>
    <w:rsid w:val="00104529"/>
    <w:rsid w:val="00105681"/>
    <w:rsid w:val="00106936"/>
    <w:rsid w:val="00107884"/>
    <w:rsid w:val="00107B7B"/>
    <w:rsid w:val="001100A5"/>
    <w:rsid w:val="001102CD"/>
    <w:rsid w:val="00110C37"/>
    <w:rsid w:val="0011107D"/>
    <w:rsid w:val="0011170A"/>
    <w:rsid w:val="0011198D"/>
    <w:rsid w:val="001125D8"/>
    <w:rsid w:val="00112CB9"/>
    <w:rsid w:val="00114140"/>
    <w:rsid w:val="001142D6"/>
    <w:rsid w:val="001152F0"/>
    <w:rsid w:val="00116057"/>
    <w:rsid w:val="001167BB"/>
    <w:rsid w:val="00120022"/>
    <w:rsid w:val="00120B48"/>
    <w:rsid w:val="00120BB0"/>
    <w:rsid w:val="00120DCC"/>
    <w:rsid w:val="00120F0C"/>
    <w:rsid w:val="00121C17"/>
    <w:rsid w:val="00121E3C"/>
    <w:rsid w:val="001227EA"/>
    <w:rsid w:val="0012540E"/>
    <w:rsid w:val="00126D59"/>
    <w:rsid w:val="001270DD"/>
    <w:rsid w:val="00127544"/>
    <w:rsid w:val="00127AF6"/>
    <w:rsid w:val="0013117C"/>
    <w:rsid w:val="0013165E"/>
    <w:rsid w:val="001317FE"/>
    <w:rsid w:val="00131C7E"/>
    <w:rsid w:val="00131C9D"/>
    <w:rsid w:val="00131ECF"/>
    <w:rsid w:val="00132861"/>
    <w:rsid w:val="0013297D"/>
    <w:rsid w:val="00134E26"/>
    <w:rsid w:val="0013519E"/>
    <w:rsid w:val="001351C1"/>
    <w:rsid w:val="00135217"/>
    <w:rsid w:val="00135464"/>
    <w:rsid w:val="00136C34"/>
    <w:rsid w:val="0013776D"/>
    <w:rsid w:val="00140C2A"/>
    <w:rsid w:val="001415F8"/>
    <w:rsid w:val="001416E2"/>
    <w:rsid w:val="00142C8F"/>
    <w:rsid w:val="00142DEF"/>
    <w:rsid w:val="00142EE4"/>
    <w:rsid w:val="00143223"/>
    <w:rsid w:val="001435C5"/>
    <w:rsid w:val="001440C5"/>
    <w:rsid w:val="00144182"/>
    <w:rsid w:val="00144ADC"/>
    <w:rsid w:val="00144BDA"/>
    <w:rsid w:val="00146C25"/>
    <w:rsid w:val="0014769C"/>
    <w:rsid w:val="001478F7"/>
    <w:rsid w:val="00147A86"/>
    <w:rsid w:val="001501B6"/>
    <w:rsid w:val="001506DA"/>
    <w:rsid w:val="00150F2C"/>
    <w:rsid w:val="00150FA4"/>
    <w:rsid w:val="00151248"/>
    <w:rsid w:val="001512FF"/>
    <w:rsid w:val="001565C5"/>
    <w:rsid w:val="00156A03"/>
    <w:rsid w:val="001570AE"/>
    <w:rsid w:val="00160574"/>
    <w:rsid w:val="00160706"/>
    <w:rsid w:val="00160A41"/>
    <w:rsid w:val="00160C74"/>
    <w:rsid w:val="00161653"/>
    <w:rsid w:val="0016344D"/>
    <w:rsid w:val="00163B4F"/>
    <w:rsid w:val="00163CCE"/>
    <w:rsid w:val="00164F2B"/>
    <w:rsid w:val="0016521D"/>
    <w:rsid w:val="00165483"/>
    <w:rsid w:val="001658A5"/>
    <w:rsid w:val="00166D48"/>
    <w:rsid w:val="00167D34"/>
    <w:rsid w:val="00167E1C"/>
    <w:rsid w:val="00170BDD"/>
    <w:rsid w:val="001718CA"/>
    <w:rsid w:val="00171AFE"/>
    <w:rsid w:val="00172605"/>
    <w:rsid w:val="0017280A"/>
    <w:rsid w:val="00172829"/>
    <w:rsid w:val="00172C68"/>
    <w:rsid w:val="00173D4B"/>
    <w:rsid w:val="00173E9D"/>
    <w:rsid w:val="001750E4"/>
    <w:rsid w:val="0017535D"/>
    <w:rsid w:val="00175C94"/>
    <w:rsid w:val="00176496"/>
    <w:rsid w:val="00176A53"/>
    <w:rsid w:val="00176E0B"/>
    <w:rsid w:val="001770FF"/>
    <w:rsid w:val="00177ACC"/>
    <w:rsid w:val="00177BF0"/>
    <w:rsid w:val="001805BE"/>
    <w:rsid w:val="00181D18"/>
    <w:rsid w:val="001824DB"/>
    <w:rsid w:val="00182C1A"/>
    <w:rsid w:val="00182C72"/>
    <w:rsid w:val="0018319A"/>
    <w:rsid w:val="001837A9"/>
    <w:rsid w:val="001845A1"/>
    <w:rsid w:val="0018493D"/>
    <w:rsid w:val="00184F47"/>
    <w:rsid w:val="0018650A"/>
    <w:rsid w:val="00186A44"/>
    <w:rsid w:val="00187A70"/>
    <w:rsid w:val="00187DE8"/>
    <w:rsid w:val="0019136D"/>
    <w:rsid w:val="00191A67"/>
    <w:rsid w:val="00191F75"/>
    <w:rsid w:val="00193105"/>
    <w:rsid w:val="00193547"/>
    <w:rsid w:val="00193744"/>
    <w:rsid w:val="0019386F"/>
    <w:rsid w:val="001958AD"/>
    <w:rsid w:val="001964CD"/>
    <w:rsid w:val="001971C3"/>
    <w:rsid w:val="001973F7"/>
    <w:rsid w:val="00197653"/>
    <w:rsid w:val="00197B6A"/>
    <w:rsid w:val="00197E6D"/>
    <w:rsid w:val="001A023D"/>
    <w:rsid w:val="001A1A04"/>
    <w:rsid w:val="001A1D27"/>
    <w:rsid w:val="001A1DFF"/>
    <w:rsid w:val="001A2175"/>
    <w:rsid w:val="001A234B"/>
    <w:rsid w:val="001A5238"/>
    <w:rsid w:val="001A540F"/>
    <w:rsid w:val="001A60D7"/>
    <w:rsid w:val="001A6EB9"/>
    <w:rsid w:val="001A7445"/>
    <w:rsid w:val="001A76B7"/>
    <w:rsid w:val="001A78E8"/>
    <w:rsid w:val="001A7C1A"/>
    <w:rsid w:val="001B0429"/>
    <w:rsid w:val="001B0998"/>
    <w:rsid w:val="001B0C9E"/>
    <w:rsid w:val="001B126C"/>
    <w:rsid w:val="001B31F9"/>
    <w:rsid w:val="001B3283"/>
    <w:rsid w:val="001B3E24"/>
    <w:rsid w:val="001B4ECF"/>
    <w:rsid w:val="001B661F"/>
    <w:rsid w:val="001B6B87"/>
    <w:rsid w:val="001B6EA5"/>
    <w:rsid w:val="001B714F"/>
    <w:rsid w:val="001B79E2"/>
    <w:rsid w:val="001C0403"/>
    <w:rsid w:val="001C16EE"/>
    <w:rsid w:val="001C2C31"/>
    <w:rsid w:val="001C2C6C"/>
    <w:rsid w:val="001C3111"/>
    <w:rsid w:val="001C3836"/>
    <w:rsid w:val="001C38D9"/>
    <w:rsid w:val="001C3D59"/>
    <w:rsid w:val="001C481B"/>
    <w:rsid w:val="001C57D4"/>
    <w:rsid w:val="001C5AD4"/>
    <w:rsid w:val="001C5AE7"/>
    <w:rsid w:val="001C5DCA"/>
    <w:rsid w:val="001C60AE"/>
    <w:rsid w:val="001C6324"/>
    <w:rsid w:val="001D00C0"/>
    <w:rsid w:val="001D0B6E"/>
    <w:rsid w:val="001D1187"/>
    <w:rsid w:val="001D1DAF"/>
    <w:rsid w:val="001D2607"/>
    <w:rsid w:val="001D27DD"/>
    <w:rsid w:val="001D2A01"/>
    <w:rsid w:val="001D2A5A"/>
    <w:rsid w:val="001D4CA2"/>
    <w:rsid w:val="001D5421"/>
    <w:rsid w:val="001D5A80"/>
    <w:rsid w:val="001D5CCF"/>
    <w:rsid w:val="001D5F4A"/>
    <w:rsid w:val="001D5FCD"/>
    <w:rsid w:val="001D62A0"/>
    <w:rsid w:val="001D639C"/>
    <w:rsid w:val="001D6654"/>
    <w:rsid w:val="001D7401"/>
    <w:rsid w:val="001E26E8"/>
    <w:rsid w:val="001E3763"/>
    <w:rsid w:val="001E3A7E"/>
    <w:rsid w:val="001E4307"/>
    <w:rsid w:val="001E432F"/>
    <w:rsid w:val="001E4B04"/>
    <w:rsid w:val="001E4D0E"/>
    <w:rsid w:val="001E4FC5"/>
    <w:rsid w:val="001E5163"/>
    <w:rsid w:val="001E5164"/>
    <w:rsid w:val="001E61D6"/>
    <w:rsid w:val="001E7198"/>
    <w:rsid w:val="001F0726"/>
    <w:rsid w:val="001F0AED"/>
    <w:rsid w:val="001F187F"/>
    <w:rsid w:val="001F23CB"/>
    <w:rsid w:val="001F3934"/>
    <w:rsid w:val="001F474B"/>
    <w:rsid w:val="001F4987"/>
    <w:rsid w:val="001F4D35"/>
    <w:rsid w:val="001F7CC8"/>
    <w:rsid w:val="002006C5"/>
    <w:rsid w:val="0020198A"/>
    <w:rsid w:val="00202A32"/>
    <w:rsid w:val="00202E96"/>
    <w:rsid w:val="00203DFD"/>
    <w:rsid w:val="002046C9"/>
    <w:rsid w:val="00204DB9"/>
    <w:rsid w:val="00204FE3"/>
    <w:rsid w:val="00205016"/>
    <w:rsid w:val="00205AEA"/>
    <w:rsid w:val="00205B9E"/>
    <w:rsid w:val="00206004"/>
    <w:rsid w:val="00207711"/>
    <w:rsid w:val="002077EB"/>
    <w:rsid w:val="002101E3"/>
    <w:rsid w:val="00210347"/>
    <w:rsid w:val="0021253C"/>
    <w:rsid w:val="00212691"/>
    <w:rsid w:val="00212CFD"/>
    <w:rsid w:val="0021339E"/>
    <w:rsid w:val="00213B15"/>
    <w:rsid w:val="00214A9F"/>
    <w:rsid w:val="00215497"/>
    <w:rsid w:val="00215DC7"/>
    <w:rsid w:val="0021670A"/>
    <w:rsid w:val="002167A5"/>
    <w:rsid w:val="00217D1A"/>
    <w:rsid w:val="002204C6"/>
    <w:rsid w:val="00220993"/>
    <w:rsid w:val="00220EE5"/>
    <w:rsid w:val="0022145B"/>
    <w:rsid w:val="0022187A"/>
    <w:rsid w:val="002228C3"/>
    <w:rsid w:val="002230AA"/>
    <w:rsid w:val="002246C6"/>
    <w:rsid w:val="002248EA"/>
    <w:rsid w:val="0022499A"/>
    <w:rsid w:val="00224D06"/>
    <w:rsid w:val="00224FE4"/>
    <w:rsid w:val="002258C2"/>
    <w:rsid w:val="0023008F"/>
    <w:rsid w:val="00230596"/>
    <w:rsid w:val="00231330"/>
    <w:rsid w:val="0023211B"/>
    <w:rsid w:val="0023235E"/>
    <w:rsid w:val="002323CB"/>
    <w:rsid w:val="00232607"/>
    <w:rsid w:val="00232AD8"/>
    <w:rsid w:val="002330DE"/>
    <w:rsid w:val="00233B04"/>
    <w:rsid w:val="002342B7"/>
    <w:rsid w:val="0023431C"/>
    <w:rsid w:val="00234633"/>
    <w:rsid w:val="002346EC"/>
    <w:rsid w:val="00235CFC"/>
    <w:rsid w:val="002361DE"/>
    <w:rsid w:val="00236480"/>
    <w:rsid w:val="002365AB"/>
    <w:rsid w:val="00237B45"/>
    <w:rsid w:val="002423E5"/>
    <w:rsid w:val="00242695"/>
    <w:rsid w:val="0024286F"/>
    <w:rsid w:val="00242C5B"/>
    <w:rsid w:val="0024322F"/>
    <w:rsid w:val="002436FE"/>
    <w:rsid w:val="0024396B"/>
    <w:rsid w:val="0024396D"/>
    <w:rsid w:val="00243E4C"/>
    <w:rsid w:val="00244D40"/>
    <w:rsid w:val="002457BE"/>
    <w:rsid w:val="00246C72"/>
    <w:rsid w:val="00246CD9"/>
    <w:rsid w:val="00246DBF"/>
    <w:rsid w:val="002470A6"/>
    <w:rsid w:val="002473C3"/>
    <w:rsid w:val="00247CBF"/>
    <w:rsid w:val="0025059F"/>
    <w:rsid w:val="0025287B"/>
    <w:rsid w:val="00253138"/>
    <w:rsid w:val="002536F1"/>
    <w:rsid w:val="00253A72"/>
    <w:rsid w:val="0025461D"/>
    <w:rsid w:val="002548C7"/>
    <w:rsid w:val="00256145"/>
    <w:rsid w:val="00256820"/>
    <w:rsid w:val="00256833"/>
    <w:rsid w:val="00256B19"/>
    <w:rsid w:val="0025753C"/>
    <w:rsid w:val="00257E2E"/>
    <w:rsid w:val="002601A3"/>
    <w:rsid w:val="00260A97"/>
    <w:rsid w:val="00260BB0"/>
    <w:rsid w:val="0026133F"/>
    <w:rsid w:val="00262162"/>
    <w:rsid w:val="00262D6F"/>
    <w:rsid w:val="002632E3"/>
    <w:rsid w:val="00264AB7"/>
    <w:rsid w:val="00266FCC"/>
    <w:rsid w:val="002702E2"/>
    <w:rsid w:val="00271DD9"/>
    <w:rsid w:val="002721B2"/>
    <w:rsid w:val="002725C4"/>
    <w:rsid w:val="00272838"/>
    <w:rsid w:val="0027352C"/>
    <w:rsid w:val="00273860"/>
    <w:rsid w:val="00274000"/>
    <w:rsid w:val="00280500"/>
    <w:rsid w:val="002809A8"/>
    <w:rsid w:val="00281667"/>
    <w:rsid w:val="0028198B"/>
    <w:rsid w:val="00281FD5"/>
    <w:rsid w:val="00282EF8"/>
    <w:rsid w:val="00283056"/>
    <w:rsid w:val="0028305B"/>
    <w:rsid w:val="0028356D"/>
    <w:rsid w:val="002836E1"/>
    <w:rsid w:val="00283977"/>
    <w:rsid w:val="00283AD6"/>
    <w:rsid w:val="00285493"/>
    <w:rsid w:val="002856C1"/>
    <w:rsid w:val="0028574E"/>
    <w:rsid w:val="00285F21"/>
    <w:rsid w:val="00286B60"/>
    <w:rsid w:val="00286FFE"/>
    <w:rsid w:val="00287273"/>
    <w:rsid w:val="002876F9"/>
    <w:rsid w:val="00291E15"/>
    <w:rsid w:val="0029200B"/>
    <w:rsid w:val="002922AF"/>
    <w:rsid w:val="0029285B"/>
    <w:rsid w:val="00293217"/>
    <w:rsid w:val="00294347"/>
    <w:rsid w:val="00294601"/>
    <w:rsid w:val="00294870"/>
    <w:rsid w:val="002A2426"/>
    <w:rsid w:val="002A30A8"/>
    <w:rsid w:val="002A3F7D"/>
    <w:rsid w:val="002A469A"/>
    <w:rsid w:val="002A4A24"/>
    <w:rsid w:val="002A4C65"/>
    <w:rsid w:val="002A5A2A"/>
    <w:rsid w:val="002A5CE2"/>
    <w:rsid w:val="002A6168"/>
    <w:rsid w:val="002A637A"/>
    <w:rsid w:val="002A6738"/>
    <w:rsid w:val="002A683C"/>
    <w:rsid w:val="002B0720"/>
    <w:rsid w:val="002B17D2"/>
    <w:rsid w:val="002B1D6D"/>
    <w:rsid w:val="002B1F28"/>
    <w:rsid w:val="002B213D"/>
    <w:rsid w:val="002B30D2"/>
    <w:rsid w:val="002B395D"/>
    <w:rsid w:val="002B419D"/>
    <w:rsid w:val="002B4363"/>
    <w:rsid w:val="002B463B"/>
    <w:rsid w:val="002B4711"/>
    <w:rsid w:val="002B514B"/>
    <w:rsid w:val="002B6C17"/>
    <w:rsid w:val="002B7168"/>
    <w:rsid w:val="002B7964"/>
    <w:rsid w:val="002C011B"/>
    <w:rsid w:val="002C0D0B"/>
    <w:rsid w:val="002C2192"/>
    <w:rsid w:val="002C230B"/>
    <w:rsid w:val="002C2654"/>
    <w:rsid w:val="002C297B"/>
    <w:rsid w:val="002C361B"/>
    <w:rsid w:val="002C40E5"/>
    <w:rsid w:val="002C4308"/>
    <w:rsid w:val="002C5237"/>
    <w:rsid w:val="002C788F"/>
    <w:rsid w:val="002C7906"/>
    <w:rsid w:val="002D0817"/>
    <w:rsid w:val="002D10D6"/>
    <w:rsid w:val="002D3622"/>
    <w:rsid w:val="002D39C6"/>
    <w:rsid w:val="002D58AB"/>
    <w:rsid w:val="002D5D49"/>
    <w:rsid w:val="002D6B6A"/>
    <w:rsid w:val="002D75BE"/>
    <w:rsid w:val="002E07CB"/>
    <w:rsid w:val="002E1A94"/>
    <w:rsid w:val="002E215E"/>
    <w:rsid w:val="002E2EED"/>
    <w:rsid w:val="002E3371"/>
    <w:rsid w:val="002E4166"/>
    <w:rsid w:val="002E46E2"/>
    <w:rsid w:val="002E57B0"/>
    <w:rsid w:val="002E5A2F"/>
    <w:rsid w:val="002E5E61"/>
    <w:rsid w:val="002F072E"/>
    <w:rsid w:val="002F0B9D"/>
    <w:rsid w:val="002F0EE4"/>
    <w:rsid w:val="002F108E"/>
    <w:rsid w:val="002F1C11"/>
    <w:rsid w:val="002F2DA3"/>
    <w:rsid w:val="002F4E5C"/>
    <w:rsid w:val="002F4F97"/>
    <w:rsid w:val="002F6A68"/>
    <w:rsid w:val="002F6F5E"/>
    <w:rsid w:val="002F70E8"/>
    <w:rsid w:val="002F7E1E"/>
    <w:rsid w:val="00300F12"/>
    <w:rsid w:val="00301E6D"/>
    <w:rsid w:val="003036C6"/>
    <w:rsid w:val="00303F42"/>
    <w:rsid w:val="0030404B"/>
    <w:rsid w:val="003047AC"/>
    <w:rsid w:val="0030579B"/>
    <w:rsid w:val="00306615"/>
    <w:rsid w:val="00306F33"/>
    <w:rsid w:val="00307FED"/>
    <w:rsid w:val="0031084B"/>
    <w:rsid w:val="003125E3"/>
    <w:rsid w:val="00312A56"/>
    <w:rsid w:val="00313220"/>
    <w:rsid w:val="003135EA"/>
    <w:rsid w:val="00313AC9"/>
    <w:rsid w:val="003144B4"/>
    <w:rsid w:val="00315F5E"/>
    <w:rsid w:val="00316D5A"/>
    <w:rsid w:val="00317048"/>
    <w:rsid w:val="00320B46"/>
    <w:rsid w:val="0032123B"/>
    <w:rsid w:val="003217D8"/>
    <w:rsid w:val="003227D1"/>
    <w:rsid w:val="003265FD"/>
    <w:rsid w:val="0032668C"/>
    <w:rsid w:val="00326D70"/>
    <w:rsid w:val="003270BF"/>
    <w:rsid w:val="0033035A"/>
    <w:rsid w:val="003307F3"/>
    <w:rsid w:val="00330FEE"/>
    <w:rsid w:val="00331055"/>
    <w:rsid w:val="00331D4E"/>
    <w:rsid w:val="00331E44"/>
    <w:rsid w:val="003329EC"/>
    <w:rsid w:val="00332E80"/>
    <w:rsid w:val="00333087"/>
    <w:rsid w:val="00333226"/>
    <w:rsid w:val="0033350F"/>
    <w:rsid w:val="00334254"/>
    <w:rsid w:val="00334E5A"/>
    <w:rsid w:val="003357BA"/>
    <w:rsid w:val="00335D55"/>
    <w:rsid w:val="003365A3"/>
    <w:rsid w:val="00336B55"/>
    <w:rsid w:val="00337169"/>
    <w:rsid w:val="00337373"/>
    <w:rsid w:val="00343B95"/>
    <w:rsid w:val="00344D34"/>
    <w:rsid w:val="0034585A"/>
    <w:rsid w:val="00346287"/>
    <w:rsid w:val="0034704E"/>
    <w:rsid w:val="003473BE"/>
    <w:rsid w:val="00347B7A"/>
    <w:rsid w:val="00350318"/>
    <w:rsid w:val="0035069F"/>
    <w:rsid w:val="00350E67"/>
    <w:rsid w:val="00351607"/>
    <w:rsid w:val="00351795"/>
    <w:rsid w:val="003526F8"/>
    <w:rsid w:val="003536EF"/>
    <w:rsid w:val="0035394C"/>
    <w:rsid w:val="00353DB3"/>
    <w:rsid w:val="00354B41"/>
    <w:rsid w:val="0035582B"/>
    <w:rsid w:val="003565FC"/>
    <w:rsid w:val="00356BBA"/>
    <w:rsid w:val="0036088C"/>
    <w:rsid w:val="0036118C"/>
    <w:rsid w:val="00361543"/>
    <w:rsid w:val="0036251C"/>
    <w:rsid w:val="00362BEB"/>
    <w:rsid w:val="00362DB9"/>
    <w:rsid w:val="00363457"/>
    <w:rsid w:val="0036374A"/>
    <w:rsid w:val="003644FB"/>
    <w:rsid w:val="00364A9D"/>
    <w:rsid w:val="003652F4"/>
    <w:rsid w:val="00365C64"/>
    <w:rsid w:val="0036608B"/>
    <w:rsid w:val="0036656B"/>
    <w:rsid w:val="0036766D"/>
    <w:rsid w:val="00370408"/>
    <w:rsid w:val="0037143B"/>
    <w:rsid w:val="003715E1"/>
    <w:rsid w:val="003717A0"/>
    <w:rsid w:val="00372039"/>
    <w:rsid w:val="00372C66"/>
    <w:rsid w:val="003733A4"/>
    <w:rsid w:val="00373B3F"/>
    <w:rsid w:val="00374104"/>
    <w:rsid w:val="0037461D"/>
    <w:rsid w:val="003753F2"/>
    <w:rsid w:val="00375588"/>
    <w:rsid w:val="00375B83"/>
    <w:rsid w:val="00375F28"/>
    <w:rsid w:val="003769D2"/>
    <w:rsid w:val="00376A88"/>
    <w:rsid w:val="003800E8"/>
    <w:rsid w:val="003804A8"/>
    <w:rsid w:val="00380BEA"/>
    <w:rsid w:val="00381041"/>
    <w:rsid w:val="003820FA"/>
    <w:rsid w:val="0038280D"/>
    <w:rsid w:val="00382FE4"/>
    <w:rsid w:val="003831F2"/>
    <w:rsid w:val="00383C0A"/>
    <w:rsid w:val="00384277"/>
    <w:rsid w:val="003858BC"/>
    <w:rsid w:val="003859D9"/>
    <w:rsid w:val="003865A9"/>
    <w:rsid w:val="00386B5A"/>
    <w:rsid w:val="003874CD"/>
    <w:rsid w:val="00390ACC"/>
    <w:rsid w:val="00390F0A"/>
    <w:rsid w:val="003912E3"/>
    <w:rsid w:val="00391545"/>
    <w:rsid w:val="003917AA"/>
    <w:rsid w:val="00392316"/>
    <w:rsid w:val="00392BED"/>
    <w:rsid w:val="00392DEC"/>
    <w:rsid w:val="003939B1"/>
    <w:rsid w:val="00394A90"/>
    <w:rsid w:val="00394ADE"/>
    <w:rsid w:val="00394FAE"/>
    <w:rsid w:val="00395CD4"/>
    <w:rsid w:val="003965F8"/>
    <w:rsid w:val="00397388"/>
    <w:rsid w:val="003A006F"/>
    <w:rsid w:val="003A11F8"/>
    <w:rsid w:val="003A234F"/>
    <w:rsid w:val="003A4A48"/>
    <w:rsid w:val="003A591B"/>
    <w:rsid w:val="003A5CA2"/>
    <w:rsid w:val="003A5F96"/>
    <w:rsid w:val="003A5F99"/>
    <w:rsid w:val="003A6B1A"/>
    <w:rsid w:val="003A747D"/>
    <w:rsid w:val="003A7D9E"/>
    <w:rsid w:val="003B00AC"/>
    <w:rsid w:val="003B048F"/>
    <w:rsid w:val="003B0848"/>
    <w:rsid w:val="003B190B"/>
    <w:rsid w:val="003B26ED"/>
    <w:rsid w:val="003B305F"/>
    <w:rsid w:val="003B3FEE"/>
    <w:rsid w:val="003B4175"/>
    <w:rsid w:val="003B4566"/>
    <w:rsid w:val="003B4827"/>
    <w:rsid w:val="003B5877"/>
    <w:rsid w:val="003B6820"/>
    <w:rsid w:val="003B6C74"/>
    <w:rsid w:val="003B6E00"/>
    <w:rsid w:val="003C04F1"/>
    <w:rsid w:val="003C1151"/>
    <w:rsid w:val="003C1E22"/>
    <w:rsid w:val="003C2222"/>
    <w:rsid w:val="003C2369"/>
    <w:rsid w:val="003C26C4"/>
    <w:rsid w:val="003C34B7"/>
    <w:rsid w:val="003C49DA"/>
    <w:rsid w:val="003C5004"/>
    <w:rsid w:val="003C5FF6"/>
    <w:rsid w:val="003C6DD0"/>
    <w:rsid w:val="003D01C4"/>
    <w:rsid w:val="003D056F"/>
    <w:rsid w:val="003D0662"/>
    <w:rsid w:val="003D0A46"/>
    <w:rsid w:val="003D0E87"/>
    <w:rsid w:val="003D1657"/>
    <w:rsid w:val="003D175E"/>
    <w:rsid w:val="003D2CF9"/>
    <w:rsid w:val="003D2DA6"/>
    <w:rsid w:val="003D30BA"/>
    <w:rsid w:val="003D3E95"/>
    <w:rsid w:val="003D4DB0"/>
    <w:rsid w:val="003D4EA9"/>
    <w:rsid w:val="003D5845"/>
    <w:rsid w:val="003D5B96"/>
    <w:rsid w:val="003D5CB0"/>
    <w:rsid w:val="003D5D67"/>
    <w:rsid w:val="003D6068"/>
    <w:rsid w:val="003D674F"/>
    <w:rsid w:val="003D6E53"/>
    <w:rsid w:val="003E17FC"/>
    <w:rsid w:val="003E1E08"/>
    <w:rsid w:val="003E32F9"/>
    <w:rsid w:val="003E36B6"/>
    <w:rsid w:val="003E4547"/>
    <w:rsid w:val="003E4885"/>
    <w:rsid w:val="003E636F"/>
    <w:rsid w:val="003E6EBA"/>
    <w:rsid w:val="003E7582"/>
    <w:rsid w:val="003E7892"/>
    <w:rsid w:val="003F045C"/>
    <w:rsid w:val="003F146C"/>
    <w:rsid w:val="003F29FE"/>
    <w:rsid w:val="003F2FA7"/>
    <w:rsid w:val="003F364C"/>
    <w:rsid w:val="003F3A24"/>
    <w:rsid w:val="003F3CD2"/>
    <w:rsid w:val="003F3E7F"/>
    <w:rsid w:val="003F42EA"/>
    <w:rsid w:val="003F4BEE"/>
    <w:rsid w:val="003F5251"/>
    <w:rsid w:val="003F5F69"/>
    <w:rsid w:val="003F6421"/>
    <w:rsid w:val="003F685A"/>
    <w:rsid w:val="003F6F08"/>
    <w:rsid w:val="00401345"/>
    <w:rsid w:val="00401B5C"/>
    <w:rsid w:val="004020A7"/>
    <w:rsid w:val="00402F9B"/>
    <w:rsid w:val="00403090"/>
    <w:rsid w:val="004035B6"/>
    <w:rsid w:val="004039FA"/>
    <w:rsid w:val="0040478A"/>
    <w:rsid w:val="00404B86"/>
    <w:rsid w:val="004072E5"/>
    <w:rsid w:val="00407E47"/>
    <w:rsid w:val="0041048B"/>
    <w:rsid w:val="00410758"/>
    <w:rsid w:val="004123A4"/>
    <w:rsid w:val="00412594"/>
    <w:rsid w:val="004143B5"/>
    <w:rsid w:val="004150A6"/>
    <w:rsid w:val="00415C33"/>
    <w:rsid w:val="00416821"/>
    <w:rsid w:val="00416F88"/>
    <w:rsid w:val="0042045E"/>
    <w:rsid w:val="00420BF6"/>
    <w:rsid w:val="004213BE"/>
    <w:rsid w:val="004216C8"/>
    <w:rsid w:val="0042200D"/>
    <w:rsid w:val="004222F9"/>
    <w:rsid w:val="00422FB1"/>
    <w:rsid w:val="004239C5"/>
    <w:rsid w:val="00423CA5"/>
    <w:rsid w:val="0042473F"/>
    <w:rsid w:val="00424B7C"/>
    <w:rsid w:val="00424C1E"/>
    <w:rsid w:val="00424E58"/>
    <w:rsid w:val="004275C3"/>
    <w:rsid w:val="00427B06"/>
    <w:rsid w:val="0043115D"/>
    <w:rsid w:val="00431323"/>
    <w:rsid w:val="00433B93"/>
    <w:rsid w:val="004342FF"/>
    <w:rsid w:val="00435E09"/>
    <w:rsid w:val="00436758"/>
    <w:rsid w:val="00437D8D"/>
    <w:rsid w:val="0044094D"/>
    <w:rsid w:val="00440D0B"/>
    <w:rsid w:val="004421D1"/>
    <w:rsid w:val="00443452"/>
    <w:rsid w:val="00444FD2"/>
    <w:rsid w:val="00445480"/>
    <w:rsid w:val="00445512"/>
    <w:rsid w:val="004457F1"/>
    <w:rsid w:val="004460C3"/>
    <w:rsid w:val="00446B81"/>
    <w:rsid w:val="00446CEA"/>
    <w:rsid w:val="004477D8"/>
    <w:rsid w:val="00447FC8"/>
    <w:rsid w:val="004501A5"/>
    <w:rsid w:val="00450B4F"/>
    <w:rsid w:val="0045104B"/>
    <w:rsid w:val="00451971"/>
    <w:rsid w:val="00452867"/>
    <w:rsid w:val="00452DC8"/>
    <w:rsid w:val="00453623"/>
    <w:rsid w:val="00453D88"/>
    <w:rsid w:val="0045459D"/>
    <w:rsid w:val="004549AA"/>
    <w:rsid w:val="00455476"/>
    <w:rsid w:val="00455939"/>
    <w:rsid w:val="00456485"/>
    <w:rsid w:val="004566B6"/>
    <w:rsid w:val="00456A38"/>
    <w:rsid w:val="00456B22"/>
    <w:rsid w:val="00456D22"/>
    <w:rsid w:val="00460710"/>
    <w:rsid w:val="00460E0C"/>
    <w:rsid w:val="0046155A"/>
    <w:rsid w:val="004621E7"/>
    <w:rsid w:val="00463843"/>
    <w:rsid w:val="00463E6D"/>
    <w:rsid w:val="00463EF4"/>
    <w:rsid w:val="00464D8A"/>
    <w:rsid w:val="004650B3"/>
    <w:rsid w:val="00466B98"/>
    <w:rsid w:val="004673B5"/>
    <w:rsid w:val="004679FC"/>
    <w:rsid w:val="00467C53"/>
    <w:rsid w:val="00470F28"/>
    <w:rsid w:val="00471CB5"/>
    <w:rsid w:val="00471D24"/>
    <w:rsid w:val="004722FB"/>
    <w:rsid w:val="00472323"/>
    <w:rsid w:val="004724B0"/>
    <w:rsid w:val="004728C4"/>
    <w:rsid w:val="00472E1F"/>
    <w:rsid w:val="00472EB6"/>
    <w:rsid w:val="00473777"/>
    <w:rsid w:val="004737B9"/>
    <w:rsid w:val="00473FD8"/>
    <w:rsid w:val="00474173"/>
    <w:rsid w:val="00474BB2"/>
    <w:rsid w:val="0047694A"/>
    <w:rsid w:val="004770F5"/>
    <w:rsid w:val="0048054E"/>
    <w:rsid w:val="00480CB0"/>
    <w:rsid w:val="0048159A"/>
    <w:rsid w:val="00481F8C"/>
    <w:rsid w:val="004829AE"/>
    <w:rsid w:val="00483712"/>
    <w:rsid w:val="00483B6F"/>
    <w:rsid w:val="0048509B"/>
    <w:rsid w:val="00485C49"/>
    <w:rsid w:val="00487B7D"/>
    <w:rsid w:val="00487F07"/>
    <w:rsid w:val="00490AD3"/>
    <w:rsid w:val="00490BF2"/>
    <w:rsid w:val="00491075"/>
    <w:rsid w:val="004918B3"/>
    <w:rsid w:val="0049216A"/>
    <w:rsid w:val="004925E1"/>
    <w:rsid w:val="0049323A"/>
    <w:rsid w:val="004948FC"/>
    <w:rsid w:val="00495321"/>
    <w:rsid w:val="00497079"/>
    <w:rsid w:val="00497E21"/>
    <w:rsid w:val="004A097A"/>
    <w:rsid w:val="004A2323"/>
    <w:rsid w:val="004A2831"/>
    <w:rsid w:val="004A35EA"/>
    <w:rsid w:val="004A4A90"/>
    <w:rsid w:val="004A4CC8"/>
    <w:rsid w:val="004A4DB2"/>
    <w:rsid w:val="004A6F69"/>
    <w:rsid w:val="004B01C0"/>
    <w:rsid w:val="004B0C0C"/>
    <w:rsid w:val="004B10F1"/>
    <w:rsid w:val="004B1114"/>
    <w:rsid w:val="004B1438"/>
    <w:rsid w:val="004B1860"/>
    <w:rsid w:val="004B21F9"/>
    <w:rsid w:val="004B267E"/>
    <w:rsid w:val="004B292D"/>
    <w:rsid w:val="004B2B7C"/>
    <w:rsid w:val="004B421A"/>
    <w:rsid w:val="004B4456"/>
    <w:rsid w:val="004B5DB7"/>
    <w:rsid w:val="004B5EAE"/>
    <w:rsid w:val="004B71D0"/>
    <w:rsid w:val="004B7740"/>
    <w:rsid w:val="004C00B9"/>
    <w:rsid w:val="004C0E84"/>
    <w:rsid w:val="004C129C"/>
    <w:rsid w:val="004C1585"/>
    <w:rsid w:val="004C1950"/>
    <w:rsid w:val="004C22F2"/>
    <w:rsid w:val="004C30FC"/>
    <w:rsid w:val="004C39C0"/>
    <w:rsid w:val="004C3A1C"/>
    <w:rsid w:val="004C41E4"/>
    <w:rsid w:val="004C54B1"/>
    <w:rsid w:val="004C63DC"/>
    <w:rsid w:val="004D0075"/>
    <w:rsid w:val="004D0AB4"/>
    <w:rsid w:val="004D174E"/>
    <w:rsid w:val="004D2328"/>
    <w:rsid w:val="004D3D24"/>
    <w:rsid w:val="004D3D62"/>
    <w:rsid w:val="004D454D"/>
    <w:rsid w:val="004D4C20"/>
    <w:rsid w:val="004D4D30"/>
    <w:rsid w:val="004D6589"/>
    <w:rsid w:val="004D66F5"/>
    <w:rsid w:val="004D6956"/>
    <w:rsid w:val="004D6986"/>
    <w:rsid w:val="004D6E83"/>
    <w:rsid w:val="004E0529"/>
    <w:rsid w:val="004E0EDF"/>
    <w:rsid w:val="004E3A43"/>
    <w:rsid w:val="004E4FB6"/>
    <w:rsid w:val="004E7011"/>
    <w:rsid w:val="004E7592"/>
    <w:rsid w:val="004E7B5D"/>
    <w:rsid w:val="004F0F48"/>
    <w:rsid w:val="004F2696"/>
    <w:rsid w:val="004F3069"/>
    <w:rsid w:val="004F3288"/>
    <w:rsid w:val="004F395B"/>
    <w:rsid w:val="004F3BFF"/>
    <w:rsid w:val="004F3D12"/>
    <w:rsid w:val="004F54BA"/>
    <w:rsid w:val="004F5DA3"/>
    <w:rsid w:val="004F6C38"/>
    <w:rsid w:val="004F6EBD"/>
    <w:rsid w:val="005001EB"/>
    <w:rsid w:val="00500A33"/>
    <w:rsid w:val="00501279"/>
    <w:rsid w:val="00502171"/>
    <w:rsid w:val="005026B8"/>
    <w:rsid w:val="00502932"/>
    <w:rsid w:val="00502B6B"/>
    <w:rsid w:val="005031A0"/>
    <w:rsid w:val="005032A4"/>
    <w:rsid w:val="00503492"/>
    <w:rsid w:val="005043E1"/>
    <w:rsid w:val="00505440"/>
    <w:rsid w:val="00505687"/>
    <w:rsid w:val="005070C6"/>
    <w:rsid w:val="005075AF"/>
    <w:rsid w:val="00507E0A"/>
    <w:rsid w:val="0051027A"/>
    <w:rsid w:val="005103F8"/>
    <w:rsid w:val="00510930"/>
    <w:rsid w:val="005113FD"/>
    <w:rsid w:val="00511809"/>
    <w:rsid w:val="00512317"/>
    <w:rsid w:val="00512C9A"/>
    <w:rsid w:val="00513AA9"/>
    <w:rsid w:val="00515B43"/>
    <w:rsid w:val="00515C03"/>
    <w:rsid w:val="00515C0D"/>
    <w:rsid w:val="00515C4F"/>
    <w:rsid w:val="00515C58"/>
    <w:rsid w:val="0051698C"/>
    <w:rsid w:val="0051778E"/>
    <w:rsid w:val="00521002"/>
    <w:rsid w:val="00521135"/>
    <w:rsid w:val="005219E2"/>
    <w:rsid w:val="00521F8F"/>
    <w:rsid w:val="00522D64"/>
    <w:rsid w:val="00523193"/>
    <w:rsid w:val="005231FE"/>
    <w:rsid w:val="005237C8"/>
    <w:rsid w:val="005247CA"/>
    <w:rsid w:val="00525665"/>
    <w:rsid w:val="00525AB8"/>
    <w:rsid w:val="0052659D"/>
    <w:rsid w:val="005265F0"/>
    <w:rsid w:val="00526B8F"/>
    <w:rsid w:val="0052746E"/>
    <w:rsid w:val="005278F4"/>
    <w:rsid w:val="005301EB"/>
    <w:rsid w:val="00530BB6"/>
    <w:rsid w:val="005315D6"/>
    <w:rsid w:val="00531A49"/>
    <w:rsid w:val="00531D42"/>
    <w:rsid w:val="005323D2"/>
    <w:rsid w:val="00532E7D"/>
    <w:rsid w:val="00532ED2"/>
    <w:rsid w:val="0053323D"/>
    <w:rsid w:val="0053356A"/>
    <w:rsid w:val="00533655"/>
    <w:rsid w:val="00533BDA"/>
    <w:rsid w:val="005356EE"/>
    <w:rsid w:val="00535E64"/>
    <w:rsid w:val="00536BBC"/>
    <w:rsid w:val="00536E84"/>
    <w:rsid w:val="00536F6E"/>
    <w:rsid w:val="005372FF"/>
    <w:rsid w:val="00540656"/>
    <w:rsid w:val="00540D55"/>
    <w:rsid w:val="0054210D"/>
    <w:rsid w:val="00542487"/>
    <w:rsid w:val="005426A4"/>
    <w:rsid w:val="00544D91"/>
    <w:rsid w:val="00545A65"/>
    <w:rsid w:val="00545D3A"/>
    <w:rsid w:val="0054632C"/>
    <w:rsid w:val="00546881"/>
    <w:rsid w:val="00547D26"/>
    <w:rsid w:val="00550E4E"/>
    <w:rsid w:val="00551011"/>
    <w:rsid w:val="0055211A"/>
    <w:rsid w:val="00552448"/>
    <w:rsid w:val="005529E3"/>
    <w:rsid w:val="00552B7B"/>
    <w:rsid w:val="005547B1"/>
    <w:rsid w:val="00554B8B"/>
    <w:rsid w:val="00554DB4"/>
    <w:rsid w:val="005566B5"/>
    <w:rsid w:val="005570A4"/>
    <w:rsid w:val="005605D7"/>
    <w:rsid w:val="00560764"/>
    <w:rsid w:val="00560B0F"/>
    <w:rsid w:val="005612B7"/>
    <w:rsid w:val="00561C11"/>
    <w:rsid w:val="00562986"/>
    <w:rsid w:val="0056300E"/>
    <w:rsid w:val="0056357D"/>
    <w:rsid w:val="00563FF8"/>
    <w:rsid w:val="00564134"/>
    <w:rsid w:val="005648CB"/>
    <w:rsid w:val="005663ED"/>
    <w:rsid w:val="005706A7"/>
    <w:rsid w:val="00570D59"/>
    <w:rsid w:val="00570E8E"/>
    <w:rsid w:val="00571980"/>
    <w:rsid w:val="00572684"/>
    <w:rsid w:val="00576BCD"/>
    <w:rsid w:val="00577592"/>
    <w:rsid w:val="005804B3"/>
    <w:rsid w:val="00580D73"/>
    <w:rsid w:val="00581B83"/>
    <w:rsid w:val="00581E2B"/>
    <w:rsid w:val="00581F15"/>
    <w:rsid w:val="0058301B"/>
    <w:rsid w:val="00584174"/>
    <w:rsid w:val="00584BEA"/>
    <w:rsid w:val="005855AB"/>
    <w:rsid w:val="00585670"/>
    <w:rsid w:val="00585AB6"/>
    <w:rsid w:val="00585B0F"/>
    <w:rsid w:val="00586665"/>
    <w:rsid w:val="0058732A"/>
    <w:rsid w:val="00590AA0"/>
    <w:rsid w:val="00590C73"/>
    <w:rsid w:val="00591D46"/>
    <w:rsid w:val="00592220"/>
    <w:rsid w:val="00592243"/>
    <w:rsid w:val="005924F8"/>
    <w:rsid w:val="0059270C"/>
    <w:rsid w:val="00592C81"/>
    <w:rsid w:val="0059314F"/>
    <w:rsid w:val="00593150"/>
    <w:rsid w:val="00595766"/>
    <w:rsid w:val="005961D5"/>
    <w:rsid w:val="00596B2A"/>
    <w:rsid w:val="00596CFE"/>
    <w:rsid w:val="00596EB3"/>
    <w:rsid w:val="0059727B"/>
    <w:rsid w:val="0059757A"/>
    <w:rsid w:val="00597611"/>
    <w:rsid w:val="00597FC4"/>
    <w:rsid w:val="005A047D"/>
    <w:rsid w:val="005A135B"/>
    <w:rsid w:val="005A20D0"/>
    <w:rsid w:val="005A3611"/>
    <w:rsid w:val="005A4064"/>
    <w:rsid w:val="005A4E67"/>
    <w:rsid w:val="005A5AFD"/>
    <w:rsid w:val="005A6188"/>
    <w:rsid w:val="005A7708"/>
    <w:rsid w:val="005A77FE"/>
    <w:rsid w:val="005A793B"/>
    <w:rsid w:val="005A7D5F"/>
    <w:rsid w:val="005B0FBE"/>
    <w:rsid w:val="005B11C3"/>
    <w:rsid w:val="005B139B"/>
    <w:rsid w:val="005B1758"/>
    <w:rsid w:val="005B2324"/>
    <w:rsid w:val="005B359D"/>
    <w:rsid w:val="005B3771"/>
    <w:rsid w:val="005B37B3"/>
    <w:rsid w:val="005B4912"/>
    <w:rsid w:val="005B4B51"/>
    <w:rsid w:val="005B533A"/>
    <w:rsid w:val="005B6A35"/>
    <w:rsid w:val="005B71F3"/>
    <w:rsid w:val="005C001B"/>
    <w:rsid w:val="005C0F04"/>
    <w:rsid w:val="005C1449"/>
    <w:rsid w:val="005C180B"/>
    <w:rsid w:val="005C1947"/>
    <w:rsid w:val="005C2EBF"/>
    <w:rsid w:val="005C30B4"/>
    <w:rsid w:val="005C34DE"/>
    <w:rsid w:val="005C42F0"/>
    <w:rsid w:val="005C4433"/>
    <w:rsid w:val="005C4A71"/>
    <w:rsid w:val="005C5140"/>
    <w:rsid w:val="005C5285"/>
    <w:rsid w:val="005C735F"/>
    <w:rsid w:val="005C74B7"/>
    <w:rsid w:val="005C7BA8"/>
    <w:rsid w:val="005D0DD4"/>
    <w:rsid w:val="005D11E8"/>
    <w:rsid w:val="005D14E9"/>
    <w:rsid w:val="005D1CF9"/>
    <w:rsid w:val="005D2C05"/>
    <w:rsid w:val="005D2E0C"/>
    <w:rsid w:val="005D3253"/>
    <w:rsid w:val="005D3263"/>
    <w:rsid w:val="005D3FA0"/>
    <w:rsid w:val="005D3FD6"/>
    <w:rsid w:val="005D46A9"/>
    <w:rsid w:val="005D46B9"/>
    <w:rsid w:val="005D48ED"/>
    <w:rsid w:val="005D499E"/>
    <w:rsid w:val="005D5CF3"/>
    <w:rsid w:val="005D6871"/>
    <w:rsid w:val="005D6E09"/>
    <w:rsid w:val="005D6E8C"/>
    <w:rsid w:val="005D7C86"/>
    <w:rsid w:val="005D7D94"/>
    <w:rsid w:val="005E07C9"/>
    <w:rsid w:val="005E08AA"/>
    <w:rsid w:val="005E08C7"/>
    <w:rsid w:val="005E189E"/>
    <w:rsid w:val="005E1AAA"/>
    <w:rsid w:val="005E4006"/>
    <w:rsid w:val="005E421E"/>
    <w:rsid w:val="005E45D7"/>
    <w:rsid w:val="005E462E"/>
    <w:rsid w:val="005E4777"/>
    <w:rsid w:val="005E4AF3"/>
    <w:rsid w:val="005E4B79"/>
    <w:rsid w:val="005E5142"/>
    <w:rsid w:val="005E5E15"/>
    <w:rsid w:val="005E681B"/>
    <w:rsid w:val="005F0637"/>
    <w:rsid w:val="005F17C2"/>
    <w:rsid w:val="005F1988"/>
    <w:rsid w:val="005F1ACD"/>
    <w:rsid w:val="005F2B67"/>
    <w:rsid w:val="005F2E31"/>
    <w:rsid w:val="005F2EC2"/>
    <w:rsid w:val="005F34E3"/>
    <w:rsid w:val="005F357A"/>
    <w:rsid w:val="005F36F4"/>
    <w:rsid w:val="005F45E5"/>
    <w:rsid w:val="005F6356"/>
    <w:rsid w:val="005F66C8"/>
    <w:rsid w:val="005F79C4"/>
    <w:rsid w:val="005F7AF7"/>
    <w:rsid w:val="005F7B9F"/>
    <w:rsid w:val="005F7F72"/>
    <w:rsid w:val="0060069A"/>
    <w:rsid w:val="00600AA8"/>
    <w:rsid w:val="00600FA9"/>
    <w:rsid w:val="0060127A"/>
    <w:rsid w:val="00601634"/>
    <w:rsid w:val="00602E70"/>
    <w:rsid w:val="006031E5"/>
    <w:rsid w:val="0060413A"/>
    <w:rsid w:val="0060554E"/>
    <w:rsid w:val="00605CA5"/>
    <w:rsid w:val="00605F23"/>
    <w:rsid w:val="00607267"/>
    <w:rsid w:val="006072F1"/>
    <w:rsid w:val="0060733B"/>
    <w:rsid w:val="0061000B"/>
    <w:rsid w:val="006114CC"/>
    <w:rsid w:val="00611898"/>
    <w:rsid w:val="006123C0"/>
    <w:rsid w:val="00612AF9"/>
    <w:rsid w:val="00612E65"/>
    <w:rsid w:val="00613900"/>
    <w:rsid w:val="006140C5"/>
    <w:rsid w:val="006142B9"/>
    <w:rsid w:val="00614728"/>
    <w:rsid w:val="00614BC4"/>
    <w:rsid w:val="00614DF1"/>
    <w:rsid w:val="006175C1"/>
    <w:rsid w:val="006179F1"/>
    <w:rsid w:val="006203C6"/>
    <w:rsid w:val="006218B2"/>
    <w:rsid w:val="006231EE"/>
    <w:rsid w:val="006238B9"/>
    <w:rsid w:val="00624712"/>
    <w:rsid w:val="006247AA"/>
    <w:rsid w:val="00624E12"/>
    <w:rsid w:val="00626B96"/>
    <w:rsid w:val="0062722C"/>
    <w:rsid w:val="006276DE"/>
    <w:rsid w:val="00627E17"/>
    <w:rsid w:val="00630056"/>
    <w:rsid w:val="006304DA"/>
    <w:rsid w:val="0063066F"/>
    <w:rsid w:val="00630B81"/>
    <w:rsid w:val="00631057"/>
    <w:rsid w:val="006334BB"/>
    <w:rsid w:val="006371BC"/>
    <w:rsid w:val="00637E43"/>
    <w:rsid w:val="00640136"/>
    <w:rsid w:val="00640B4C"/>
    <w:rsid w:val="00640F93"/>
    <w:rsid w:val="006414A0"/>
    <w:rsid w:val="006422DC"/>
    <w:rsid w:val="00642E9B"/>
    <w:rsid w:val="006437CC"/>
    <w:rsid w:val="006443CB"/>
    <w:rsid w:val="00645B4A"/>
    <w:rsid w:val="00645C34"/>
    <w:rsid w:val="006463AD"/>
    <w:rsid w:val="006469ED"/>
    <w:rsid w:val="006474C8"/>
    <w:rsid w:val="00647A2D"/>
    <w:rsid w:val="00647E66"/>
    <w:rsid w:val="006503B9"/>
    <w:rsid w:val="006510D5"/>
    <w:rsid w:val="0065145F"/>
    <w:rsid w:val="00651BF8"/>
    <w:rsid w:val="00651C96"/>
    <w:rsid w:val="00651EF2"/>
    <w:rsid w:val="0065389C"/>
    <w:rsid w:val="006552B7"/>
    <w:rsid w:val="00655490"/>
    <w:rsid w:val="00655542"/>
    <w:rsid w:val="00657627"/>
    <w:rsid w:val="006577D9"/>
    <w:rsid w:val="00660D60"/>
    <w:rsid w:val="0066110B"/>
    <w:rsid w:val="00662DD3"/>
    <w:rsid w:val="00662EAA"/>
    <w:rsid w:val="00663617"/>
    <w:rsid w:val="006636E2"/>
    <w:rsid w:val="00663B14"/>
    <w:rsid w:val="00663FC3"/>
    <w:rsid w:val="00664253"/>
    <w:rsid w:val="00666BB5"/>
    <w:rsid w:val="00670D85"/>
    <w:rsid w:val="00671411"/>
    <w:rsid w:val="00672211"/>
    <w:rsid w:val="00672852"/>
    <w:rsid w:val="0067287B"/>
    <w:rsid w:val="00672B9E"/>
    <w:rsid w:val="00674000"/>
    <w:rsid w:val="00674F4A"/>
    <w:rsid w:val="00675917"/>
    <w:rsid w:val="006763F1"/>
    <w:rsid w:val="00676B04"/>
    <w:rsid w:val="00676FBB"/>
    <w:rsid w:val="00677363"/>
    <w:rsid w:val="0067785A"/>
    <w:rsid w:val="006779C1"/>
    <w:rsid w:val="00681135"/>
    <w:rsid w:val="00681B19"/>
    <w:rsid w:val="00681F18"/>
    <w:rsid w:val="00681FF1"/>
    <w:rsid w:val="006829AD"/>
    <w:rsid w:val="0068336A"/>
    <w:rsid w:val="00683FB3"/>
    <w:rsid w:val="00685CEF"/>
    <w:rsid w:val="00685EF3"/>
    <w:rsid w:val="00686043"/>
    <w:rsid w:val="00686310"/>
    <w:rsid w:val="00687473"/>
    <w:rsid w:val="0069271C"/>
    <w:rsid w:val="00692768"/>
    <w:rsid w:val="0069278D"/>
    <w:rsid w:val="00692E79"/>
    <w:rsid w:val="00692FDF"/>
    <w:rsid w:val="00694D79"/>
    <w:rsid w:val="00695CCE"/>
    <w:rsid w:val="00695E70"/>
    <w:rsid w:val="00695E83"/>
    <w:rsid w:val="0069761B"/>
    <w:rsid w:val="006A0B2D"/>
    <w:rsid w:val="006A20A3"/>
    <w:rsid w:val="006A21A8"/>
    <w:rsid w:val="006A2271"/>
    <w:rsid w:val="006A2654"/>
    <w:rsid w:val="006A2678"/>
    <w:rsid w:val="006A4623"/>
    <w:rsid w:val="006A5933"/>
    <w:rsid w:val="006A5EB7"/>
    <w:rsid w:val="006A64EF"/>
    <w:rsid w:val="006A6958"/>
    <w:rsid w:val="006A71DD"/>
    <w:rsid w:val="006A7831"/>
    <w:rsid w:val="006B0583"/>
    <w:rsid w:val="006B0F93"/>
    <w:rsid w:val="006B12DA"/>
    <w:rsid w:val="006B1EA5"/>
    <w:rsid w:val="006B293B"/>
    <w:rsid w:val="006B4697"/>
    <w:rsid w:val="006B4709"/>
    <w:rsid w:val="006B52BB"/>
    <w:rsid w:val="006B595C"/>
    <w:rsid w:val="006B5983"/>
    <w:rsid w:val="006B6B8E"/>
    <w:rsid w:val="006B6CD9"/>
    <w:rsid w:val="006B7B6B"/>
    <w:rsid w:val="006B7C8F"/>
    <w:rsid w:val="006C136F"/>
    <w:rsid w:val="006C14EC"/>
    <w:rsid w:val="006C2186"/>
    <w:rsid w:val="006C2F2D"/>
    <w:rsid w:val="006C3543"/>
    <w:rsid w:val="006C3654"/>
    <w:rsid w:val="006C39F0"/>
    <w:rsid w:val="006C3FCD"/>
    <w:rsid w:val="006C3FFF"/>
    <w:rsid w:val="006C5F8A"/>
    <w:rsid w:val="006C7536"/>
    <w:rsid w:val="006D1396"/>
    <w:rsid w:val="006D1E63"/>
    <w:rsid w:val="006D3EA9"/>
    <w:rsid w:val="006D3F76"/>
    <w:rsid w:val="006D517F"/>
    <w:rsid w:val="006D5730"/>
    <w:rsid w:val="006D625D"/>
    <w:rsid w:val="006D6B31"/>
    <w:rsid w:val="006D7565"/>
    <w:rsid w:val="006D7600"/>
    <w:rsid w:val="006E058F"/>
    <w:rsid w:val="006E1143"/>
    <w:rsid w:val="006E148E"/>
    <w:rsid w:val="006E349C"/>
    <w:rsid w:val="006E377D"/>
    <w:rsid w:val="006E49EF"/>
    <w:rsid w:val="006E6135"/>
    <w:rsid w:val="006E62F7"/>
    <w:rsid w:val="006E6864"/>
    <w:rsid w:val="006E6DD8"/>
    <w:rsid w:val="006E7B64"/>
    <w:rsid w:val="006F1D6A"/>
    <w:rsid w:val="006F21B5"/>
    <w:rsid w:val="006F267C"/>
    <w:rsid w:val="006F331D"/>
    <w:rsid w:val="006F3D0E"/>
    <w:rsid w:val="006F41D1"/>
    <w:rsid w:val="006F5F79"/>
    <w:rsid w:val="006F6007"/>
    <w:rsid w:val="006F6645"/>
    <w:rsid w:val="006F6982"/>
    <w:rsid w:val="006F7865"/>
    <w:rsid w:val="00700B7B"/>
    <w:rsid w:val="00700C90"/>
    <w:rsid w:val="00700E8A"/>
    <w:rsid w:val="00700EB1"/>
    <w:rsid w:val="00701106"/>
    <w:rsid w:val="00701255"/>
    <w:rsid w:val="007035E2"/>
    <w:rsid w:val="00703618"/>
    <w:rsid w:val="007046F8"/>
    <w:rsid w:val="00704C36"/>
    <w:rsid w:val="00705BC3"/>
    <w:rsid w:val="007067D0"/>
    <w:rsid w:val="00707E81"/>
    <w:rsid w:val="00707FC0"/>
    <w:rsid w:val="0071069F"/>
    <w:rsid w:val="007108CB"/>
    <w:rsid w:val="00710D34"/>
    <w:rsid w:val="00710E9E"/>
    <w:rsid w:val="007112F8"/>
    <w:rsid w:val="007117B0"/>
    <w:rsid w:val="00712CAC"/>
    <w:rsid w:val="007139C6"/>
    <w:rsid w:val="0071465F"/>
    <w:rsid w:val="00715CFA"/>
    <w:rsid w:val="00716746"/>
    <w:rsid w:val="00716C28"/>
    <w:rsid w:val="00720687"/>
    <w:rsid w:val="00722417"/>
    <w:rsid w:val="007227CF"/>
    <w:rsid w:val="00722C75"/>
    <w:rsid w:val="00722FAC"/>
    <w:rsid w:val="007233AE"/>
    <w:rsid w:val="00723E39"/>
    <w:rsid w:val="0072458D"/>
    <w:rsid w:val="00725896"/>
    <w:rsid w:val="0072596E"/>
    <w:rsid w:val="00725DFD"/>
    <w:rsid w:val="007272FA"/>
    <w:rsid w:val="00727B0C"/>
    <w:rsid w:val="00730639"/>
    <w:rsid w:val="00732CE9"/>
    <w:rsid w:val="00732D52"/>
    <w:rsid w:val="00732E35"/>
    <w:rsid w:val="00732FAA"/>
    <w:rsid w:val="00733190"/>
    <w:rsid w:val="00734AD0"/>
    <w:rsid w:val="007359BE"/>
    <w:rsid w:val="00735F57"/>
    <w:rsid w:val="007378DD"/>
    <w:rsid w:val="00737FEB"/>
    <w:rsid w:val="00741186"/>
    <w:rsid w:val="00742708"/>
    <w:rsid w:val="00742CC9"/>
    <w:rsid w:val="00743796"/>
    <w:rsid w:val="00743892"/>
    <w:rsid w:val="007440BA"/>
    <w:rsid w:val="00744272"/>
    <w:rsid w:val="007455F8"/>
    <w:rsid w:val="00745C1D"/>
    <w:rsid w:val="0074664E"/>
    <w:rsid w:val="00746E6B"/>
    <w:rsid w:val="00747047"/>
    <w:rsid w:val="00747EC5"/>
    <w:rsid w:val="007502F0"/>
    <w:rsid w:val="00750B15"/>
    <w:rsid w:val="00750D8E"/>
    <w:rsid w:val="007519C5"/>
    <w:rsid w:val="00752271"/>
    <w:rsid w:val="00752AE2"/>
    <w:rsid w:val="00752F75"/>
    <w:rsid w:val="007537C2"/>
    <w:rsid w:val="00754AA8"/>
    <w:rsid w:val="007570EF"/>
    <w:rsid w:val="007576CD"/>
    <w:rsid w:val="00760A7C"/>
    <w:rsid w:val="007614C2"/>
    <w:rsid w:val="00761670"/>
    <w:rsid w:val="00762828"/>
    <w:rsid w:val="007635B9"/>
    <w:rsid w:val="00763E0B"/>
    <w:rsid w:val="00764354"/>
    <w:rsid w:val="00764627"/>
    <w:rsid w:val="00764D50"/>
    <w:rsid w:val="007650D9"/>
    <w:rsid w:val="00765448"/>
    <w:rsid w:val="0076668C"/>
    <w:rsid w:val="00770139"/>
    <w:rsid w:val="0077048E"/>
    <w:rsid w:val="0077070C"/>
    <w:rsid w:val="00771137"/>
    <w:rsid w:val="00772142"/>
    <w:rsid w:val="00773946"/>
    <w:rsid w:val="00774D30"/>
    <w:rsid w:val="00775314"/>
    <w:rsid w:val="00775A50"/>
    <w:rsid w:val="00776C2E"/>
    <w:rsid w:val="00777601"/>
    <w:rsid w:val="00780F62"/>
    <w:rsid w:val="00781066"/>
    <w:rsid w:val="00781109"/>
    <w:rsid w:val="007828B6"/>
    <w:rsid w:val="00783287"/>
    <w:rsid w:val="007837C3"/>
    <w:rsid w:val="00783B7A"/>
    <w:rsid w:val="0078463C"/>
    <w:rsid w:val="00784862"/>
    <w:rsid w:val="00785BA4"/>
    <w:rsid w:val="007863E6"/>
    <w:rsid w:val="007863F0"/>
    <w:rsid w:val="0078646A"/>
    <w:rsid w:val="00786CC4"/>
    <w:rsid w:val="0078789D"/>
    <w:rsid w:val="00787D99"/>
    <w:rsid w:val="007902AF"/>
    <w:rsid w:val="0079055D"/>
    <w:rsid w:val="0079100A"/>
    <w:rsid w:val="00791139"/>
    <w:rsid w:val="00791874"/>
    <w:rsid w:val="00791D8C"/>
    <w:rsid w:val="007924F9"/>
    <w:rsid w:val="00792BD2"/>
    <w:rsid w:val="00792F10"/>
    <w:rsid w:val="00792F9C"/>
    <w:rsid w:val="00793939"/>
    <w:rsid w:val="00794996"/>
    <w:rsid w:val="00796C98"/>
    <w:rsid w:val="00796F41"/>
    <w:rsid w:val="007972DF"/>
    <w:rsid w:val="00797C75"/>
    <w:rsid w:val="00797D65"/>
    <w:rsid w:val="007A04DB"/>
    <w:rsid w:val="007A42A9"/>
    <w:rsid w:val="007A57EE"/>
    <w:rsid w:val="007A58CB"/>
    <w:rsid w:val="007A7FE8"/>
    <w:rsid w:val="007B00B0"/>
    <w:rsid w:val="007B1187"/>
    <w:rsid w:val="007B17E7"/>
    <w:rsid w:val="007B1EBC"/>
    <w:rsid w:val="007B22BB"/>
    <w:rsid w:val="007B3A1D"/>
    <w:rsid w:val="007B3EE8"/>
    <w:rsid w:val="007B4051"/>
    <w:rsid w:val="007B4094"/>
    <w:rsid w:val="007B57F2"/>
    <w:rsid w:val="007B5DC8"/>
    <w:rsid w:val="007B5E37"/>
    <w:rsid w:val="007B6ABC"/>
    <w:rsid w:val="007B6C97"/>
    <w:rsid w:val="007B76F5"/>
    <w:rsid w:val="007B7794"/>
    <w:rsid w:val="007C0C69"/>
    <w:rsid w:val="007C12CC"/>
    <w:rsid w:val="007C1AB5"/>
    <w:rsid w:val="007C2159"/>
    <w:rsid w:val="007C2AB4"/>
    <w:rsid w:val="007C2D31"/>
    <w:rsid w:val="007C2DB3"/>
    <w:rsid w:val="007C3924"/>
    <w:rsid w:val="007C4646"/>
    <w:rsid w:val="007C499D"/>
    <w:rsid w:val="007C49D1"/>
    <w:rsid w:val="007C6F35"/>
    <w:rsid w:val="007C7250"/>
    <w:rsid w:val="007D0108"/>
    <w:rsid w:val="007D0D0A"/>
    <w:rsid w:val="007D130D"/>
    <w:rsid w:val="007D2561"/>
    <w:rsid w:val="007D3751"/>
    <w:rsid w:val="007D3816"/>
    <w:rsid w:val="007D4226"/>
    <w:rsid w:val="007D46CC"/>
    <w:rsid w:val="007D59E3"/>
    <w:rsid w:val="007D5BCD"/>
    <w:rsid w:val="007D5F88"/>
    <w:rsid w:val="007D61F8"/>
    <w:rsid w:val="007D716A"/>
    <w:rsid w:val="007D790A"/>
    <w:rsid w:val="007D7CC5"/>
    <w:rsid w:val="007E00DB"/>
    <w:rsid w:val="007E0139"/>
    <w:rsid w:val="007E05D1"/>
    <w:rsid w:val="007E2879"/>
    <w:rsid w:val="007E4F38"/>
    <w:rsid w:val="007E54AF"/>
    <w:rsid w:val="007E580C"/>
    <w:rsid w:val="007E588A"/>
    <w:rsid w:val="007E7077"/>
    <w:rsid w:val="007E757D"/>
    <w:rsid w:val="007E7B0B"/>
    <w:rsid w:val="007F1D02"/>
    <w:rsid w:val="007F1E6A"/>
    <w:rsid w:val="007F2928"/>
    <w:rsid w:val="007F2C54"/>
    <w:rsid w:val="007F3994"/>
    <w:rsid w:val="007F40AE"/>
    <w:rsid w:val="007F4E18"/>
    <w:rsid w:val="007F55EB"/>
    <w:rsid w:val="007F645D"/>
    <w:rsid w:val="007F65F7"/>
    <w:rsid w:val="007F667D"/>
    <w:rsid w:val="007F6933"/>
    <w:rsid w:val="007F69C0"/>
    <w:rsid w:val="00800294"/>
    <w:rsid w:val="008007BA"/>
    <w:rsid w:val="00800C14"/>
    <w:rsid w:val="00801572"/>
    <w:rsid w:val="008015BB"/>
    <w:rsid w:val="00801A0C"/>
    <w:rsid w:val="00801ED4"/>
    <w:rsid w:val="0080298D"/>
    <w:rsid w:val="00803539"/>
    <w:rsid w:val="0080358A"/>
    <w:rsid w:val="00804106"/>
    <w:rsid w:val="008045E4"/>
    <w:rsid w:val="00805FBF"/>
    <w:rsid w:val="0080660E"/>
    <w:rsid w:val="0080761C"/>
    <w:rsid w:val="00807B69"/>
    <w:rsid w:val="00807E66"/>
    <w:rsid w:val="0081090D"/>
    <w:rsid w:val="00810D4D"/>
    <w:rsid w:val="00810F39"/>
    <w:rsid w:val="0081233A"/>
    <w:rsid w:val="008128D7"/>
    <w:rsid w:val="00813350"/>
    <w:rsid w:val="00813D6F"/>
    <w:rsid w:val="00814402"/>
    <w:rsid w:val="00814E08"/>
    <w:rsid w:val="008164A0"/>
    <w:rsid w:val="00816651"/>
    <w:rsid w:val="00816D8E"/>
    <w:rsid w:val="0082129D"/>
    <w:rsid w:val="008213B7"/>
    <w:rsid w:val="008214CE"/>
    <w:rsid w:val="0082191A"/>
    <w:rsid w:val="0082216C"/>
    <w:rsid w:val="00822CC0"/>
    <w:rsid w:val="00822F5B"/>
    <w:rsid w:val="008231D0"/>
    <w:rsid w:val="0082333F"/>
    <w:rsid w:val="0082432A"/>
    <w:rsid w:val="00825511"/>
    <w:rsid w:val="008260A9"/>
    <w:rsid w:val="008263F2"/>
    <w:rsid w:val="0082655F"/>
    <w:rsid w:val="00826AC3"/>
    <w:rsid w:val="00826BBD"/>
    <w:rsid w:val="00827604"/>
    <w:rsid w:val="00827643"/>
    <w:rsid w:val="00830CD3"/>
    <w:rsid w:val="00831009"/>
    <w:rsid w:val="00832A31"/>
    <w:rsid w:val="008338C1"/>
    <w:rsid w:val="00833A54"/>
    <w:rsid w:val="00834941"/>
    <w:rsid w:val="00834AC1"/>
    <w:rsid w:val="00834CD0"/>
    <w:rsid w:val="0083543B"/>
    <w:rsid w:val="00835626"/>
    <w:rsid w:val="00836437"/>
    <w:rsid w:val="00836562"/>
    <w:rsid w:val="00836563"/>
    <w:rsid w:val="008366A9"/>
    <w:rsid w:val="0083690B"/>
    <w:rsid w:val="00841697"/>
    <w:rsid w:val="00841814"/>
    <w:rsid w:val="00842DFA"/>
    <w:rsid w:val="00842ECF"/>
    <w:rsid w:val="008449E7"/>
    <w:rsid w:val="00845F07"/>
    <w:rsid w:val="00846ACC"/>
    <w:rsid w:val="00847789"/>
    <w:rsid w:val="008504CD"/>
    <w:rsid w:val="00850D17"/>
    <w:rsid w:val="00851212"/>
    <w:rsid w:val="00851216"/>
    <w:rsid w:val="0085236C"/>
    <w:rsid w:val="00852773"/>
    <w:rsid w:val="00852D76"/>
    <w:rsid w:val="00852EFE"/>
    <w:rsid w:val="00855337"/>
    <w:rsid w:val="0085571D"/>
    <w:rsid w:val="00857416"/>
    <w:rsid w:val="00860ACD"/>
    <w:rsid w:val="00860B1D"/>
    <w:rsid w:val="00860BD4"/>
    <w:rsid w:val="0086134D"/>
    <w:rsid w:val="008615CD"/>
    <w:rsid w:val="00862254"/>
    <w:rsid w:val="008626DF"/>
    <w:rsid w:val="00863242"/>
    <w:rsid w:val="00863BB6"/>
    <w:rsid w:val="00864E25"/>
    <w:rsid w:val="00864FC3"/>
    <w:rsid w:val="00865A06"/>
    <w:rsid w:val="0086679D"/>
    <w:rsid w:val="00866885"/>
    <w:rsid w:val="00867828"/>
    <w:rsid w:val="008678A6"/>
    <w:rsid w:val="00867A7A"/>
    <w:rsid w:val="008701BD"/>
    <w:rsid w:val="0087044C"/>
    <w:rsid w:val="00871219"/>
    <w:rsid w:val="0087121E"/>
    <w:rsid w:val="00871273"/>
    <w:rsid w:val="0087179A"/>
    <w:rsid w:val="00872A50"/>
    <w:rsid w:val="0087311C"/>
    <w:rsid w:val="00873AB8"/>
    <w:rsid w:val="00874055"/>
    <w:rsid w:val="008741DB"/>
    <w:rsid w:val="00874B90"/>
    <w:rsid w:val="00874E77"/>
    <w:rsid w:val="008755B0"/>
    <w:rsid w:val="008756F8"/>
    <w:rsid w:val="00875D4C"/>
    <w:rsid w:val="00875E09"/>
    <w:rsid w:val="00877323"/>
    <w:rsid w:val="00877712"/>
    <w:rsid w:val="00877E58"/>
    <w:rsid w:val="00880F64"/>
    <w:rsid w:val="00882B64"/>
    <w:rsid w:val="008836D9"/>
    <w:rsid w:val="0088416A"/>
    <w:rsid w:val="008864A7"/>
    <w:rsid w:val="00887704"/>
    <w:rsid w:val="00887736"/>
    <w:rsid w:val="0089051D"/>
    <w:rsid w:val="00890542"/>
    <w:rsid w:val="00890A19"/>
    <w:rsid w:val="00891DF4"/>
    <w:rsid w:val="00892063"/>
    <w:rsid w:val="008925BF"/>
    <w:rsid w:val="00892E25"/>
    <w:rsid w:val="008933A7"/>
    <w:rsid w:val="008935E2"/>
    <w:rsid w:val="00893CDD"/>
    <w:rsid w:val="00893E19"/>
    <w:rsid w:val="00893F69"/>
    <w:rsid w:val="00894133"/>
    <w:rsid w:val="00894DEE"/>
    <w:rsid w:val="00894E7F"/>
    <w:rsid w:val="008954D9"/>
    <w:rsid w:val="00895DA2"/>
    <w:rsid w:val="00896034"/>
    <w:rsid w:val="00896433"/>
    <w:rsid w:val="00896613"/>
    <w:rsid w:val="00896CCF"/>
    <w:rsid w:val="00897028"/>
    <w:rsid w:val="008975B1"/>
    <w:rsid w:val="00897B5D"/>
    <w:rsid w:val="008A015C"/>
    <w:rsid w:val="008A0193"/>
    <w:rsid w:val="008A024D"/>
    <w:rsid w:val="008A1098"/>
    <w:rsid w:val="008A1D90"/>
    <w:rsid w:val="008A2160"/>
    <w:rsid w:val="008A2756"/>
    <w:rsid w:val="008A36E7"/>
    <w:rsid w:val="008A43D4"/>
    <w:rsid w:val="008A557B"/>
    <w:rsid w:val="008A6703"/>
    <w:rsid w:val="008A6E74"/>
    <w:rsid w:val="008A7C47"/>
    <w:rsid w:val="008B0043"/>
    <w:rsid w:val="008B02A2"/>
    <w:rsid w:val="008B068A"/>
    <w:rsid w:val="008B0F5C"/>
    <w:rsid w:val="008B12AF"/>
    <w:rsid w:val="008B1C3F"/>
    <w:rsid w:val="008B42AE"/>
    <w:rsid w:val="008B44AF"/>
    <w:rsid w:val="008B47B6"/>
    <w:rsid w:val="008B47C3"/>
    <w:rsid w:val="008B4BDD"/>
    <w:rsid w:val="008B57E0"/>
    <w:rsid w:val="008B5B17"/>
    <w:rsid w:val="008B681B"/>
    <w:rsid w:val="008B6C10"/>
    <w:rsid w:val="008B6FC4"/>
    <w:rsid w:val="008C1FEB"/>
    <w:rsid w:val="008C2232"/>
    <w:rsid w:val="008C23C9"/>
    <w:rsid w:val="008C633D"/>
    <w:rsid w:val="008C6654"/>
    <w:rsid w:val="008C6BAB"/>
    <w:rsid w:val="008C77BF"/>
    <w:rsid w:val="008C7EBF"/>
    <w:rsid w:val="008D0100"/>
    <w:rsid w:val="008D06E5"/>
    <w:rsid w:val="008D14F0"/>
    <w:rsid w:val="008D3FF1"/>
    <w:rsid w:val="008D4EA1"/>
    <w:rsid w:val="008D4EAC"/>
    <w:rsid w:val="008D60A1"/>
    <w:rsid w:val="008D66F8"/>
    <w:rsid w:val="008D7056"/>
    <w:rsid w:val="008D7E44"/>
    <w:rsid w:val="008E0366"/>
    <w:rsid w:val="008E0A38"/>
    <w:rsid w:val="008E130C"/>
    <w:rsid w:val="008E180B"/>
    <w:rsid w:val="008E356E"/>
    <w:rsid w:val="008E35DC"/>
    <w:rsid w:val="008E38ED"/>
    <w:rsid w:val="008E45A7"/>
    <w:rsid w:val="008E4B0A"/>
    <w:rsid w:val="008E584D"/>
    <w:rsid w:val="008E5C16"/>
    <w:rsid w:val="008E65A4"/>
    <w:rsid w:val="008E7DA1"/>
    <w:rsid w:val="008F0A76"/>
    <w:rsid w:val="008F2D3B"/>
    <w:rsid w:val="008F2F39"/>
    <w:rsid w:val="008F3271"/>
    <w:rsid w:val="008F34B7"/>
    <w:rsid w:val="008F387C"/>
    <w:rsid w:val="008F57DF"/>
    <w:rsid w:val="008F5932"/>
    <w:rsid w:val="008F6FD7"/>
    <w:rsid w:val="008F73AB"/>
    <w:rsid w:val="008F7610"/>
    <w:rsid w:val="008F7830"/>
    <w:rsid w:val="008F7B57"/>
    <w:rsid w:val="009014CC"/>
    <w:rsid w:val="009016D2"/>
    <w:rsid w:val="00901AC8"/>
    <w:rsid w:val="00902322"/>
    <w:rsid w:val="00903759"/>
    <w:rsid w:val="00904004"/>
    <w:rsid w:val="0090551D"/>
    <w:rsid w:val="009065A6"/>
    <w:rsid w:val="00906BCF"/>
    <w:rsid w:val="00907126"/>
    <w:rsid w:val="00907945"/>
    <w:rsid w:val="00907F50"/>
    <w:rsid w:val="00912300"/>
    <w:rsid w:val="00914280"/>
    <w:rsid w:val="00915296"/>
    <w:rsid w:val="009170DE"/>
    <w:rsid w:val="00917B65"/>
    <w:rsid w:val="00920007"/>
    <w:rsid w:val="00920A39"/>
    <w:rsid w:val="0092150C"/>
    <w:rsid w:val="009232C9"/>
    <w:rsid w:val="009243DA"/>
    <w:rsid w:val="0092445B"/>
    <w:rsid w:val="00924E69"/>
    <w:rsid w:val="009251E1"/>
    <w:rsid w:val="00926310"/>
    <w:rsid w:val="00926598"/>
    <w:rsid w:val="00926741"/>
    <w:rsid w:val="009268DC"/>
    <w:rsid w:val="00926B83"/>
    <w:rsid w:val="00926D17"/>
    <w:rsid w:val="009272C6"/>
    <w:rsid w:val="0092764B"/>
    <w:rsid w:val="00931561"/>
    <w:rsid w:val="00931646"/>
    <w:rsid w:val="009319BE"/>
    <w:rsid w:val="00932F08"/>
    <w:rsid w:val="00934335"/>
    <w:rsid w:val="00935015"/>
    <w:rsid w:val="00937E9C"/>
    <w:rsid w:val="00940839"/>
    <w:rsid w:val="0094196D"/>
    <w:rsid w:val="00941DB3"/>
    <w:rsid w:val="00942E00"/>
    <w:rsid w:val="009440F7"/>
    <w:rsid w:val="009449DF"/>
    <w:rsid w:val="009453D5"/>
    <w:rsid w:val="00946513"/>
    <w:rsid w:val="0094776B"/>
    <w:rsid w:val="00947792"/>
    <w:rsid w:val="00950B42"/>
    <w:rsid w:val="00950F9F"/>
    <w:rsid w:val="00951486"/>
    <w:rsid w:val="0095222C"/>
    <w:rsid w:val="0095264A"/>
    <w:rsid w:val="0095292C"/>
    <w:rsid w:val="00953960"/>
    <w:rsid w:val="00954155"/>
    <w:rsid w:val="009547C7"/>
    <w:rsid w:val="00956618"/>
    <w:rsid w:val="009568D6"/>
    <w:rsid w:val="00957330"/>
    <w:rsid w:val="009606C0"/>
    <w:rsid w:val="00960BCE"/>
    <w:rsid w:val="00961156"/>
    <w:rsid w:val="00961172"/>
    <w:rsid w:val="009612C4"/>
    <w:rsid w:val="00962FFF"/>
    <w:rsid w:val="009634D5"/>
    <w:rsid w:val="00963EEA"/>
    <w:rsid w:val="00964A51"/>
    <w:rsid w:val="009650C2"/>
    <w:rsid w:val="00965DBD"/>
    <w:rsid w:val="00966D42"/>
    <w:rsid w:val="00966FB9"/>
    <w:rsid w:val="00967000"/>
    <w:rsid w:val="00967F94"/>
    <w:rsid w:val="00970381"/>
    <w:rsid w:val="009711DD"/>
    <w:rsid w:val="009712D6"/>
    <w:rsid w:val="00971CF8"/>
    <w:rsid w:val="00971FAA"/>
    <w:rsid w:val="0097243D"/>
    <w:rsid w:val="00972D50"/>
    <w:rsid w:val="00973461"/>
    <w:rsid w:val="009745DA"/>
    <w:rsid w:val="00974CC1"/>
    <w:rsid w:val="00974EFF"/>
    <w:rsid w:val="009758F8"/>
    <w:rsid w:val="00975926"/>
    <w:rsid w:val="00976760"/>
    <w:rsid w:val="00977E84"/>
    <w:rsid w:val="00977EC6"/>
    <w:rsid w:val="009804FE"/>
    <w:rsid w:val="00980CBC"/>
    <w:rsid w:val="0098117A"/>
    <w:rsid w:val="00982323"/>
    <w:rsid w:val="0098349C"/>
    <w:rsid w:val="0098372B"/>
    <w:rsid w:val="00983E55"/>
    <w:rsid w:val="0098434B"/>
    <w:rsid w:val="00984DB1"/>
    <w:rsid w:val="00985FB3"/>
    <w:rsid w:val="00986325"/>
    <w:rsid w:val="00990451"/>
    <w:rsid w:val="0099083D"/>
    <w:rsid w:val="00991F6C"/>
    <w:rsid w:val="00992213"/>
    <w:rsid w:val="00992DBB"/>
    <w:rsid w:val="0099373B"/>
    <w:rsid w:val="00993DEB"/>
    <w:rsid w:val="00994255"/>
    <w:rsid w:val="00994F54"/>
    <w:rsid w:val="009953BD"/>
    <w:rsid w:val="00996625"/>
    <w:rsid w:val="009A0BC6"/>
    <w:rsid w:val="009A10CC"/>
    <w:rsid w:val="009A18AB"/>
    <w:rsid w:val="009A311A"/>
    <w:rsid w:val="009A46C7"/>
    <w:rsid w:val="009A49EF"/>
    <w:rsid w:val="009A4A4B"/>
    <w:rsid w:val="009A4E56"/>
    <w:rsid w:val="009A56D5"/>
    <w:rsid w:val="009A5BB3"/>
    <w:rsid w:val="009A6F87"/>
    <w:rsid w:val="009A73B2"/>
    <w:rsid w:val="009A73C4"/>
    <w:rsid w:val="009B03B7"/>
    <w:rsid w:val="009B12B0"/>
    <w:rsid w:val="009B27E7"/>
    <w:rsid w:val="009B2DE8"/>
    <w:rsid w:val="009B2EFF"/>
    <w:rsid w:val="009B3D8D"/>
    <w:rsid w:val="009B40F5"/>
    <w:rsid w:val="009B4945"/>
    <w:rsid w:val="009B4D67"/>
    <w:rsid w:val="009B4D7E"/>
    <w:rsid w:val="009B6B4F"/>
    <w:rsid w:val="009C13DD"/>
    <w:rsid w:val="009C176F"/>
    <w:rsid w:val="009C1B02"/>
    <w:rsid w:val="009C1FEF"/>
    <w:rsid w:val="009C32DF"/>
    <w:rsid w:val="009C40E5"/>
    <w:rsid w:val="009C6C71"/>
    <w:rsid w:val="009C77A6"/>
    <w:rsid w:val="009D0E20"/>
    <w:rsid w:val="009D1016"/>
    <w:rsid w:val="009D1601"/>
    <w:rsid w:val="009D1F4E"/>
    <w:rsid w:val="009D261D"/>
    <w:rsid w:val="009D3184"/>
    <w:rsid w:val="009D4250"/>
    <w:rsid w:val="009D4840"/>
    <w:rsid w:val="009D5E48"/>
    <w:rsid w:val="009D62A1"/>
    <w:rsid w:val="009D716B"/>
    <w:rsid w:val="009E0011"/>
    <w:rsid w:val="009E1123"/>
    <w:rsid w:val="009E14DC"/>
    <w:rsid w:val="009E224B"/>
    <w:rsid w:val="009E2EF6"/>
    <w:rsid w:val="009E320A"/>
    <w:rsid w:val="009E3355"/>
    <w:rsid w:val="009E386E"/>
    <w:rsid w:val="009E3955"/>
    <w:rsid w:val="009E4090"/>
    <w:rsid w:val="009E4202"/>
    <w:rsid w:val="009E4CDF"/>
    <w:rsid w:val="009E56D6"/>
    <w:rsid w:val="009E5D0C"/>
    <w:rsid w:val="009E5F54"/>
    <w:rsid w:val="009E5FB5"/>
    <w:rsid w:val="009E6BD3"/>
    <w:rsid w:val="009E7241"/>
    <w:rsid w:val="009E75B9"/>
    <w:rsid w:val="009F2E91"/>
    <w:rsid w:val="009F2F84"/>
    <w:rsid w:val="009F2F97"/>
    <w:rsid w:val="009F473E"/>
    <w:rsid w:val="00A012AA"/>
    <w:rsid w:val="00A0200F"/>
    <w:rsid w:val="00A028C8"/>
    <w:rsid w:val="00A03033"/>
    <w:rsid w:val="00A0334D"/>
    <w:rsid w:val="00A04174"/>
    <w:rsid w:val="00A04E54"/>
    <w:rsid w:val="00A04EFF"/>
    <w:rsid w:val="00A05EAA"/>
    <w:rsid w:val="00A06884"/>
    <w:rsid w:val="00A070A8"/>
    <w:rsid w:val="00A0765D"/>
    <w:rsid w:val="00A07915"/>
    <w:rsid w:val="00A07BA6"/>
    <w:rsid w:val="00A1007D"/>
    <w:rsid w:val="00A1018C"/>
    <w:rsid w:val="00A10757"/>
    <w:rsid w:val="00A10915"/>
    <w:rsid w:val="00A10A4A"/>
    <w:rsid w:val="00A10F16"/>
    <w:rsid w:val="00A1129B"/>
    <w:rsid w:val="00A12B17"/>
    <w:rsid w:val="00A13C10"/>
    <w:rsid w:val="00A14253"/>
    <w:rsid w:val="00A145B0"/>
    <w:rsid w:val="00A151F3"/>
    <w:rsid w:val="00A153E7"/>
    <w:rsid w:val="00A15850"/>
    <w:rsid w:val="00A1656F"/>
    <w:rsid w:val="00A16A66"/>
    <w:rsid w:val="00A17B44"/>
    <w:rsid w:val="00A20056"/>
    <w:rsid w:val="00A201FE"/>
    <w:rsid w:val="00A22220"/>
    <w:rsid w:val="00A223D4"/>
    <w:rsid w:val="00A234E6"/>
    <w:rsid w:val="00A23A69"/>
    <w:rsid w:val="00A2419A"/>
    <w:rsid w:val="00A24B96"/>
    <w:rsid w:val="00A2502E"/>
    <w:rsid w:val="00A260D8"/>
    <w:rsid w:val="00A27647"/>
    <w:rsid w:val="00A30A16"/>
    <w:rsid w:val="00A30B0B"/>
    <w:rsid w:val="00A312A2"/>
    <w:rsid w:val="00A313B1"/>
    <w:rsid w:val="00A32489"/>
    <w:rsid w:val="00A32696"/>
    <w:rsid w:val="00A32B02"/>
    <w:rsid w:val="00A33942"/>
    <w:rsid w:val="00A33A26"/>
    <w:rsid w:val="00A346B4"/>
    <w:rsid w:val="00A34CE9"/>
    <w:rsid w:val="00A35DF7"/>
    <w:rsid w:val="00A364A2"/>
    <w:rsid w:val="00A36823"/>
    <w:rsid w:val="00A36D06"/>
    <w:rsid w:val="00A374C3"/>
    <w:rsid w:val="00A3780D"/>
    <w:rsid w:val="00A37ACF"/>
    <w:rsid w:val="00A37B3A"/>
    <w:rsid w:val="00A37F3A"/>
    <w:rsid w:val="00A40BE7"/>
    <w:rsid w:val="00A41F39"/>
    <w:rsid w:val="00A44B58"/>
    <w:rsid w:val="00A4515D"/>
    <w:rsid w:val="00A45A68"/>
    <w:rsid w:val="00A46157"/>
    <w:rsid w:val="00A46B09"/>
    <w:rsid w:val="00A474A8"/>
    <w:rsid w:val="00A50BB1"/>
    <w:rsid w:val="00A515F5"/>
    <w:rsid w:val="00A52A72"/>
    <w:rsid w:val="00A535D6"/>
    <w:rsid w:val="00A53AC4"/>
    <w:rsid w:val="00A53D13"/>
    <w:rsid w:val="00A540B8"/>
    <w:rsid w:val="00A546AF"/>
    <w:rsid w:val="00A5515A"/>
    <w:rsid w:val="00A559DE"/>
    <w:rsid w:val="00A563C9"/>
    <w:rsid w:val="00A565AA"/>
    <w:rsid w:val="00A570D2"/>
    <w:rsid w:val="00A5712F"/>
    <w:rsid w:val="00A57972"/>
    <w:rsid w:val="00A57CA6"/>
    <w:rsid w:val="00A600B2"/>
    <w:rsid w:val="00A607E8"/>
    <w:rsid w:val="00A6159F"/>
    <w:rsid w:val="00A6186D"/>
    <w:rsid w:val="00A61BF7"/>
    <w:rsid w:val="00A62DAF"/>
    <w:rsid w:val="00A62EB0"/>
    <w:rsid w:val="00A63A24"/>
    <w:rsid w:val="00A63CBF"/>
    <w:rsid w:val="00A6454F"/>
    <w:rsid w:val="00A64AEC"/>
    <w:rsid w:val="00A64DB5"/>
    <w:rsid w:val="00A65091"/>
    <w:rsid w:val="00A658FC"/>
    <w:rsid w:val="00A65BD9"/>
    <w:rsid w:val="00A673AD"/>
    <w:rsid w:val="00A73663"/>
    <w:rsid w:val="00A7399C"/>
    <w:rsid w:val="00A73B34"/>
    <w:rsid w:val="00A74392"/>
    <w:rsid w:val="00A75677"/>
    <w:rsid w:val="00A761BA"/>
    <w:rsid w:val="00A7622E"/>
    <w:rsid w:val="00A76B1B"/>
    <w:rsid w:val="00A76FBA"/>
    <w:rsid w:val="00A77178"/>
    <w:rsid w:val="00A77F95"/>
    <w:rsid w:val="00A8046F"/>
    <w:rsid w:val="00A8107E"/>
    <w:rsid w:val="00A81F7D"/>
    <w:rsid w:val="00A829D9"/>
    <w:rsid w:val="00A839F4"/>
    <w:rsid w:val="00A83AF3"/>
    <w:rsid w:val="00A84649"/>
    <w:rsid w:val="00A84CB0"/>
    <w:rsid w:val="00A85523"/>
    <w:rsid w:val="00A858C5"/>
    <w:rsid w:val="00A86B32"/>
    <w:rsid w:val="00A86B7A"/>
    <w:rsid w:val="00A86DF2"/>
    <w:rsid w:val="00A86F8B"/>
    <w:rsid w:val="00A87AEC"/>
    <w:rsid w:val="00A908C8"/>
    <w:rsid w:val="00A9091C"/>
    <w:rsid w:val="00A909F5"/>
    <w:rsid w:val="00A9137A"/>
    <w:rsid w:val="00A9159D"/>
    <w:rsid w:val="00A91EED"/>
    <w:rsid w:val="00A93839"/>
    <w:rsid w:val="00A939AD"/>
    <w:rsid w:val="00A94C84"/>
    <w:rsid w:val="00A9511C"/>
    <w:rsid w:val="00A95D49"/>
    <w:rsid w:val="00A95DC7"/>
    <w:rsid w:val="00A96154"/>
    <w:rsid w:val="00A96323"/>
    <w:rsid w:val="00A96CFF"/>
    <w:rsid w:val="00A9779F"/>
    <w:rsid w:val="00A97F7E"/>
    <w:rsid w:val="00A97FE7"/>
    <w:rsid w:val="00AA0B77"/>
    <w:rsid w:val="00AA0B8D"/>
    <w:rsid w:val="00AA0EA5"/>
    <w:rsid w:val="00AA120D"/>
    <w:rsid w:val="00AA151F"/>
    <w:rsid w:val="00AA204C"/>
    <w:rsid w:val="00AA2FC4"/>
    <w:rsid w:val="00AA3053"/>
    <w:rsid w:val="00AA329E"/>
    <w:rsid w:val="00AA365C"/>
    <w:rsid w:val="00AA499F"/>
    <w:rsid w:val="00AA5254"/>
    <w:rsid w:val="00AA5A25"/>
    <w:rsid w:val="00AA7DFA"/>
    <w:rsid w:val="00AB09C5"/>
    <w:rsid w:val="00AB24AC"/>
    <w:rsid w:val="00AB2CF1"/>
    <w:rsid w:val="00AB2FC2"/>
    <w:rsid w:val="00AB3AD7"/>
    <w:rsid w:val="00AB433D"/>
    <w:rsid w:val="00AB447B"/>
    <w:rsid w:val="00AB53B2"/>
    <w:rsid w:val="00AB53CD"/>
    <w:rsid w:val="00AB5433"/>
    <w:rsid w:val="00AB5CCC"/>
    <w:rsid w:val="00AB66C4"/>
    <w:rsid w:val="00AB6BC4"/>
    <w:rsid w:val="00AB6D68"/>
    <w:rsid w:val="00AB6DB0"/>
    <w:rsid w:val="00AC089D"/>
    <w:rsid w:val="00AC1A6C"/>
    <w:rsid w:val="00AC2281"/>
    <w:rsid w:val="00AC3346"/>
    <w:rsid w:val="00AC50DF"/>
    <w:rsid w:val="00AC51BF"/>
    <w:rsid w:val="00AC6910"/>
    <w:rsid w:val="00AC739B"/>
    <w:rsid w:val="00AD05F6"/>
    <w:rsid w:val="00AD191A"/>
    <w:rsid w:val="00AD2132"/>
    <w:rsid w:val="00AD2259"/>
    <w:rsid w:val="00AD3F34"/>
    <w:rsid w:val="00AD4621"/>
    <w:rsid w:val="00AD4A13"/>
    <w:rsid w:val="00AD4DD6"/>
    <w:rsid w:val="00AD537F"/>
    <w:rsid w:val="00AD5698"/>
    <w:rsid w:val="00AD6231"/>
    <w:rsid w:val="00AD6A6A"/>
    <w:rsid w:val="00AD768F"/>
    <w:rsid w:val="00AD7C28"/>
    <w:rsid w:val="00AD7E47"/>
    <w:rsid w:val="00AE1130"/>
    <w:rsid w:val="00AE13E1"/>
    <w:rsid w:val="00AE1B1C"/>
    <w:rsid w:val="00AE1D37"/>
    <w:rsid w:val="00AE2C68"/>
    <w:rsid w:val="00AE32F5"/>
    <w:rsid w:val="00AE4614"/>
    <w:rsid w:val="00AE5A73"/>
    <w:rsid w:val="00AE69C2"/>
    <w:rsid w:val="00AE6E46"/>
    <w:rsid w:val="00AE7757"/>
    <w:rsid w:val="00AF1589"/>
    <w:rsid w:val="00AF1786"/>
    <w:rsid w:val="00AF1B2A"/>
    <w:rsid w:val="00AF232E"/>
    <w:rsid w:val="00AF2702"/>
    <w:rsid w:val="00AF299A"/>
    <w:rsid w:val="00AF2B65"/>
    <w:rsid w:val="00AF2F49"/>
    <w:rsid w:val="00AF4E97"/>
    <w:rsid w:val="00AF57D3"/>
    <w:rsid w:val="00AF6273"/>
    <w:rsid w:val="00AF6771"/>
    <w:rsid w:val="00AF7532"/>
    <w:rsid w:val="00AF7E9E"/>
    <w:rsid w:val="00B00AC6"/>
    <w:rsid w:val="00B01BD7"/>
    <w:rsid w:val="00B01C39"/>
    <w:rsid w:val="00B04CDE"/>
    <w:rsid w:val="00B052EB"/>
    <w:rsid w:val="00B054C7"/>
    <w:rsid w:val="00B07881"/>
    <w:rsid w:val="00B07BE5"/>
    <w:rsid w:val="00B1096A"/>
    <w:rsid w:val="00B1119B"/>
    <w:rsid w:val="00B11DC6"/>
    <w:rsid w:val="00B123E0"/>
    <w:rsid w:val="00B12A35"/>
    <w:rsid w:val="00B1468D"/>
    <w:rsid w:val="00B14F7F"/>
    <w:rsid w:val="00B15598"/>
    <w:rsid w:val="00B16E68"/>
    <w:rsid w:val="00B17427"/>
    <w:rsid w:val="00B207F5"/>
    <w:rsid w:val="00B20AAB"/>
    <w:rsid w:val="00B2155C"/>
    <w:rsid w:val="00B21B66"/>
    <w:rsid w:val="00B22063"/>
    <w:rsid w:val="00B222D3"/>
    <w:rsid w:val="00B225ED"/>
    <w:rsid w:val="00B22AE8"/>
    <w:rsid w:val="00B23A1B"/>
    <w:rsid w:val="00B24BE9"/>
    <w:rsid w:val="00B24C37"/>
    <w:rsid w:val="00B25026"/>
    <w:rsid w:val="00B26283"/>
    <w:rsid w:val="00B2722B"/>
    <w:rsid w:val="00B275EA"/>
    <w:rsid w:val="00B27764"/>
    <w:rsid w:val="00B300A7"/>
    <w:rsid w:val="00B30EED"/>
    <w:rsid w:val="00B31313"/>
    <w:rsid w:val="00B31D66"/>
    <w:rsid w:val="00B3228D"/>
    <w:rsid w:val="00B32A08"/>
    <w:rsid w:val="00B32CD3"/>
    <w:rsid w:val="00B33C4B"/>
    <w:rsid w:val="00B34618"/>
    <w:rsid w:val="00B34829"/>
    <w:rsid w:val="00B35456"/>
    <w:rsid w:val="00B35769"/>
    <w:rsid w:val="00B35A3F"/>
    <w:rsid w:val="00B35C2E"/>
    <w:rsid w:val="00B3695D"/>
    <w:rsid w:val="00B37292"/>
    <w:rsid w:val="00B378E9"/>
    <w:rsid w:val="00B37F70"/>
    <w:rsid w:val="00B4058F"/>
    <w:rsid w:val="00B41BDF"/>
    <w:rsid w:val="00B4255C"/>
    <w:rsid w:val="00B4279F"/>
    <w:rsid w:val="00B453A5"/>
    <w:rsid w:val="00B453F3"/>
    <w:rsid w:val="00B45576"/>
    <w:rsid w:val="00B45E7F"/>
    <w:rsid w:val="00B4620F"/>
    <w:rsid w:val="00B4645B"/>
    <w:rsid w:val="00B466D0"/>
    <w:rsid w:val="00B46C56"/>
    <w:rsid w:val="00B46F37"/>
    <w:rsid w:val="00B47966"/>
    <w:rsid w:val="00B47CAC"/>
    <w:rsid w:val="00B5019A"/>
    <w:rsid w:val="00B501E0"/>
    <w:rsid w:val="00B51EC5"/>
    <w:rsid w:val="00B5255A"/>
    <w:rsid w:val="00B5303D"/>
    <w:rsid w:val="00B534F8"/>
    <w:rsid w:val="00B539B5"/>
    <w:rsid w:val="00B53F0A"/>
    <w:rsid w:val="00B54530"/>
    <w:rsid w:val="00B54623"/>
    <w:rsid w:val="00B548E3"/>
    <w:rsid w:val="00B549A2"/>
    <w:rsid w:val="00B54AC3"/>
    <w:rsid w:val="00B54D04"/>
    <w:rsid w:val="00B54EA8"/>
    <w:rsid w:val="00B56963"/>
    <w:rsid w:val="00B569D8"/>
    <w:rsid w:val="00B56CFB"/>
    <w:rsid w:val="00B57AB4"/>
    <w:rsid w:val="00B614C1"/>
    <w:rsid w:val="00B61724"/>
    <w:rsid w:val="00B62662"/>
    <w:rsid w:val="00B6282F"/>
    <w:rsid w:val="00B63064"/>
    <w:rsid w:val="00B649BA"/>
    <w:rsid w:val="00B65632"/>
    <w:rsid w:val="00B66AF9"/>
    <w:rsid w:val="00B67C30"/>
    <w:rsid w:val="00B67FE9"/>
    <w:rsid w:val="00B7203B"/>
    <w:rsid w:val="00B72B57"/>
    <w:rsid w:val="00B72BC9"/>
    <w:rsid w:val="00B72C04"/>
    <w:rsid w:val="00B72CD7"/>
    <w:rsid w:val="00B73ECC"/>
    <w:rsid w:val="00B745B8"/>
    <w:rsid w:val="00B76026"/>
    <w:rsid w:val="00B767DE"/>
    <w:rsid w:val="00B76C3F"/>
    <w:rsid w:val="00B76FF1"/>
    <w:rsid w:val="00B77547"/>
    <w:rsid w:val="00B805F0"/>
    <w:rsid w:val="00B8089E"/>
    <w:rsid w:val="00B808DB"/>
    <w:rsid w:val="00B80DBA"/>
    <w:rsid w:val="00B82078"/>
    <w:rsid w:val="00B82B34"/>
    <w:rsid w:val="00B82B43"/>
    <w:rsid w:val="00B82D74"/>
    <w:rsid w:val="00B836A9"/>
    <w:rsid w:val="00B83B3B"/>
    <w:rsid w:val="00B84307"/>
    <w:rsid w:val="00B84B5D"/>
    <w:rsid w:val="00B84D59"/>
    <w:rsid w:val="00B85140"/>
    <w:rsid w:val="00B863CF"/>
    <w:rsid w:val="00B86659"/>
    <w:rsid w:val="00B86F9D"/>
    <w:rsid w:val="00B8795E"/>
    <w:rsid w:val="00B90605"/>
    <w:rsid w:val="00B9102F"/>
    <w:rsid w:val="00B92B19"/>
    <w:rsid w:val="00B93ACF"/>
    <w:rsid w:val="00B93C05"/>
    <w:rsid w:val="00B9474F"/>
    <w:rsid w:val="00B94E9C"/>
    <w:rsid w:val="00B953AC"/>
    <w:rsid w:val="00B956A9"/>
    <w:rsid w:val="00B96314"/>
    <w:rsid w:val="00B96B2B"/>
    <w:rsid w:val="00B97774"/>
    <w:rsid w:val="00BA20B6"/>
    <w:rsid w:val="00BA4A0E"/>
    <w:rsid w:val="00BA74B3"/>
    <w:rsid w:val="00BA7FC5"/>
    <w:rsid w:val="00BB01E6"/>
    <w:rsid w:val="00BB0A00"/>
    <w:rsid w:val="00BB0BAD"/>
    <w:rsid w:val="00BB1E24"/>
    <w:rsid w:val="00BB230F"/>
    <w:rsid w:val="00BB231B"/>
    <w:rsid w:val="00BB253D"/>
    <w:rsid w:val="00BB29A7"/>
    <w:rsid w:val="00BB2D6F"/>
    <w:rsid w:val="00BB33EC"/>
    <w:rsid w:val="00BB36B7"/>
    <w:rsid w:val="00BB43BA"/>
    <w:rsid w:val="00BB43C8"/>
    <w:rsid w:val="00BB4672"/>
    <w:rsid w:val="00BB745D"/>
    <w:rsid w:val="00BB77AB"/>
    <w:rsid w:val="00BB7851"/>
    <w:rsid w:val="00BB7945"/>
    <w:rsid w:val="00BC0BAB"/>
    <w:rsid w:val="00BC11B8"/>
    <w:rsid w:val="00BC2554"/>
    <w:rsid w:val="00BC27A8"/>
    <w:rsid w:val="00BC3612"/>
    <w:rsid w:val="00BC53F5"/>
    <w:rsid w:val="00BC5DC8"/>
    <w:rsid w:val="00BC69D9"/>
    <w:rsid w:val="00BC6B72"/>
    <w:rsid w:val="00BD12E9"/>
    <w:rsid w:val="00BD1698"/>
    <w:rsid w:val="00BD1C08"/>
    <w:rsid w:val="00BD1C50"/>
    <w:rsid w:val="00BD413F"/>
    <w:rsid w:val="00BD4199"/>
    <w:rsid w:val="00BD4F5C"/>
    <w:rsid w:val="00BD56EB"/>
    <w:rsid w:val="00BD76DB"/>
    <w:rsid w:val="00BD7A61"/>
    <w:rsid w:val="00BD7E6A"/>
    <w:rsid w:val="00BE0024"/>
    <w:rsid w:val="00BE02BB"/>
    <w:rsid w:val="00BE052E"/>
    <w:rsid w:val="00BE08F9"/>
    <w:rsid w:val="00BE1058"/>
    <w:rsid w:val="00BE3087"/>
    <w:rsid w:val="00BE59FB"/>
    <w:rsid w:val="00BE646E"/>
    <w:rsid w:val="00BE6785"/>
    <w:rsid w:val="00BE69B3"/>
    <w:rsid w:val="00BE7E88"/>
    <w:rsid w:val="00BF196E"/>
    <w:rsid w:val="00BF2881"/>
    <w:rsid w:val="00BF295C"/>
    <w:rsid w:val="00BF2BF4"/>
    <w:rsid w:val="00BF2CA4"/>
    <w:rsid w:val="00BF2F31"/>
    <w:rsid w:val="00BF3284"/>
    <w:rsid w:val="00BF3D8F"/>
    <w:rsid w:val="00BF5CE0"/>
    <w:rsid w:val="00BF61B8"/>
    <w:rsid w:val="00BF7D7D"/>
    <w:rsid w:val="00BF7ED8"/>
    <w:rsid w:val="00C0084F"/>
    <w:rsid w:val="00C00E22"/>
    <w:rsid w:val="00C0144D"/>
    <w:rsid w:val="00C0171B"/>
    <w:rsid w:val="00C0176D"/>
    <w:rsid w:val="00C024BD"/>
    <w:rsid w:val="00C03343"/>
    <w:rsid w:val="00C042DE"/>
    <w:rsid w:val="00C048A7"/>
    <w:rsid w:val="00C05C85"/>
    <w:rsid w:val="00C062C2"/>
    <w:rsid w:val="00C06B4A"/>
    <w:rsid w:val="00C0711F"/>
    <w:rsid w:val="00C074B1"/>
    <w:rsid w:val="00C074C4"/>
    <w:rsid w:val="00C101A0"/>
    <w:rsid w:val="00C10A9C"/>
    <w:rsid w:val="00C11235"/>
    <w:rsid w:val="00C11918"/>
    <w:rsid w:val="00C129CB"/>
    <w:rsid w:val="00C12B2E"/>
    <w:rsid w:val="00C13EE5"/>
    <w:rsid w:val="00C147D2"/>
    <w:rsid w:val="00C15598"/>
    <w:rsid w:val="00C16376"/>
    <w:rsid w:val="00C174F3"/>
    <w:rsid w:val="00C175F9"/>
    <w:rsid w:val="00C1760D"/>
    <w:rsid w:val="00C17C56"/>
    <w:rsid w:val="00C17CB6"/>
    <w:rsid w:val="00C17D47"/>
    <w:rsid w:val="00C17DE6"/>
    <w:rsid w:val="00C20A0A"/>
    <w:rsid w:val="00C225F8"/>
    <w:rsid w:val="00C227F1"/>
    <w:rsid w:val="00C22AC4"/>
    <w:rsid w:val="00C23243"/>
    <w:rsid w:val="00C238CF"/>
    <w:rsid w:val="00C24002"/>
    <w:rsid w:val="00C2408F"/>
    <w:rsid w:val="00C241A8"/>
    <w:rsid w:val="00C24ADA"/>
    <w:rsid w:val="00C24B21"/>
    <w:rsid w:val="00C25FE5"/>
    <w:rsid w:val="00C27BE7"/>
    <w:rsid w:val="00C27E82"/>
    <w:rsid w:val="00C313F4"/>
    <w:rsid w:val="00C32660"/>
    <w:rsid w:val="00C3283D"/>
    <w:rsid w:val="00C34B6C"/>
    <w:rsid w:val="00C3530D"/>
    <w:rsid w:val="00C35673"/>
    <w:rsid w:val="00C35FE9"/>
    <w:rsid w:val="00C376E4"/>
    <w:rsid w:val="00C40579"/>
    <w:rsid w:val="00C413BD"/>
    <w:rsid w:val="00C41467"/>
    <w:rsid w:val="00C418F2"/>
    <w:rsid w:val="00C420F1"/>
    <w:rsid w:val="00C42311"/>
    <w:rsid w:val="00C43236"/>
    <w:rsid w:val="00C438C0"/>
    <w:rsid w:val="00C44508"/>
    <w:rsid w:val="00C454F2"/>
    <w:rsid w:val="00C45F7B"/>
    <w:rsid w:val="00C5033B"/>
    <w:rsid w:val="00C50385"/>
    <w:rsid w:val="00C52E27"/>
    <w:rsid w:val="00C53BAA"/>
    <w:rsid w:val="00C5430A"/>
    <w:rsid w:val="00C54354"/>
    <w:rsid w:val="00C54456"/>
    <w:rsid w:val="00C55F04"/>
    <w:rsid w:val="00C56223"/>
    <w:rsid w:val="00C56FBC"/>
    <w:rsid w:val="00C576CE"/>
    <w:rsid w:val="00C579CB"/>
    <w:rsid w:val="00C60785"/>
    <w:rsid w:val="00C609C9"/>
    <w:rsid w:val="00C60CDB"/>
    <w:rsid w:val="00C61B7D"/>
    <w:rsid w:val="00C61F7F"/>
    <w:rsid w:val="00C62342"/>
    <w:rsid w:val="00C62E17"/>
    <w:rsid w:val="00C6313F"/>
    <w:rsid w:val="00C64393"/>
    <w:rsid w:val="00C643B9"/>
    <w:rsid w:val="00C65C2E"/>
    <w:rsid w:val="00C66B8B"/>
    <w:rsid w:val="00C67B83"/>
    <w:rsid w:val="00C7134C"/>
    <w:rsid w:val="00C71784"/>
    <w:rsid w:val="00C722CC"/>
    <w:rsid w:val="00C72415"/>
    <w:rsid w:val="00C7311A"/>
    <w:rsid w:val="00C73807"/>
    <w:rsid w:val="00C74C71"/>
    <w:rsid w:val="00C74CFB"/>
    <w:rsid w:val="00C764E7"/>
    <w:rsid w:val="00C77394"/>
    <w:rsid w:val="00C77B08"/>
    <w:rsid w:val="00C8007F"/>
    <w:rsid w:val="00C805F6"/>
    <w:rsid w:val="00C81529"/>
    <w:rsid w:val="00C81C4B"/>
    <w:rsid w:val="00C81C9D"/>
    <w:rsid w:val="00C82D51"/>
    <w:rsid w:val="00C83997"/>
    <w:rsid w:val="00C83B76"/>
    <w:rsid w:val="00C83D7D"/>
    <w:rsid w:val="00C844DA"/>
    <w:rsid w:val="00C84915"/>
    <w:rsid w:val="00C84F91"/>
    <w:rsid w:val="00C865E6"/>
    <w:rsid w:val="00C874B8"/>
    <w:rsid w:val="00C90E89"/>
    <w:rsid w:val="00C90EAB"/>
    <w:rsid w:val="00C92F1D"/>
    <w:rsid w:val="00C93490"/>
    <w:rsid w:val="00C945DC"/>
    <w:rsid w:val="00C95CDF"/>
    <w:rsid w:val="00C96795"/>
    <w:rsid w:val="00C97BE4"/>
    <w:rsid w:val="00C97C4D"/>
    <w:rsid w:val="00CA0281"/>
    <w:rsid w:val="00CA07F0"/>
    <w:rsid w:val="00CA1108"/>
    <w:rsid w:val="00CA27A4"/>
    <w:rsid w:val="00CA2A8A"/>
    <w:rsid w:val="00CA2C25"/>
    <w:rsid w:val="00CA4052"/>
    <w:rsid w:val="00CA588E"/>
    <w:rsid w:val="00CA5E89"/>
    <w:rsid w:val="00CA73C0"/>
    <w:rsid w:val="00CA762E"/>
    <w:rsid w:val="00CA7CF6"/>
    <w:rsid w:val="00CA7E2B"/>
    <w:rsid w:val="00CB1E7F"/>
    <w:rsid w:val="00CB2497"/>
    <w:rsid w:val="00CB497D"/>
    <w:rsid w:val="00CB4D85"/>
    <w:rsid w:val="00CB5C5E"/>
    <w:rsid w:val="00CB6094"/>
    <w:rsid w:val="00CB63D9"/>
    <w:rsid w:val="00CB691A"/>
    <w:rsid w:val="00CB72F0"/>
    <w:rsid w:val="00CB7DB1"/>
    <w:rsid w:val="00CC09A7"/>
    <w:rsid w:val="00CC0BA3"/>
    <w:rsid w:val="00CC16FC"/>
    <w:rsid w:val="00CC1C3D"/>
    <w:rsid w:val="00CC279B"/>
    <w:rsid w:val="00CC2B09"/>
    <w:rsid w:val="00CC2B5D"/>
    <w:rsid w:val="00CC2DD0"/>
    <w:rsid w:val="00CC2EEF"/>
    <w:rsid w:val="00CC342F"/>
    <w:rsid w:val="00CC39B4"/>
    <w:rsid w:val="00CC4584"/>
    <w:rsid w:val="00CC4DAB"/>
    <w:rsid w:val="00CC5C50"/>
    <w:rsid w:val="00CC7E0D"/>
    <w:rsid w:val="00CD098B"/>
    <w:rsid w:val="00CD0A78"/>
    <w:rsid w:val="00CD158C"/>
    <w:rsid w:val="00CD257D"/>
    <w:rsid w:val="00CD2C26"/>
    <w:rsid w:val="00CD30A2"/>
    <w:rsid w:val="00CD3249"/>
    <w:rsid w:val="00CD3910"/>
    <w:rsid w:val="00CD3920"/>
    <w:rsid w:val="00CD39A8"/>
    <w:rsid w:val="00CD3BC5"/>
    <w:rsid w:val="00CD3C33"/>
    <w:rsid w:val="00CD46DE"/>
    <w:rsid w:val="00CD5188"/>
    <w:rsid w:val="00CD52A8"/>
    <w:rsid w:val="00CD5F56"/>
    <w:rsid w:val="00CD6317"/>
    <w:rsid w:val="00CD6339"/>
    <w:rsid w:val="00CD63EE"/>
    <w:rsid w:val="00CD6C0A"/>
    <w:rsid w:val="00CE0E01"/>
    <w:rsid w:val="00CE0F38"/>
    <w:rsid w:val="00CE1878"/>
    <w:rsid w:val="00CE2816"/>
    <w:rsid w:val="00CE461A"/>
    <w:rsid w:val="00CE4B2B"/>
    <w:rsid w:val="00CE5E91"/>
    <w:rsid w:val="00CE5F5A"/>
    <w:rsid w:val="00CE6557"/>
    <w:rsid w:val="00CE751B"/>
    <w:rsid w:val="00CF16E5"/>
    <w:rsid w:val="00CF210B"/>
    <w:rsid w:val="00CF2658"/>
    <w:rsid w:val="00CF3137"/>
    <w:rsid w:val="00CF3B34"/>
    <w:rsid w:val="00CF3C43"/>
    <w:rsid w:val="00CF4153"/>
    <w:rsid w:val="00CF43E6"/>
    <w:rsid w:val="00CF44EC"/>
    <w:rsid w:val="00CF463C"/>
    <w:rsid w:val="00CF517E"/>
    <w:rsid w:val="00CF64B7"/>
    <w:rsid w:val="00CF6ACD"/>
    <w:rsid w:val="00CF7111"/>
    <w:rsid w:val="00CF7118"/>
    <w:rsid w:val="00CF74B7"/>
    <w:rsid w:val="00CF7D0D"/>
    <w:rsid w:val="00D00881"/>
    <w:rsid w:val="00D01CE6"/>
    <w:rsid w:val="00D03EA8"/>
    <w:rsid w:val="00D03F38"/>
    <w:rsid w:val="00D05143"/>
    <w:rsid w:val="00D0577E"/>
    <w:rsid w:val="00D0701F"/>
    <w:rsid w:val="00D072A3"/>
    <w:rsid w:val="00D077F0"/>
    <w:rsid w:val="00D10BDC"/>
    <w:rsid w:val="00D113B8"/>
    <w:rsid w:val="00D117A3"/>
    <w:rsid w:val="00D12030"/>
    <w:rsid w:val="00D125A1"/>
    <w:rsid w:val="00D13D92"/>
    <w:rsid w:val="00D15742"/>
    <w:rsid w:val="00D16934"/>
    <w:rsid w:val="00D16DAD"/>
    <w:rsid w:val="00D170B7"/>
    <w:rsid w:val="00D1784F"/>
    <w:rsid w:val="00D21895"/>
    <w:rsid w:val="00D219D5"/>
    <w:rsid w:val="00D225C4"/>
    <w:rsid w:val="00D227ED"/>
    <w:rsid w:val="00D22B9A"/>
    <w:rsid w:val="00D240E8"/>
    <w:rsid w:val="00D246C8"/>
    <w:rsid w:val="00D247F7"/>
    <w:rsid w:val="00D25A92"/>
    <w:rsid w:val="00D26CBD"/>
    <w:rsid w:val="00D26F02"/>
    <w:rsid w:val="00D270CD"/>
    <w:rsid w:val="00D27617"/>
    <w:rsid w:val="00D30E8E"/>
    <w:rsid w:val="00D30FA0"/>
    <w:rsid w:val="00D313FC"/>
    <w:rsid w:val="00D31700"/>
    <w:rsid w:val="00D32370"/>
    <w:rsid w:val="00D324CB"/>
    <w:rsid w:val="00D3270C"/>
    <w:rsid w:val="00D32FCA"/>
    <w:rsid w:val="00D335EE"/>
    <w:rsid w:val="00D33674"/>
    <w:rsid w:val="00D33C67"/>
    <w:rsid w:val="00D33D67"/>
    <w:rsid w:val="00D33DA1"/>
    <w:rsid w:val="00D33E8D"/>
    <w:rsid w:val="00D34190"/>
    <w:rsid w:val="00D34824"/>
    <w:rsid w:val="00D35720"/>
    <w:rsid w:val="00D35C57"/>
    <w:rsid w:val="00D361BC"/>
    <w:rsid w:val="00D36533"/>
    <w:rsid w:val="00D36571"/>
    <w:rsid w:val="00D36782"/>
    <w:rsid w:val="00D36A45"/>
    <w:rsid w:val="00D3726A"/>
    <w:rsid w:val="00D37A81"/>
    <w:rsid w:val="00D40087"/>
    <w:rsid w:val="00D41A79"/>
    <w:rsid w:val="00D41AF1"/>
    <w:rsid w:val="00D41E2B"/>
    <w:rsid w:val="00D41EC2"/>
    <w:rsid w:val="00D42C7A"/>
    <w:rsid w:val="00D42D28"/>
    <w:rsid w:val="00D43AE4"/>
    <w:rsid w:val="00D44527"/>
    <w:rsid w:val="00D4473A"/>
    <w:rsid w:val="00D44C52"/>
    <w:rsid w:val="00D45209"/>
    <w:rsid w:val="00D4573D"/>
    <w:rsid w:val="00D45952"/>
    <w:rsid w:val="00D471CD"/>
    <w:rsid w:val="00D47B94"/>
    <w:rsid w:val="00D50C40"/>
    <w:rsid w:val="00D50D87"/>
    <w:rsid w:val="00D51127"/>
    <w:rsid w:val="00D51876"/>
    <w:rsid w:val="00D52BE6"/>
    <w:rsid w:val="00D535CE"/>
    <w:rsid w:val="00D53908"/>
    <w:rsid w:val="00D53D77"/>
    <w:rsid w:val="00D541E3"/>
    <w:rsid w:val="00D54293"/>
    <w:rsid w:val="00D54AA2"/>
    <w:rsid w:val="00D54C19"/>
    <w:rsid w:val="00D5562F"/>
    <w:rsid w:val="00D55FE9"/>
    <w:rsid w:val="00D56374"/>
    <w:rsid w:val="00D5681C"/>
    <w:rsid w:val="00D56EDA"/>
    <w:rsid w:val="00D578C1"/>
    <w:rsid w:val="00D57D01"/>
    <w:rsid w:val="00D57D64"/>
    <w:rsid w:val="00D57DA3"/>
    <w:rsid w:val="00D626EE"/>
    <w:rsid w:val="00D62A71"/>
    <w:rsid w:val="00D6364E"/>
    <w:rsid w:val="00D63BA2"/>
    <w:rsid w:val="00D65797"/>
    <w:rsid w:val="00D65BD1"/>
    <w:rsid w:val="00D65C9C"/>
    <w:rsid w:val="00D66475"/>
    <w:rsid w:val="00D6680C"/>
    <w:rsid w:val="00D70EDF"/>
    <w:rsid w:val="00D72697"/>
    <w:rsid w:val="00D72E49"/>
    <w:rsid w:val="00D734D9"/>
    <w:rsid w:val="00D744B6"/>
    <w:rsid w:val="00D747A7"/>
    <w:rsid w:val="00D74FB5"/>
    <w:rsid w:val="00D7541D"/>
    <w:rsid w:val="00D76B0A"/>
    <w:rsid w:val="00D7719B"/>
    <w:rsid w:val="00D800B5"/>
    <w:rsid w:val="00D815EE"/>
    <w:rsid w:val="00D84E4A"/>
    <w:rsid w:val="00D8680E"/>
    <w:rsid w:val="00D87C4C"/>
    <w:rsid w:val="00D87D8B"/>
    <w:rsid w:val="00D87F16"/>
    <w:rsid w:val="00D90023"/>
    <w:rsid w:val="00D93871"/>
    <w:rsid w:val="00D93A10"/>
    <w:rsid w:val="00D95DBF"/>
    <w:rsid w:val="00D96356"/>
    <w:rsid w:val="00D969A3"/>
    <w:rsid w:val="00D96A2E"/>
    <w:rsid w:val="00D96DF9"/>
    <w:rsid w:val="00D97BC8"/>
    <w:rsid w:val="00D97C64"/>
    <w:rsid w:val="00DA0632"/>
    <w:rsid w:val="00DA123C"/>
    <w:rsid w:val="00DA13AD"/>
    <w:rsid w:val="00DA192D"/>
    <w:rsid w:val="00DA1A35"/>
    <w:rsid w:val="00DA1D43"/>
    <w:rsid w:val="00DA21BA"/>
    <w:rsid w:val="00DA2294"/>
    <w:rsid w:val="00DA3DAE"/>
    <w:rsid w:val="00DA47C3"/>
    <w:rsid w:val="00DA4C97"/>
    <w:rsid w:val="00DA76DE"/>
    <w:rsid w:val="00DA79CB"/>
    <w:rsid w:val="00DA7BB0"/>
    <w:rsid w:val="00DA7C46"/>
    <w:rsid w:val="00DB18C5"/>
    <w:rsid w:val="00DB20F3"/>
    <w:rsid w:val="00DB2DE8"/>
    <w:rsid w:val="00DB356F"/>
    <w:rsid w:val="00DB38D5"/>
    <w:rsid w:val="00DB40B8"/>
    <w:rsid w:val="00DB42EE"/>
    <w:rsid w:val="00DB4367"/>
    <w:rsid w:val="00DB4CFC"/>
    <w:rsid w:val="00DB5201"/>
    <w:rsid w:val="00DB5DE5"/>
    <w:rsid w:val="00DB65C5"/>
    <w:rsid w:val="00DB6986"/>
    <w:rsid w:val="00DC09C4"/>
    <w:rsid w:val="00DC0C6E"/>
    <w:rsid w:val="00DC15F9"/>
    <w:rsid w:val="00DC218D"/>
    <w:rsid w:val="00DC367D"/>
    <w:rsid w:val="00DC4845"/>
    <w:rsid w:val="00DC4D90"/>
    <w:rsid w:val="00DC5CB4"/>
    <w:rsid w:val="00DC5DE8"/>
    <w:rsid w:val="00DC69A5"/>
    <w:rsid w:val="00DC6AA3"/>
    <w:rsid w:val="00DC748B"/>
    <w:rsid w:val="00DD02B5"/>
    <w:rsid w:val="00DD02DA"/>
    <w:rsid w:val="00DD233D"/>
    <w:rsid w:val="00DD26C3"/>
    <w:rsid w:val="00DD3367"/>
    <w:rsid w:val="00DD3BEC"/>
    <w:rsid w:val="00DD42E9"/>
    <w:rsid w:val="00DD44DF"/>
    <w:rsid w:val="00DD462D"/>
    <w:rsid w:val="00DD4EE4"/>
    <w:rsid w:val="00DD576E"/>
    <w:rsid w:val="00DD6F7B"/>
    <w:rsid w:val="00DD76EF"/>
    <w:rsid w:val="00DD79C8"/>
    <w:rsid w:val="00DD7A84"/>
    <w:rsid w:val="00DE11A1"/>
    <w:rsid w:val="00DE1331"/>
    <w:rsid w:val="00DE187C"/>
    <w:rsid w:val="00DE1A5F"/>
    <w:rsid w:val="00DE4996"/>
    <w:rsid w:val="00DE4A09"/>
    <w:rsid w:val="00DE4E45"/>
    <w:rsid w:val="00DE56D1"/>
    <w:rsid w:val="00DE5A56"/>
    <w:rsid w:val="00DE69DE"/>
    <w:rsid w:val="00DE6EBB"/>
    <w:rsid w:val="00DE7221"/>
    <w:rsid w:val="00DE7B5D"/>
    <w:rsid w:val="00DF1421"/>
    <w:rsid w:val="00DF1A05"/>
    <w:rsid w:val="00DF2BA4"/>
    <w:rsid w:val="00DF4704"/>
    <w:rsid w:val="00DF550A"/>
    <w:rsid w:val="00DF5775"/>
    <w:rsid w:val="00DF58C5"/>
    <w:rsid w:val="00DF6317"/>
    <w:rsid w:val="00DF709C"/>
    <w:rsid w:val="00E000A9"/>
    <w:rsid w:val="00E00200"/>
    <w:rsid w:val="00E009E9"/>
    <w:rsid w:val="00E012D8"/>
    <w:rsid w:val="00E02E7C"/>
    <w:rsid w:val="00E034D4"/>
    <w:rsid w:val="00E03BF1"/>
    <w:rsid w:val="00E03E52"/>
    <w:rsid w:val="00E05543"/>
    <w:rsid w:val="00E059C2"/>
    <w:rsid w:val="00E05E99"/>
    <w:rsid w:val="00E07345"/>
    <w:rsid w:val="00E110E8"/>
    <w:rsid w:val="00E111C8"/>
    <w:rsid w:val="00E119C7"/>
    <w:rsid w:val="00E1232A"/>
    <w:rsid w:val="00E12667"/>
    <w:rsid w:val="00E12BDD"/>
    <w:rsid w:val="00E136E2"/>
    <w:rsid w:val="00E1570D"/>
    <w:rsid w:val="00E159B3"/>
    <w:rsid w:val="00E15E12"/>
    <w:rsid w:val="00E15EDC"/>
    <w:rsid w:val="00E15FAA"/>
    <w:rsid w:val="00E160F0"/>
    <w:rsid w:val="00E16E5A"/>
    <w:rsid w:val="00E17B5C"/>
    <w:rsid w:val="00E20FA2"/>
    <w:rsid w:val="00E218BD"/>
    <w:rsid w:val="00E21EA2"/>
    <w:rsid w:val="00E22123"/>
    <w:rsid w:val="00E221B7"/>
    <w:rsid w:val="00E22B19"/>
    <w:rsid w:val="00E22E47"/>
    <w:rsid w:val="00E22F52"/>
    <w:rsid w:val="00E22FB7"/>
    <w:rsid w:val="00E23A7F"/>
    <w:rsid w:val="00E24074"/>
    <w:rsid w:val="00E24E3E"/>
    <w:rsid w:val="00E25A88"/>
    <w:rsid w:val="00E263CD"/>
    <w:rsid w:val="00E26685"/>
    <w:rsid w:val="00E27414"/>
    <w:rsid w:val="00E3042B"/>
    <w:rsid w:val="00E30572"/>
    <w:rsid w:val="00E30B00"/>
    <w:rsid w:val="00E30F6A"/>
    <w:rsid w:val="00E32B34"/>
    <w:rsid w:val="00E337CA"/>
    <w:rsid w:val="00E33BFF"/>
    <w:rsid w:val="00E343DC"/>
    <w:rsid w:val="00E34A04"/>
    <w:rsid w:val="00E34BF9"/>
    <w:rsid w:val="00E34D7E"/>
    <w:rsid w:val="00E34F0F"/>
    <w:rsid w:val="00E35A5D"/>
    <w:rsid w:val="00E366E2"/>
    <w:rsid w:val="00E37679"/>
    <w:rsid w:val="00E40DAD"/>
    <w:rsid w:val="00E40E0C"/>
    <w:rsid w:val="00E41D98"/>
    <w:rsid w:val="00E41EAA"/>
    <w:rsid w:val="00E420DE"/>
    <w:rsid w:val="00E44785"/>
    <w:rsid w:val="00E46018"/>
    <w:rsid w:val="00E46640"/>
    <w:rsid w:val="00E50D57"/>
    <w:rsid w:val="00E5164D"/>
    <w:rsid w:val="00E51C8F"/>
    <w:rsid w:val="00E51D66"/>
    <w:rsid w:val="00E521F9"/>
    <w:rsid w:val="00E52DCA"/>
    <w:rsid w:val="00E54291"/>
    <w:rsid w:val="00E55FE9"/>
    <w:rsid w:val="00E56C11"/>
    <w:rsid w:val="00E60629"/>
    <w:rsid w:val="00E609D8"/>
    <w:rsid w:val="00E612A6"/>
    <w:rsid w:val="00E6241A"/>
    <w:rsid w:val="00E62E4F"/>
    <w:rsid w:val="00E635C3"/>
    <w:rsid w:val="00E63D89"/>
    <w:rsid w:val="00E64DED"/>
    <w:rsid w:val="00E65F4E"/>
    <w:rsid w:val="00E66A23"/>
    <w:rsid w:val="00E675BD"/>
    <w:rsid w:val="00E677DC"/>
    <w:rsid w:val="00E67D71"/>
    <w:rsid w:val="00E67E77"/>
    <w:rsid w:val="00E7009A"/>
    <w:rsid w:val="00E708A5"/>
    <w:rsid w:val="00E70D64"/>
    <w:rsid w:val="00E717E9"/>
    <w:rsid w:val="00E71DF8"/>
    <w:rsid w:val="00E71EA0"/>
    <w:rsid w:val="00E72061"/>
    <w:rsid w:val="00E7257C"/>
    <w:rsid w:val="00E72C49"/>
    <w:rsid w:val="00E72D3D"/>
    <w:rsid w:val="00E72E6C"/>
    <w:rsid w:val="00E73B56"/>
    <w:rsid w:val="00E73CD8"/>
    <w:rsid w:val="00E7445C"/>
    <w:rsid w:val="00E74559"/>
    <w:rsid w:val="00E7581A"/>
    <w:rsid w:val="00E77247"/>
    <w:rsid w:val="00E80B67"/>
    <w:rsid w:val="00E814A0"/>
    <w:rsid w:val="00E83308"/>
    <w:rsid w:val="00E835F5"/>
    <w:rsid w:val="00E84753"/>
    <w:rsid w:val="00E85023"/>
    <w:rsid w:val="00E853C3"/>
    <w:rsid w:val="00E86704"/>
    <w:rsid w:val="00E90E1A"/>
    <w:rsid w:val="00E916AD"/>
    <w:rsid w:val="00E9172E"/>
    <w:rsid w:val="00E91784"/>
    <w:rsid w:val="00E91AE5"/>
    <w:rsid w:val="00E91F0B"/>
    <w:rsid w:val="00E92A52"/>
    <w:rsid w:val="00E93D7C"/>
    <w:rsid w:val="00E940AE"/>
    <w:rsid w:val="00E94599"/>
    <w:rsid w:val="00E9587C"/>
    <w:rsid w:val="00E968CA"/>
    <w:rsid w:val="00E978A8"/>
    <w:rsid w:val="00E97CA6"/>
    <w:rsid w:val="00EA030B"/>
    <w:rsid w:val="00EA0A66"/>
    <w:rsid w:val="00EA0D7C"/>
    <w:rsid w:val="00EA1E39"/>
    <w:rsid w:val="00EA25D0"/>
    <w:rsid w:val="00EA28B0"/>
    <w:rsid w:val="00EA2BD5"/>
    <w:rsid w:val="00EA2F29"/>
    <w:rsid w:val="00EA4270"/>
    <w:rsid w:val="00EA439B"/>
    <w:rsid w:val="00EA59EC"/>
    <w:rsid w:val="00EA641F"/>
    <w:rsid w:val="00EA7136"/>
    <w:rsid w:val="00EA738B"/>
    <w:rsid w:val="00EB1F77"/>
    <w:rsid w:val="00EB2277"/>
    <w:rsid w:val="00EB2D51"/>
    <w:rsid w:val="00EB2F2B"/>
    <w:rsid w:val="00EB3488"/>
    <w:rsid w:val="00EB36F8"/>
    <w:rsid w:val="00EB4D93"/>
    <w:rsid w:val="00EB5044"/>
    <w:rsid w:val="00EB50D2"/>
    <w:rsid w:val="00EB5CBD"/>
    <w:rsid w:val="00EB5D01"/>
    <w:rsid w:val="00EB64C2"/>
    <w:rsid w:val="00EB6AA2"/>
    <w:rsid w:val="00EB7BE3"/>
    <w:rsid w:val="00EB7CC2"/>
    <w:rsid w:val="00EC0B9F"/>
    <w:rsid w:val="00EC1254"/>
    <w:rsid w:val="00EC256F"/>
    <w:rsid w:val="00EC267E"/>
    <w:rsid w:val="00EC2B58"/>
    <w:rsid w:val="00EC305A"/>
    <w:rsid w:val="00EC3589"/>
    <w:rsid w:val="00EC3D7F"/>
    <w:rsid w:val="00EC49EE"/>
    <w:rsid w:val="00EC587C"/>
    <w:rsid w:val="00EC6729"/>
    <w:rsid w:val="00EC6F9C"/>
    <w:rsid w:val="00EC7641"/>
    <w:rsid w:val="00ED0092"/>
    <w:rsid w:val="00ED1DD4"/>
    <w:rsid w:val="00ED23BE"/>
    <w:rsid w:val="00ED25EA"/>
    <w:rsid w:val="00ED36C3"/>
    <w:rsid w:val="00ED3936"/>
    <w:rsid w:val="00ED3B3D"/>
    <w:rsid w:val="00ED56FE"/>
    <w:rsid w:val="00ED612D"/>
    <w:rsid w:val="00ED69C3"/>
    <w:rsid w:val="00ED7768"/>
    <w:rsid w:val="00ED78A3"/>
    <w:rsid w:val="00EE05A1"/>
    <w:rsid w:val="00EE1D80"/>
    <w:rsid w:val="00EE3C5B"/>
    <w:rsid w:val="00EE4249"/>
    <w:rsid w:val="00EE5178"/>
    <w:rsid w:val="00EE6322"/>
    <w:rsid w:val="00EE6B73"/>
    <w:rsid w:val="00EE724D"/>
    <w:rsid w:val="00EE727A"/>
    <w:rsid w:val="00EE7843"/>
    <w:rsid w:val="00EE7FED"/>
    <w:rsid w:val="00EF279D"/>
    <w:rsid w:val="00EF3020"/>
    <w:rsid w:val="00EF3674"/>
    <w:rsid w:val="00EF4913"/>
    <w:rsid w:val="00EF49BF"/>
    <w:rsid w:val="00EF4AB1"/>
    <w:rsid w:val="00EF4DA0"/>
    <w:rsid w:val="00EF5DBC"/>
    <w:rsid w:val="00EF681F"/>
    <w:rsid w:val="00EF71D5"/>
    <w:rsid w:val="00EF7BC8"/>
    <w:rsid w:val="00EF7F69"/>
    <w:rsid w:val="00F010AD"/>
    <w:rsid w:val="00F01923"/>
    <w:rsid w:val="00F03009"/>
    <w:rsid w:val="00F03055"/>
    <w:rsid w:val="00F03CC0"/>
    <w:rsid w:val="00F03E6B"/>
    <w:rsid w:val="00F04778"/>
    <w:rsid w:val="00F055B0"/>
    <w:rsid w:val="00F05A92"/>
    <w:rsid w:val="00F05E67"/>
    <w:rsid w:val="00F0734F"/>
    <w:rsid w:val="00F0742A"/>
    <w:rsid w:val="00F100A7"/>
    <w:rsid w:val="00F10A2C"/>
    <w:rsid w:val="00F10B58"/>
    <w:rsid w:val="00F10FE8"/>
    <w:rsid w:val="00F122D9"/>
    <w:rsid w:val="00F123DE"/>
    <w:rsid w:val="00F12CDC"/>
    <w:rsid w:val="00F13247"/>
    <w:rsid w:val="00F132FF"/>
    <w:rsid w:val="00F13473"/>
    <w:rsid w:val="00F13AA5"/>
    <w:rsid w:val="00F1465D"/>
    <w:rsid w:val="00F17C50"/>
    <w:rsid w:val="00F17F64"/>
    <w:rsid w:val="00F2128A"/>
    <w:rsid w:val="00F22200"/>
    <w:rsid w:val="00F22E20"/>
    <w:rsid w:val="00F23238"/>
    <w:rsid w:val="00F23554"/>
    <w:rsid w:val="00F23891"/>
    <w:rsid w:val="00F23FB1"/>
    <w:rsid w:val="00F2518B"/>
    <w:rsid w:val="00F25372"/>
    <w:rsid w:val="00F25851"/>
    <w:rsid w:val="00F259D9"/>
    <w:rsid w:val="00F27430"/>
    <w:rsid w:val="00F27473"/>
    <w:rsid w:val="00F2748D"/>
    <w:rsid w:val="00F3197C"/>
    <w:rsid w:val="00F31B9E"/>
    <w:rsid w:val="00F31D02"/>
    <w:rsid w:val="00F3222E"/>
    <w:rsid w:val="00F32406"/>
    <w:rsid w:val="00F3240D"/>
    <w:rsid w:val="00F34270"/>
    <w:rsid w:val="00F342FB"/>
    <w:rsid w:val="00F343FF"/>
    <w:rsid w:val="00F36813"/>
    <w:rsid w:val="00F36CAE"/>
    <w:rsid w:val="00F37461"/>
    <w:rsid w:val="00F37917"/>
    <w:rsid w:val="00F40732"/>
    <w:rsid w:val="00F407B6"/>
    <w:rsid w:val="00F4115A"/>
    <w:rsid w:val="00F41D45"/>
    <w:rsid w:val="00F42A73"/>
    <w:rsid w:val="00F43849"/>
    <w:rsid w:val="00F43B44"/>
    <w:rsid w:val="00F43DB4"/>
    <w:rsid w:val="00F44A6C"/>
    <w:rsid w:val="00F4527A"/>
    <w:rsid w:val="00F454B6"/>
    <w:rsid w:val="00F45EA0"/>
    <w:rsid w:val="00F500B4"/>
    <w:rsid w:val="00F52309"/>
    <w:rsid w:val="00F529CE"/>
    <w:rsid w:val="00F541D3"/>
    <w:rsid w:val="00F55418"/>
    <w:rsid w:val="00F55537"/>
    <w:rsid w:val="00F55D49"/>
    <w:rsid w:val="00F55EB9"/>
    <w:rsid w:val="00F5686A"/>
    <w:rsid w:val="00F568A8"/>
    <w:rsid w:val="00F57203"/>
    <w:rsid w:val="00F60714"/>
    <w:rsid w:val="00F60863"/>
    <w:rsid w:val="00F60DFC"/>
    <w:rsid w:val="00F62B46"/>
    <w:rsid w:val="00F6398F"/>
    <w:rsid w:val="00F63B28"/>
    <w:rsid w:val="00F64441"/>
    <w:rsid w:val="00F64673"/>
    <w:rsid w:val="00F65F63"/>
    <w:rsid w:val="00F666D9"/>
    <w:rsid w:val="00F67D10"/>
    <w:rsid w:val="00F70131"/>
    <w:rsid w:val="00F7089A"/>
    <w:rsid w:val="00F712CB"/>
    <w:rsid w:val="00F71F5D"/>
    <w:rsid w:val="00F72DFC"/>
    <w:rsid w:val="00F731B2"/>
    <w:rsid w:val="00F734A8"/>
    <w:rsid w:val="00F73B9B"/>
    <w:rsid w:val="00F740D9"/>
    <w:rsid w:val="00F742A5"/>
    <w:rsid w:val="00F74698"/>
    <w:rsid w:val="00F74A2D"/>
    <w:rsid w:val="00F75128"/>
    <w:rsid w:val="00F751A5"/>
    <w:rsid w:val="00F760EB"/>
    <w:rsid w:val="00F76D26"/>
    <w:rsid w:val="00F77402"/>
    <w:rsid w:val="00F77E97"/>
    <w:rsid w:val="00F80BB8"/>
    <w:rsid w:val="00F80F80"/>
    <w:rsid w:val="00F81008"/>
    <w:rsid w:val="00F8128B"/>
    <w:rsid w:val="00F81CE1"/>
    <w:rsid w:val="00F8200C"/>
    <w:rsid w:val="00F830B4"/>
    <w:rsid w:val="00F83236"/>
    <w:rsid w:val="00F837BC"/>
    <w:rsid w:val="00F84668"/>
    <w:rsid w:val="00F8685C"/>
    <w:rsid w:val="00F8707E"/>
    <w:rsid w:val="00F877F0"/>
    <w:rsid w:val="00F906AB"/>
    <w:rsid w:val="00F914E1"/>
    <w:rsid w:val="00F9173F"/>
    <w:rsid w:val="00F91AB8"/>
    <w:rsid w:val="00F92121"/>
    <w:rsid w:val="00F934DB"/>
    <w:rsid w:val="00F93845"/>
    <w:rsid w:val="00F93E36"/>
    <w:rsid w:val="00F94885"/>
    <w:rsid w:val="00F95574"/>
    <w:rsid w:val="00F959B5"/>
    <w:rsid w:val="00F95AA6"/>
    <w:rsid w:val="00F95B13"/>
    <w:rsid w:val="00F9677B"/>
    <w:rsid w:val="00FA022A"/>
    <w:rsid w:val="00FA07A4"/>
    <w:rsid w:val="00FA0AF8"/>
    <w:rsid w:val="00FA172D"/>
    <w:rsid w:val="00FA2132"/>
    <w:rsid w:val="00FA23BF"/>
    <w:rsid w:val="00FA3537"/>
    <w:rsid w:val="00FA6330"/>
    <w:rsid w:val="00FA65D4"/>
    <w:rsid w:val="00FA6813"/>
    <w:rsid w:val="00FA6938"/>
    <w:rsid w:val="00FA7250"/>
    <w:rsid w:val="00FA72B8"/>
    <w:rsid w:val="00FA7440"/>
    <w:rsid w:val="00FA7EAA"/>
    <w:rsid w:val="00FB0CD1"/>
    <w:rsid w:val="00FB127D"/>
    <w:rsid w:val="00FB3316"/>
    <w:rsid w:val="00FB39E8"/>
    <w:rsid w:val="00FB4BCA"/>
    <w:rsid w:val="00FB4C41"/>
    <w:rsid w:val="00FB56A9"/>
    <w:rsid w:val="00FB6435"/>
    <w:rsid w:val="00FB71E8"/>
    <w:rsid w:val="00FB740B"/>
    <w:rsid w:val="00FB7496"/>
    <w:rsid w:val="00FC0132"/>
    <w:rsid w:val="00FC09DA"/>
    <w:rsid w:val="00FC1555"/>
    <w:rsid w:val="00FC2014"/>
    <w:rsid w:val="00FC2E0B"/>
    <w:rsid w:val="00FC3272"/>
    <w:rsid w:val="00FC32D6"/>
    <w:rsid w:val="00FC4247"/>
    <w:rsid w:val="00FC4ABC"/>
    <w:rsid w:val="00FC5170"/>
    <w:rsid w:val="00FC5DB3"/>
    <w:rsid w:val="00FC613C"/>
    <w:rsid w:val="00FC79D2"/>
    <w:rsid w:val="00FC7D68"/>
    <w:rsid w:val="00FD02F9"/>
    <w:rsid w:val="00FD1B0B"/>
    <w:rsid w:val="00FD2DBD"/>
    <w:rsid w:val="00FD3951"/>
    <w:rsid w:val="00FD44BC"/>
    <w:rsid w:val="00FD4B94"/>
    <w:rsid w:val="00FD5DE0"/>
    <w:rsid w:val="00FD62C5"/>
    <w:rsid w:val="00FE08CB"/>
    <w:rsid w:val="00FE1CCB"/>
    <w:rsid w:val="00FE2E45"/>
    <w:rsid w:val="00FE3FEB"/>
    <w:rsid w:val="00FE4D32"/>
    <w:rsid w:val="00FE4DDB"/>
    <w:rsid w:val="00FE4DFC"/>
    <w:rsid w:val="00FE57B3"/>
    <w:rsid w:val="00FE5958"/>
    <w:rsid w:val="00FE6044"/>
    <w:rsid w:val="00FE6279"/>
    <w:rsid w:val="00FE67C2"/>
    <w:rsid w:val="00FE7062"/>
    <w:rsid w:val="00FF006A"/>
    <w:rsid w:val="00FF08F5"/>
    <w:rsid w:val="00FF0EB4"/>
    <w:rsid w:val="00FF284B"/>
    <w:rsid w:val="00FF3801"/>
    <w:rsid w:val="00FF3E18"/>
    <w:rsid w:val="00FF5014"/>
    <w:rsid w:val="00FF6742"/>
    <w:rsid w:val="00FF74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0F1"/>
    <w:pPr>
      <w:suppressAutoHyphens/>
      <w:spacing w:before="120" w:line="240" w:lineRule="auto"/>
      <w:jc w:val="both"/>
    </w:pPr>
    <w:rPr>
      <w:rFonts w:ascii="Avenir Roman" w:hAnsi="Avenir Roman"/>
      <w:color w:val="48535A" w:themeColor="text2" w:themeShade="80"/>
    </w:rPr>
  </w:style>
  <w:style w:type="paragraph" w:styleId="Ttulo1">
    <w:name w:val="heading 1"/>
    <w:aliases w:val="Título de Sección"/>
    <w:link w:val="Ttulo1Car"/>
    <w:uiPriority w:val="9"/>
    <w:qFormat/>
    <w:rsid w:val="000A7F63"/>
    <w:pPr>
      <w:spacing w:after="0" w:line="192" w:lineRule="auto"/>
      <w:ind w:left="851" w:right="3686"/>
      <w:contextualSpacing/>
      <w:outlineLvl w:val="0"/>
    </w:pPr>
    <w:rPr>
      <w:rFonts w:ascii="Avenir Heavy" w:hAnsi="Avenir Heavy"/>
      <w:noProof/>
      <w:color w:val="0A3F76" w:themeColor="accent1"/>
      <w:spacing w:val="8"/>
      <w:sz w:val="48"/>
      <w:szCs w:val="48"/>
      <w:lang w:eastAsia="es-ES"/>
    </w:rPr>
  </w:style>
  <w:style w:type="paragraph" w:styleId="Ttulo2">
    <w:name w:val="heading 2"/>
    <w:basedOn w:val="Normal"/>
    <w:next w:val="Normal"/>
    <w:link w:val="Ttulo2Car"/>
    <w:autoRedefine/>
    <w:uiPriority w:val="9"/>
    <w:unhideWhenUsed/>
    <w:qFormat/>
    <w:rsid w:val="0009001C"/>
    <w:pPr>
      <w:framePr w:hSpace="141" w:wrap="around" w:vAnchor="page" w:hAnchor="margin" w:xAlign="right" w:y="1846"/>
      <w:spacing w:before="240" w:after="0"/>
      <w:jc w:val="center"/>
      <w:outlineLvl w:val="1"/>
    </w:pPr>
    <w:rPr>
      <w:rFonts w:ascii="Calibri" w:eastAsia="Times New Roman" w:hAnsi="Calibri" w:cs="Calibri"/>
      <w:bCs/>
      <w:color w:val="auto"/>
      <w:sz w:val="16"/>
      <w:szCs w:val="16"/>
      <w:lang w:val="es-DO" w:eastAsia="es-DO"/>
    </w:rPr>
  </w:style>
  <w:style w:type="paragraph" w:styleId="Ttulo3">
    <w:name w:val="heading 3"/>
    <w:basedOn w:val="Normal"/>
    <w:next w:val="Normal"/>
    <w:link w:val="Ttulo3Car"/>
    <w:uiPriority w:val="9"/>
    <w:unhideWhenUsed/>
    <w:qFormat/>
    <w:rsid w:val="00D15742"/>
    <w:pPr>
      <w:spacing w:before="240" w:after="120"/>
      <w:outlineLvl w:val="2"/>
    </w:pPr>
    <w:rPr>
      <w:rFonts w:ascii="Avenir Heavy" w:hAnsi="Avenir Heavy"/>
      <w:color w:val="0A3F76" w:themeColor="accent1"/>
      <w:sz w:val="28"/>
    </w:rPr>
  </w:style>
  <w:style w:type="paragraph" w:styleId="Ttulo4">
    <w:name w:val="heading 4"/>
    <w:basedOn w:val="Normal"/>
    <w:next w:val="Normal"/>
    <w:link w:val="Ttulo4Car"/>
    <w:uiPriority w:val="9"/>
    <w:unhideWhenUsed/>
    <w:qFormat/>
    <w:rsid w:val="0042045E"/>
    <w:pPr>
      <w:keepNext/>
      <w:keepLines/>
      <w:numPr>
        <w:ilvl w:val="3"/>
        <w:numId w:val="2"/>
      </w:numPr>
      <w:spacing w:before="40" w:after="0"/>
      <w:outlineLvl w:val="3"/>
    </w:pPr>
    <w:rPr>
      <w:rFonts w:asciiTheme="majorHAnsi" w:eastAsiaTheme="majorEastAsia" w:hAnsiTheme="majorHAnsi" w:cstheme="majorBidi"/>
      <w:i/>
      <w:iCs/>
      <w:color w:val="072F58" w:themeColor="accent1" w:themeShade="BF"/>
    </w:rPr>
  </w:style>
  <w:style w:type="paragraph" w:styleId="Ttulo5">
    <w:name w:val="heading 5"/>
    <w:basedOn w:val="Normal"/>
    <w:next w:val="Normal"/>
    <w:link w:val="Ttulo5Car"/>
    <w:uiPriority w:val="9"/>
    <w:unhideWhenUsed/>
    <w:qFormat/>
    <w:rsid w:val="0042045E"/>
    <w:pPr>
      <w:keepNext/>
      <w:keepLines/>
      <w:numPr>
        <w:ilvl w:val="4"/>
        <w:numId w:val="2"/>
      </w:numPr>
      <w:spacing w:before="40" w:after="0"/>
      <w:outlineLvl w:val="4"/>
    </w:pPr>
    <w:rPr>
      <w:rFonts w:asciiTheme="majorHAnsi" w:eastAsiaTheme="majorEastAsia" w:hAnsiTheme="majorHAnsi" w:cstheme="majorBidi"/>
      <w:color w:val="072F58" w:themeColor="accent1" w:themeShade="BF"/>
    </w:rPr>
  </w:style>
  <w:style w:type="paragraph" w:styleId="Ttulo6">
    <w:name w:val="heading 6"/>
    <w:basedOn w:val="Normal"/>
    <w:next w:val="Normal"/>
    <w:link w:val="Ttulo6Car"/>
    <w:uiPriority w:val="9"/>
    <w:semiHidden/>
    <w:unhideWhenUsed/>
    <w:qFormat/>
    <w:rsid w:val="0042045E"/>
    <w:pPr>
      <w:keepNext/>
      <w:keepLines/>
      <w:numPr>
        <w:ilvl w:val="5"/>
        <w:numId w:val="2"/>
      </w:numPr>
      <w:spacing w:before="40" w:after="0"/>
      <w:outlineLvl w:val="5"/>
    </w:pPr>
    <w:rPr>
      <w:rFonts w:asciiTheme="majorHAnsi" w:eastAsiaTheme="majorEastAsia" w:hAnsiTheme="majorHAnsi" w:cstheme="majorBidi"/>
      <w:color w:val="051F3A" w:themeColor="accent1" w:themeShade="7F"/>
    </w:rPr>
  </w:style>
  <w:style w:type="paragraph" w:styleId="Ttulo7">
    <w:name w:val="heading 7"/>
    <w:basedOn w:val="Normal"/>
    <w:next w:val="Normal"/>
    <w:link w:val="Ttulo7Car"/>
    <w:uiPriority w:val="9"/>
    <w:semiHidden/>
    <w:unhideWhenUsed/>
    <w:qFormat/>
    <w:rsid w:val="0042045E"/>
    <w:pPr>
      <w:keepNext/>
      <w:keepLines/>
      <w:numPr>
        <w:ilvl w:val="6"/>
        <w:numId w:val="2"/>
      </w:numPr>
      <w:spacing w:before="40" w:after="0"/>
      <w:outlineLvl w:val="6"/>
    </w:pPr>
    <w:rPr>
      <w:rFonts w:asciiTheme="majorHAnsi" w:eastAsiaTheme="majorEastAsia" w:hAnsiTheme="majorHAnsi" w:cstheme="majorBidi"/>
      <w:i/>
      <w:iCs/>
      <w:color w:val="051F3A" w:themeColor="accent1" w:themeShade="7F"/>
    </w:rPr>
  </w:style>
  <w:style w:type="paragraph" w:styleId="Ttulo8">
    <w:name w:val="heading 8"/>
    <w:basedOn w:val="Normal"/>
    <w:next w:val="Normal"/>
    <w:link w:val="Ttulo8Car"/>
    <w:uiPriority w:val="9"/>
    <w:semiHidden/>
    <w:unhideWhenUsed/>
    <w:qFormat/>
    <w:rsid w:val="0042045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045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de lista secundaria"/>
    <w:basedOn w:val="Normal"/>
    <w:uiPriority w:val="34"/>
    <w:qFormat/>
    <w:rsid w:val="00F2748D"/>
    <w:pPr>
      <w:ind w:left="1069" w:hanging="360"/>
      <w:contextualSpacing/>
    </w:pPr>
    <w:rPr>
      <w:color w:val="97A4AC" w:themeColor="text2"/>
    </w:rPr>
  </w:style>
  <w:style w:type="paragraph" w:styleId="Encabezado">
    <w:name w:val="header"/>
    <w:basedOn w:val="Normal"/>
    <w:link w:val="EncabezadoCar"/>
    <w:uiPriority w:val="99"/>
    <w:unhideWhenUsed/>
    <w:rsid w:val="0042045E"/>
    <w:pPr>
      <w:tabs>
        <w:tab w:val="center" w:pos="4513"/>
        <w:tab w:val="right" w:pos="9026"/>
      </w:tabs>
      <w:spacing w:after="0"/>
    </w:pPr>
  </w:style>
  <w:style w:type="character" w:customStyle="1" w:styleId="EncabezadoCar">
    <w:name w:val="Encabezado Car"/>
    <w:basedOn w:val="Fuentedeprrafopredeter"/>
    <w:link w:val="Encabezado"/>
    <w:uiPriority w:val="99"/>
    <w:rsid w:val="0042045E"/>
  </w:style>
  <w:style w:type="paragraph" w:styleId="Piedepgina">
    <w:name w:val="footer"/>
    <w:basedOn w:val="Normal"/>
    <w:link w:val="PiedepginaCar"/>
    <w:uiPriority w:val="99"/>
    <w:unhideWhenUsed/>
    <w:rsid w:val="0042045E"/>
    <w:pPr>
      <w:tabs>
        <w:tab w:val="center" w:pos="4513"/>
        <w:tab w:val="right" w:pos="9026"/>
      </w:tabs>
      <w:spacing w:after="0"/>
    </w:pPr>
  </w:style>
  <w:style w:type="character" w:customStyle="1" w:styleId="PiedepginaCar">
    <w:name w:val="Pie de página Car"/>
    <w:basedOn w:val="Fuentedeprrafopredeter"/>
    <w:link w:val="Piedepgina"/>
    <w:uiPriority w:val="99"/>
    <w:rsid w:val="0042045E"/>
  </w:style>
  <w:style w:type="character" w:customStyle="1" w:styleId="Ttulo1Car">
    <w:name w:val="Título 1 Car"/>
    <w:aliases w:val="Título de Sección Car"/>
    <w:basedOn w:val="Fuentedeprrafopredeter"/>
    <w:link w:val="Ttulo1"/>
    <w:uiPriority w:val="9"/>
    <w:rsid w:val="000A7F63"/>
    <w:rPr>
      <w:rFonts w:ascii="Avenir Heavy" w:hAnsi="Avenir Heavy"/>
      <w:noProof/>
      <w:color w:val="0A3F76" w:themeColor="accent1"/>
      <w:spacing w:val="8"/>
      <w:sz w:val="48"/>
      <w:szCs w:val="48"/>
      <w:lang w:eastAsia="es-ES"/>
    </w:rPr>
  </w:style>
  <w:style w:type="paragraph" w:styleId="Subttulo">
    <w:name w:val="Subtitle"/>
    <w:aliases w:val="Resaltados"/>
    <w:basedOn w:val="Normal"/>
    <w:next w:val="Normal"/>
    <w:link w:val="SubttuloCar"/>
    <w:autoRedefine/>
    <w:uiPriority w:val="11"/>
    <w:qFormat/>
    <w:rsid w:val="005103F8"/>
    <w:pPr>
      <w:numPr>
        <w:ilvl w:val="1"/>
      </w:numPr>
    </w:pPr>
    <w:rPr>
      <w:b/>
      <w:color w:val="FF0000"/>
    </w:rPr>
  </w:style>
  <w:style w:type="character" w:customStyle="1" w:styleId="SubttuloCar">
    <w:name w:val="Subtítulo Car"/>
    <w:aliases w:val="Resaltados Car"/>
    <w:basedOn w:val="Fuentedeprrafopredeter"/>
    <w:link w:val="Subttulo"/>
    <w:uiPriority w:val="11"/>
    <w:rsid w:val="005103F8"/>
    <w:rPr>
      <w:rFonts w:ascii="Avenir Book" w:hAnsi="Avenir Book"/>
      <w:b/>
      <w:color w:val="FF0000"/>
    </w:rPr>
  </w:style>
  <w:style w:type="character" w:customStyle="1" w:styleId="Ttulo2Car">
    <w:name w:val="Título 2 Car"/>
    <w:basedOn w:val="Fuentedeprrafopredeter"/>
    <w:link w:val="Ttulo2"/>
    <w:uiPriority w:val="9"/>
    <w:rsid w:val="0009001C"/>
    <w:rPr>
      <w:rFonts w:ascii="Calibri" w:eastAsia="Times New Roman" w:hAnsi="Calibri" w:cs="Calibri"/>
      <w:bCs/>
      <w:sz w:val="16"/>
      <w:szCs w:val="16"/>
      <w:lang w:val="es-DO" w:eastAsia="es-DO"/>
    </w:rPr>
  </w:style>
  <w:style w:type="character" w:customStyle="1" w:styleId="Ttulo3Car">
    <w:name w:val="Título 3 Car"/>
    <w:basedOn w:val="Fuentedeprrafopredeter"/>
    <w:link w:val="Ttulo3"/>
    <w:uiPriority w:val="9"/>
    <w:rsid w:val="00D15742"/>
    <w:rPr>
      <w:rFonts w:ascii="Avenir Heavy" w:hAnsi="Avenir Heavy"/>
      <w:color w:val="0A3F76" w:themeColor="accent1"/>
      <w:sz w:val="28"/>
    </w:rPr>
  </w:style>
  <w:style w:type="character" w:customStyle="1" w:styleId="Ttulo4Car">
    <w:name w:val="Título 4 Car"/>
    <w:basedOn w:val="Fuentedeprrafopredeter"/>
    <w:link w:val="Ttulo4"/>
    <w:uiPriority w:val="9"/>
    <w:rsid w:val="0042045E"/>
    <w:rPr>
      <w:rFonts w:asciiTheme="majorHAnsi" w:eastAsiaTheme="majorEastAsia" w:hAnsiTheme="majorHAnsi" w:cstheme="majorBidi"/>
      <w:i/>
      <w:iCs/>
      <w:color w:val="072F58" w:themeColor="accent1" w:themeShade="BF"/>
    </w:rPr>
  </w:style>
  <w:style w:type="character" w:customStyle="1" w:styleId="Ttulo5Car">
    <w:name w:val="Título 5 Car"/>
    <w:basedOn w:val="Fuentedeprrafopredeter"/>
    <w:link w:val="Ttulo5"/>
    <w:uiPriority w:val="9"/>
    <w:rsid w:val="0042045E"/>
    <w:rPr>
      <w:rFonts w:asciiTheme="majorHAnsi" w:eastAsiaTheme="majorEastAsia" w:hAnsiTheme="majorHAnsi" w:cstheme="majorBidi"/>
      <w:color w:val="072F58" w:themeColor="accent1" w:themeShade="BF"/>
    </w:rPr>
  </w:style>
  <w:style w:type="character" w:customStyle="1" w:styleId="Ttulo6Car">
    <w:name w:val="Título 6 Car"/>
    <w:basedOn w:val="Fuentedeprrafopredeter"/>
    <w:link w:val="Ttulo6"/>
    <w:uiPriority w:val="9"/>
    <w:semiHidden/>
    <w:rsid w:val="0042045E"/>
    <w:rPr>
      <w:rFonts w:asciiTheme="majorHAnsi" w:eastAsiaTheme="majorEastAsia" w:hAnsiTheme="majorHAnsi" w:cstheme="majorBidi"/>
      <w:color w:val="051F3A" w:themeColor="accent1" w:themeShade="7F"/>
    </w:rPr>
  </w:style>
  <w:style w:type="character" w:customStyle="1" w:styleId="Ttulo7Car">
    <w:name w:val="Título 7 Car"/>
    <w:basedOn w:val="Fuentedeprrafopredeter"/>
    <w:link w:val="Ttulo7"/>
    <w:uiPriority w:val="9"/>
    <w:semiHidden/>
    <w:rsid w:val="0042045E"/>
    <w:rPr>
      <w:rFonts w:asciiTheme="majorHAnsi" w:eastAsiaTheme="majorEastAsia" w:hAnsiTheme="majorHAnsi" w:cstheme="majorBidi"/>
      <w:i/>
      <w:iCs/>
      <w:color w:val="051F3A" w:themeColor="accent1" w:themeShade="7F"/>
    </w:rPr>
  </w:style>
  <w:style w:type="character" w:customStyle="1" w:styleId="Ttulo8Car">
    <w:name w:val="Título 8 Car"/>
    <w:basedOn w:val="Fuentedeprrafopredeter"/>
    <w:link w:val="Ttulo8"/>
    <w:uiPriority w:val="9"/>
    <w:semiHidden/>
    <w:rsid w:val="0042045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045E"/>
    <w:rPr>
      <w:rFonts w:asciiTheme="majorHAnsi" w:eastAsiaTheme="majorEastAsia" w:hAnsiTheme="majorHAnsi" w:cstheme="majorBidi"/>
      <w:i/>
      <w:iCs/>
      <w:color w:val="272727" w:themeColor="text1" w:themeTint="D8"/>
      <w:sz w:val="21"/>
      <w:szCs w:val="21"/>
    </w:rPr>
  </w:style>
  <w:style w:type="paragraph" w:styleId="TtulodeTDC">
    <w:name w:val="TOC Heading"/>
    <w:basedOn w:val="Ttulo1"/>
    <w:next w:val="Normal"/>
    <w:uiPriority w:val="39"/>
    <w:unhideWhenUsed/>
    <w:qFormat/>
    <w:rsid w:val="00B33C4B"/>
    <w:pPr>
      <w:spacing w:before="240" w:line="259" w:lineRule="auto"/>
      <w:outlineLvl w:val="9"/>
    </w:pPr>
    <w:rPr>
      <w:rFonts w:asciiTheme="majorHAnsi" w:hAnsiTheme="majorHAnsi"/>
      <w:b/>
      <w:sz w:val="32"/>
    </w:rPr>
  </w:style>
  <w:style w:type="paragraph" w:styleId="TDC1">
    <w:name w:val="toc 1"/>
    <w:basedOn w:val="Normal"/>
    <w:next w:val="Normal"/>
    <w:autoRedefine/>
    <w:uiPriority w:val="39"/>
    <w:unhideWhenUsed/>
    <w:rsid w:val="000C5333"/>
    <w:pPr>
      <w:spacing w:before="360" w:after="0"/>
      <w:jc w:val="left"/>
    </w:pPr>
    <w:rPr>
      <w:rFonts w:asciiTheme="majorHAnsi" w:hAnsiTheme="majorHAnsi" w:cstheme="majorHAnsi"/>
      <w:b/>
      <w:bCs/>
      <w:caps/>
      <w:sz w:val="24"/>
      <w:szCs w:val="24"/>
    </w:rPr>
  </w:style>
  <w:style w:type="paragraph" w:styleId="TDC2">
    <w:name w:val="toc 2"/>
    <w:basedOn w:val="Normal"/>
    <w:next w:val="Normal"/>
    <w:autoRedefine/>
    <w:uiPriority w:val="39"/>
    <w:unhideWhenUsed/>
    <w:rsid w:val="002C011B"/>
    <w:pPr>
      <w:spacing w:before="240" w:after="0"/>
      <w:jc w:val="left"/>
    </w:pPr>
    <w:rPr>
      <w:rFonts w:asciiTheme="minorHAnsi" w:hAnsiTheme="minorHAnsi" w:cstheme="minorHAnsi"/>
      <w:b/>
      <w:bCs/>
      <w:sz w:val="20"/>
      <w:szCs w:val="20"/>
    </w:rPr>
  </w:style>
  <w:style w:type="character" w:styleId="Hipervnculo">
    <w:name w:val="Hyperlink"/>
    <w:basedOn w:val="Fuentedeprrafopredeter"/>
    <w:uiPriority w:val="99"/>
    <w:unhideWhenUsed/>
    <w:rsid w:val="00B33C4B"/>
    <w:rPr>
      <w:color w:val="E62E00" w:themeColor="hyperlink"/>
      <w:u w:val="single"/>
    </w:rPr>
  </w:style>
  <w:style w:type="paragraph" w:styleId="Textodeglobo">
    <w:name w:val="Balloon Text"/>
    <w:basedOn w:val="Normal"/>
    <w:link w:val="TextodegloboCar"/>
    <w:uiPriority w:val="99"/>
    <w:semiHidden/>
    <w:unhideWhenUsed/>
    <w:rsid w:val="006C5F8A"/>
    <w:pPr>
      <w:spacing w:after="0"/>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C5F8A"/>
    <w:rPr>
      <w:rFonts w:ascii="Lucida Grande" w:hAnsi="Lucida Grande"/>
      <w:sz w:val="18"/>
      <w:szCs w:val="18"/>
    </w:rPr>
  </w:style>
  <w:style w:type="numbering" w:customStyle="1" w:styleId="Listaespecialazul">
    <w:name w:val="Lista especial (azul)"/>
    <w:uiPriority w:val="99"/>
    <w:rsid w:val="00D53D77"/>
    <w:pPr>
      <w:numPr>
        <w:numId w:val="5"/>
      </w:numPr>
    </w:pPr>
  </w:style>
  <w:style w:type="character" w:styleId="Ttulodellibro">
    <w:name w:val="Book Title"/>
    <w:basedOn w:val="Fuentedeprrafopredeter"/>
    <w:uiPriority w:val="33"/>
    <w:qFormat/>
    <w:rsid w:val="00540D55"/>
    <w:rPr>
      <w:b/>
      <w:bCs/>
      <w:smallCaps/>
      <w:spacing w:val="5"/>
    </w:rPr>
  </w:style>
  <w:style w:type="numbering" w:styleId="111111">
    <w:name w:val="Outline List 2"/>
    <w:basedOn w:val="Sinlista"/>
    <w:uiPriority w:val="99"/>
    <w:semiHidden/>
    <w:unhideWhenUsed/>
    <w:rsid w:val="00540D55"/>
    <w:pPr>
      <w:numPr>
        <w:numId w:val="1"/>
      </w:numPr>
    </w:pPr>
  </w:style>
  <w:style w:type="character" w:styleId="Referenciaintensa">
    <w:name w:val="Intense Reference"/>
    <w:basedOn w:val="Fuentedeprrafopredeter"/>
    <w:uiPriority w:val="32"/>
    <w:qFormat/>
    <w:rsid w:val="00765448"/>
    <w:rPr>
      <w:b/>
      <w:bCs/>
      <w:smallCaps/>
      <w:color w:val="E62E00" w:themeColor="accent2"/>
      <w:spacing w:val="5"/>
      <w:u w:val="single"/>
    </w:rPr>
  </w:style>
  <w:style w:type="character" w:styleId="Referenciasutil">
    <w:name w:val="Subtle Reference"/>
    <w:basedOn w:val="Fuentedeprrafopredeter"/>
    <w:uiPriority w:val="31"/>
    <w:qFormat/>
    <w:rsid w:val="00765448"/>
    <w:rPr>
      <w:smallCaps/>
      <w:color w:val="E62E00" w:themeColor="accent2"/>
      <w:u w:val="single"/>
    </w:rPr>
  </w:style>
  <w:style w:type="character" w:styleId="Textoennegrita">
    <w:name w:val="Strong"/>
    <w:basedOn w:val="Fuentedeprrafopredeter"/>
    <w:uiPriority w:val="22"/>
    <w:qFormat/>
    <w:rsid w:val="00765448"/>
    <w:rPr>
      <w:b/>
      <w:bCs/>
    </w:rPr>
  </w:style>
  <w:style w:type="character" w:styleId="nfasisintenso">
    <w:name w:val="Intense Emphasis"/>
    <w:basedOn w:val="Fuentedeprrafopredeter"/>
    <w:uiPriority w:val="21"/>
    <w:qFormat/>
    <w:rsid w:val="00765448"/>
    <w:rPr>
      <w:b/>
      <w:bCs/>
      <w:i/>
      <w:iCs/>
      <w:color w:val="0A3F76" w:themeColor="accent1"/>
    </w:rPr>
  </w:style>
  <w:style w:type="paragraph" w:styleId="Ttulo">
    <w:name w:val="Title"/>
    <w:basedOn w:val="Normal"/>
    <w:next w:val="Normal"/>
    <w:link w:val="TtuloCar"/>
    <w:qFormat/>
    <w:rsid w:val="00765448"/>
    <w:pPr>
      <w:pBdr>
        <w:bottom w:val="single" w:sz="8" w:space="4" w:color="0A3F76" w:themeColor="accent1"/>
      </w:pBdr>
      <w:spacing w:before="0" w:after="300"/>
      <w:contextualSpacing/>
    </w:pPr>
    <w:rPr>
      <w:rFonts w:asciiTheme="majorHAnsi" w:eastAsiaTheme="majorEastAsia" w:hAnsiTheme="majorHAnsi" w:cstheme="majorBidi"/>
      <w:color w:val="6B7B86" w:themeColor="text2" w:themeShade="BF"/>
      <w:spacing w:val="5"/>
      <w:kern w:val="28"/>
      <w:sz w:val="52"/>
      <w:szCs w:val="52"/>
    </w:rPr>
  </w:style>
  <w:style w:type="character" w:customStyle="1" w:styleId="TtuloCar">
    <w:name w:val="Título Car"/>
    <w:basedOn w:val="Fuentedeprrafopredeter"/>
    <w:link w:val="Ttulo"/>
    <w:rsid w:val="00765448"/>
    <w:rPr>
      <w:rFonts w:asciiTheme="majorHAnsi" w:eastAsiaTheme="majorEastAsia" w:hAnsiTheme="majorHAnsi" w:cstheme="majorBidi"/>
      <w:color w:val="6B7B86" w:themeColor="text2" w:themeShade="BF"/>
      <w:spacing w:val="5"/>
      <w:kern w:val="28"/>
      <w:sz w:val="52"/>
      <w:szCs w:val="52"/>
    </w:rPr>
  </w:style>
  <w:style w:type="paragraph" w:styleId="Sinespaciado">
    <w:name w:val="No Spacing"/>
    <w:link w:val="SinespaciadoCar"/>
    <w:uiPriority w:val="1"/>
    <w:qFormat/>
    <w:rsid w:val="00765448"/>
    <w:pPr>
      <w:suppressAutoHyphens/>
      <w:spacing w:after="0" w:line="240" w:lineRule="auto"/>
    </w:pPr>
    <w:rPr>
      <w:rFonts w:ascii="Avenir Book" w:hAnsi="Avenir Book"/>
      <w:color w:val="5E6E74"/>
    </w:rPr>
  </w:style>
  <w:style w:type="paragraph" w:styleId="NormalWeb">
    <w:name w:val="Normal (Web)"/>
    <w:basedOn w:val="Normal"/>
    <w:uiPriority w:val="99"/>
    <w:unhideWhenUsed/>
    <w:rsid w:val="00301E6D"/>
    <w:pPr>
      <w:suppressAutoHyphens w:val="0"/>
      <w:spacing w:before="100" w:beforeAutospacing="1" w:after="100" w:afterAutospacing="1"/>
    </w:pPr>
    <w:rPr>
      <w:rFonts w:ascii="Times New Roman" w:eastAsia="Times New Roman" w:hAnsi="Times New Roman" w:cs="Times New Roman"/>
      <w:color w:val="auto"/>
      <w:sz w:val="24"/>
      <w:szCs w:val="24"/>
      <w:lang w:val="es-DO" w:eastAsia="es-DO"/>
    </w:rPr>
  </w:style>
  <w:style w:type="paragraph" w:customStyle="1" w:styleId="Default">
    <w:name w:val="Default"/>
    <w:rsid w:val="008B57E0"/>
    <w:pPr>
      <w:autoSpaceDE w:val="0"/>
      <w:autoSpaceDN w:val="0"/>
      <w:adjustRightInd w:val="0"/>
      <w:spacing w:after="0" w:line="240" w:lineRule="auto"/>
    </w:pPr>
    <w:rPr>
      <w:rFonts w:ascii="Arial" w:hAnsi="Arial" w:cs="Arial"/>
      <w:color w:val="000000"/>
      <w:sz w:val="24"/>
      <w:szCs w:val="24"/>
      <w:lang w:val="es-DO"/>
    </w:rPr>
  </w:style>
  <w:style w:type="paragraph" w:styleId="Mapadeldocumento">
    <w:name w:val="Document Map"/>
    <w:basedOn w:val="Normal"/>
    <w:link w:val="MapadeldocumentoCar"/>
    <w:uiPriority w:val="99"/>
    <w:semiHidden/>
    <w:unhideWhenUsed/>
    <w:rsid w:val="000651EE"/>
    <w:pPr>
      <w:spacing w:before="0" w:after="0"/>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0651EE"/>
    <w:rPr>
      <w:rFonts w:ascii="Lucida Grande" w:hAnsi="Lucida Grande" w:cs="Lucida Grande"/>
      <w:color w:val="5E6E74"/>
      <w:sz w:val="24"/>
      <w:szCs w:val="24"/>
    </w:rPr>
  </w:style>
  <w:style w:type="paragraph" w:styleId="Revisin">
    <w:name w:val="Revision"/>
    <w:hidden/>
    <w:uiPriority w:val="99"/>
    <w:semiHidden/>
    <w:rsid w:val="000651EE"/>
    <w:pPr>
      <w:spacing w:after="0" w:line="240" w:lineRule="auto"/>
    </w:pPr>
    <w:rPr>
      <w:rFonts w:ascii="Avenir Book" w:hAnsi="Avenir Book"/>
      <w:color w:val="5E6E74"/>
    </w:rPr>
  </w:style>
  <w:style w:type="numbering" w:customStyle="1" w:styleId="Listaespecialroja">
    <w:name w:val="Lista especial (roja)"/>
    <w:basedOn w:val="Sinlista"/>
    <w:uiPriority w:val="99"/>
    <w:rsid w:val="00D53D77"/>
    <w:pPr>
      <w:numPr>
        <w:numId w:val="6"/>
      </w:numPr>
    </w:pPr>
  </w:style>
  <w:style w:type="character" w:styleId="Nmerodepgina">
    <w:name w:val="page number"/>
    <w:basedOn w:val="Fuentedeprrafopredeter"/>
    <w:uiPriority w:val="99"/>
    <w:semiHidden/>
    <w:unhideWhenUsed/>
    <w:rsid w:val="00EE7843"/>
  </w:style>
  <w:style w:type="paragraph" w:customStyle="1" w:styleId="Pa8">
    <w:name w:val="Pa8"/>
    <w:basedOn w:val="Default"/>
    <w:next w:val="Default"/>
    <w:uiPriority w:val="99"/>
    <w:rsid w:val="008C23C9"/>
    <w:pPr>
      <w:spacing w:line="241" w:lineRule="atLeast"/>
    </w:pPr>
    <w:rPr>
      <w:rFonts w:ascii="Lucida Sans Unicode" w:eastAsia="MS Mincho" w:hAnsi="Lucida Sans Unicode" w:cs="Times New Roman"/>
      <w:color w:val="auto"/>
    </w:rPr>
  </w:style>
  <w:style w:type="character" w:customStyle="1" w:styleId="A13">
    <w:name w:val="A13"/>
    <w:uiPriority w:val="99"/>
    <w:rsid w:val="008C23C9"/>
    <w:rPr>
      <w:rFonts w:cs="Lucida Sans Unicode"/>
      <w:color w:val="000000"/>
      <w:sz w:val="22"/>
      <w:szCs w:val="22"/>
    </w:rPr>
  </w:style>
  <w:style w:type="character" w:customStyle="1" w:styleId="A14">
    <w:name w:val="A14"/>
    <w:uiPriority w:val="99"/>
    <w:rsid w:val="008C23C9"/>
    <w:rPr>
      <w:rFonts w:cs="Lucida Sans Unicode"/>
      <w:color w:val="000000"/>
      <w:sz w:val="22"/>
      <w:szCs w:val="22"/>
    </w:rPr>
  </w:style>
  <w:style w:type="character" w:customStyle="1" w:styleId="A41">
    <w:name w:val="A41"/>
    <w:uiPriority w:val="99"/>
    <w:rsid w:val="003753F2"/>
    <w:rPr>
      <w:rFonts w:cs="Lucida Sans Unicode"/>
      <w:color w:val="000000"/>
      <w:sz w:val="22"/>
      <w:szCs w:val="22"/>
    </w:rPr>
  </w:style>
  <w:style w:type="paragraph" w:styleId="TDC3">
    <w:name w:val="toc 3"/>
    <w:basedOn w:val="Normal"/>
    <w:next w:val="Normal"/>
    <w:autoRedefine/>
    <w:uiPriority w:val="39"/>
    <w:unhideWhenUsed/>
    <w:rsid w:val="00071962"/>
    <w:pPr>
      <w:spacing w:before="0" w:after="0"/>
      <w:ind w:left="22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071962"/>
    <w:pPr>
      <w:spacing w:before="0" w:after="0"/>
      <w:ind w:left="44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071962"/>
    <w:pPr>
      <w:spacing w:before="0" w:after="0"/>
      <w:ind w:left="6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071962"/>
    <w:pPr>
      <w:spacing w:before="0" w:after="0"/>
      <w:ind w:left="88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071962"/>
    <w:pPr>
      <w:spacing w:before="0" w:after="0"/>
      <w:ind w:left="110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071962"/>
    <w:pPr>
      <w:spacing w:before="0" w:after="0"/>
      <w:ind w:left="132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071962"/>
    <w:pPr>
      <w:spacing w:before="0" w:after="0"/>
      <w:ind w:left="1540"/>
      <w:jc w:val="left"/>
    </w:pPr>
    <w:rPr>
      <w:rFonts w:asciiTheme="minorHAnsi" w:hAnsiTheme="minorHAnsi" w:cstheme="minorHAnsi"/>
      <w:sz w:val="20"/>
      <w:szCs w:val="20"/>
    </w:rPr>
  </w:style>
  <w:style w:type="paragraph" w:styleId="ndice2">
    <w:name w:val="index 2"/>
    <w:basedOn w:val="Normal"/>
    <w:next w:val="Normal"/>
    <w:autoRedefine/>
    <w:uiPriority w:val="99"/>
    <w:unhideWhenUsed/>
    <w:rsid w:val="00071962"/>
    <w:pPr>
      <w:ind w:left="440" w:hanging="220"/>
    </w:pPr>
  </w:style>
  <w:style w:type="paragraph" w:styleId="ndice7">
    <w:name w:val="index 7"/>
    <w:basedOn w:val="Normal"/>
    <w:next w:val="Normal"/>
    <w:autoRedefine/>
    <w:uiPriority w:val="99"/>
    <w:unhideWhenUsed/>
    <w:rsid w:val="00071962"/>
    <w:pPr>
      <w:spacing w:before="0" w:after="0"/>
      <w:ind w:left="1540" w:hanging="220"/>
    </w:pPr>
  </w:style>
  <w:style w:type="paragraph" w:styleId="ndice1">
    <w:name w:val="index 1"/>
    <w:basedOn w:val="Normal"/>
    <w:next w:val="Normal"/>
    <w:autoRedefine/>
    <w:uiPriority w:val="99"/>
    <w:unhideWhenUsed/>
    <w:rsid w:val="00071962"/>
    <w:pPr>
      <w:spacing w:before="0" w:after="0"/>
      <w:ind w:left="220" w:hanging="220"/>
    </w:pPr>
  </w:style>
  <w:style w:type="paragraph" w:styleId="ndice3">
    <w:name w:val="index 3"/>
    <w:basedOn w:val="Normal"/>
    <w:next w:val="Normal"/>
    <w:autoRedefine/>
    <w:uiPriority w:val="99"/>
    <w:unhideWhenUsed/>
    <w:rsid w:val="00071962"/>
    <w:pPr>
      <w:ind w:left="660" w:hanging="220"/>
    </w:pPr>
  </w:style>
  <w:style w:type="paragraph" w:styleId="ndice4">
    <w:name w:val="index 4"/>
    <w:basedOn w:val="Normal"/>
    <w:next w:val="Normal"/>
    <w:autoRedefine/>
    <w:uiPriority w:val="99"/>
    <w:unhideWhenUsed/>
    <w:rsid w:val="00071962"/>
    <w:pPr>
      <w:ind w:left="880" w:hanging="220"/>
    </w:pPr>
  </w:style>
  <w:style w:type="paragraph" w:styleId="ndice5">
    <w:name w:val="index 5"/>
    <w:basedOn w:val="Normal"/>
    <w:next w:val="Normal"/>
    <w:autoRedefine/>
    <w:uiPriority w:val="99"/>
    <w:unhideWhenUsed/>
    <w:rsid w:val="00071962"/>
    <w:pPr>
      <w:ind w:left="1100" w:hanging="220"/>
    </w:pPr>
  </w:style>
  <w:style w:type="paragraph" w:styleId="ndice6">
    <w:name w:val="index 6"/>
    <w:basedOn w:val="Normal"/>
    <w:next w:val="Normal"/>
    <w:autoRedefine/>
    <w:uiPriority w:val="99"/>
    <w:unhideWhenUsed/>
    <w:rsid w:val="00071962"/>
    <w:pPr>
      <w:ind w:left="1320" w:hanging="220"/>
    </w:pPr>
  </w:style>
  <w:style w:type="paragraph" w:styleId="ndice8">
    <w:name w:val="index 8"/>
    <w:basedOn w:val="Normal"/>
    <w:next w:val="Normal"/>
    <w:autoRedefine/>
    <w:uiPriority w:val="99"/>
    <w:unhideWhenUsed/>
    <w:rsid w:val="00071962"/>
    <w:pPr>
      <w:ind w:left="1760" w:hanging="220"/>
    </w:pPr>
  </w:style>
  <w:style w:type="paragraph" w:styleId="ndice9">
    <w:name w:val="index 9"/>
    <w:basedOn w:val="Normal"/>
    <w:next w:val="Normal"/>
    <w:autoRedefine/>
    <w:uiPriority w:val="99"/>
    <w:unhideWhenUsed/>
    <w:rsid w:val="00071962"/>
    <w:pPr>
      <w:ind w:left="1980" w:hanging="220"/>
    </w:pPr>
  </w:style>
  <w:style w:type="paragraph" w:styleId="Ttulodendice">
    <w:name w:val="index heading"/>
    <w:basedOn w:val="Normal"/>
    <w:next w:val="ndice1"/>
    <w:uiPriority w:val="99"/>
    <w:unhideWhenUsed/>
    <w:rsid w:val="00071962"/>
  </w:style>
  <w:style w:type="character" w:styleId="nfasissutil">
    <w:name w:val="Subtle Emphasis"/>
    <w:aliases w:val="Título 2.1"/>
    <w:uiPriority w:val="19"/>
    <w:qFormat/>
    <w:rsid w:val="0060413A"/>
    <w:rPr>
      <w:rFonts w:ascii="Avenir Heavy" w:hAnsi="Avenir Heavy"/>
      <w:color w:val="FFFFFF" w:themeColor="background1"/>
      <w:sz w:val="36"/>
    </w:rPr>
  </w:style>
  <w:style w:type="paragraph" w:customStyle="1" w:styleId="Ttulo2enpginadeseccin">
    <w:name w:val="Título 2 en página de sección"/>
    <w:basedOn w:val="Normal"/>
    <w:autoRedefine/>
    <w:qFormat/>
    <w:rsid w:val="003D6068"/>
    <w:pPr>
      <w:numPr>
        <w:numId w:val="4"/>
      </w:numPr>
      <w:spacing w:before="0" w:after="0"/>
      <w:jc w:val="left"/>
    </w:pPr>
    <w:rPr>
      <w:rFonts w:ascii="Avenir Heavy" w:hAnsi="Avenir Heavy"/>
      <w:color w:val="FFFFFF" w:themeColor="background1"/>
      <w:sz w:val="20"/>
    </w:rPr>
  </w:style>
  <w:style w:type="character" w:customStyle="1" w:styleId="A43">
    <w:name w:val="A43"/>
    <w:uiPriority w:val="99"/>
    <w:rsid w:val="00FE08CB"/>
    <w:rPr>
      <w:rFonts w:cs="Lucida Sans Unicode"/>
      <w:color w:val="000000"/>
      <w:sz w:val="21"/>
      <w:szCs w:val="21"/>
    </w:rPr>
  </w:style>
  <w:style w:type="paragraph" w:customStyle="1" w:styleId="Pa17">
    <w:name w:val="Pa17"/>
    <w:basedOn w:val="Default"/>
    <w:next w:val="Default"/>
    <w:uiPriority w:val="99"/>
    <w:rsid w:val="00FE08CB"/>
    <w:pPr>
      <w:spacing w:line="241" w:lineRule="atLeast"/>
    </w:pPr>
    <w:rPr>
      <w:rFonts w:ascii="Lucida Sans Unicode" w:eastAsia="MS Mincho" w:hAnsi="Lucida Sans Unicode" w:cs="Times New Roman"/>
      <w:color w:val="auto"/>
    </w:rPr>
  </w:style>
  <w:style w:type="character" w:customStyle="1" w:styleId="A49">
    <w:name w:val="A49"/>
    <w:uiPriority w:val="99"/>
    <w:rsid w:val="00FE08CB"/>
    <w:rPr>
      <w:rFonts w:cs="Lucida Sans Unicode"/>
      <w:color w:val="000000"/>
      <w:sz w:val="22"/>
      <w:szCs w:val="22"/>
    </w:rPr>
  </w:style>
  <w:style w:type="character" w:customStyle="1" w:styleId="A28">
    <w:name w:val="A28"/>
    <w:uiPriority w:val="99"/>
    <w:rsid w:val="00FE08CB"/>
    <w:rPr>
      <w:rFonts w:cs="Lucida Sans Unicode"/>
      <w:color w:val="000000"/>
      <w:sz w:val="22"/>
      <w:szCs w:val="22"/>
    </w:rPr>
  </w:style>
  <w:style w:type="character" w:customStyle="1" w:styleId="A54">
    <w:name w:val="A54"/>
    <w:uiPriority w:val="99"/>
    <w:rsid w:val="00FE08CB"/>
    <w:rPr>
      <w:rFonts w:cs="Lucida Sans Unicode"/>
      <w:color w:val="000000"/>
      <w:sz w:val="22"/>
      <w:szCs w:val="22"/>
    </w:rPr>
  </w:style>
  <w:style w:type="character" w:customStyle="1" w:styleId="A56">
    <w:name w:val="A56"/>
    <w:uiPriority w:val="99"/>
    <w:rsid w:val="00FE08CB"/>
    <w:rPr>
      <w:rFonts w:cs="Lucida Sans Unicode"/>
      <w:color w:val="000000"/>
      <w:sz w:val="22"/>
      <w:szCs w:val="22"/>
    </w:rPr>
  </w:style>
  <w:style w:type="paragraph" w:customStyle="1" w:styleId="Normal-blanco">
    <w:name w:val="Normal-blanco"/>
    <w:basedOn w:val="Normal"/>
    <w:qFormat/>
    <w:rsid w:val="006F267C"/>
    <w:rPr>
      <w:color w:val="FFFFFF" w:themeColor="background1"/>
    </w:rPr>
  </w:style>
  <w:style w:type="paragraph" w:customStyle="1" w:styleId="NormalB-blanco">
    <w:name w:val="Normal(B)-blanco"/>
    <w:basedOn w:val="Normal-blanco"/>
    <w:qFormat/>
    <w:rsid w:val="00F760EB"/>
    <w:rPr>
      <w:rFonts w:ascii="Avenir Black" w:hAnsi="Avenir Black"/>
    </w:rPr>
  </w:style>
  <w:style w:type="table" w:styleId="Tablaconcuadrcula">
    <w:name w:val="Table Grid"/>
    <w:basedOn w:val="Tablanormal"/>
    <w:uiPriority w:val="59"/>
    <w:rsid w:val="006F2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60413A"/>
    <w:rPr>
      <w:i/>
      <w:iCs/>
    </w:rPr>
  </w:style>
  <w:style w:type="table" w:styleId="Sombreadoclaro-nfasis6">
    <w:name w:val="Light Shading Accent 6"/>
    <w:basedOn w:val="Tablanormal"/>
    <w:uiPriority w:val="60"/>
    <w:rsid w:val="00B26283"/>
    <w:pPr>
      <w:spacing w:after="0" w:line="240" w:lineRule="auto"/>
    </w:pPr>
    <w:rPr>
      <w:color w:val="074558" w:themeColor="accent6" w:themeShade="BF"/>
    </w:rPr>
    <w:tblPr>
      <w:tblStyleRowBandSize w:val="1"/>
      <w:tblStyleColBandSize w:val="1"/>
      <w:tblInd w:w="0" w:type="dxa"/>
      <w:tblBorders>
        <w:top w:val="single" w:sz="8" w:space="0" w:color="0A5D76" w:themeColor="accent6"/>
        <w:bottom w:val="single" w:sz="8" w:space="0" w:color="0A5D7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5D76" w:themeColor="accent6"/>
          <w:left w:val="nil"/>
          <w:bottom w:val="single" w:sz="8" w:space="0" w:color="0A5D76" w:themeColor="accent6"/>
          <w:right w:val="nil"/>
          <w:insideH w:val="nil"/>
          <w:insideV w:val="nil"/>
        </w:tcBorders>
      </w:tcPr>
    </w:tblStylePr>
    <w:tblStylePr w:type="lastRow">
      <w:pPr>
        <w:spacing w:before="0" w:after="0" w:line="240" w:lineRule="auto"/>
      </w:pPr>
      <w:rPr>
        <w:b/>
        <w:bCs/>
      </w:rPr>
      <w:tblPr/>
      <w:tcPr>
        <w:tcBorders>
          <w:top w:val="single" w:sz="8" w:space="0" w:color="0A5D76" w:themeColor="accent6"/>
          <w:left w:val="nil"/>
          <w:bottom w:val="single" w:sz="8" w:space="0" w:color="0A5D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4F7" w:themeFill="accent6" w:themeFillTint="3F"/>
      </w:tcPr>
    </w:tblStylePr>
    <w:tblStylePr w:type="band1Horz">
      <w:tblPr/>
      <w:tcPr>
        <w:tcBorders>
          <w:left w:val="nil"/>
          <w:right w:val="nil"/>
          <w:insideH w:val="nil"/>
          <w:insideV w:val="nil"/>
        </w:tcBorders>
        <w:shd w:val="clear" w:color="auto" w:fill="A7E4F7" w:themeFill="accent6" w:themeFillTint="3F"/>
      </w:tcPr>
    </w:tblStylePr>
  </w:style>
  <w:style w:type="table" w:customStyle="1" w:styleId="Cuadrculaclara-nfasis11">
    <w:name w:val="Cuadrícula clara - Énfasis 11"/>
    <w:basedOn w:val="Tablanormal"/>
    <w:uiPriority w:val="62"/>
    <w:rsid w:val="00B26283"/>
    <w:pPr>
      <w:spacing w:after="0" w:line="240" w:lineRule="auto"/>
    </w:pPr>
    <w:tblPr>
      <w:tblStyleRowBandSize w:val="1"/>
      <w:tblStyleColBandSize w:val="1"/>
      <w:tblInd w:w="0" w:type="dxa"/>
      <w:tblBorders>
        <w:top w:val="single" w:sz="8" w:space="0" w:color="0A3F76" w:themeColor="accent1"/>
        <w:left w:val="single" w:sz="8" w:space="0" w:color="0A3F76" w:themeColor="accent1"/>
        <w:bottom w:val="single" w:sz="8" w:space="0" w:color="0A3F76" w:themeColor="accent1"/>
        <w:right w:val="single" w:sz="8" w:space="0" w:color="0A3F76" w:themeColor="accent1"/>
        <w:insideH w:val="single" w:sz="8" w:space="0" w:color="0A3F76" w:themeColor="accent1"/>
        <w:insideV w:val="single" w:sz="8" w:space="0" w:color="0A3F7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3F76" w:themeColor="accent1"/>
          <w:left w:val="single" w:sz="8" w:space="0" w:color="0A3F76" w:themeColor="accent1"/>
          <w:bottom w:val="single" w:sz="18" w:space="0" w:color="0A3F76" w:themeColor="accent1"/>
          <w:right w:val="single" w:sz="8" w:space="0" w:color="0A3F76" w:themeColor="accent1"/>
          <w:insideH w:val="nil"/>
          <w:insideV w:val="single" w:sz="8" w:space="0" w:color="0A3F7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3F76" w:themeColor="accent1"/>
          <w:left w:val="single" w:sz="8" w:space="0" w:color="0A3F76" w:themeColor="accent1"/>
          <w:bottom w:val="single" w:sz="8" w:space="0" w:color="0A3F76" w:themeColor="accent1"/>
          <w:right w:val="single" w:sz="8" w:space="0" w:color="0A3F76" w:themeColor="accent1"/>
          <w:insideH w:val="nil"/>
          <w:insideV w:val="single" w:sz="8" w:space="0" w:color="0A3F7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3F76" w:themeColor="accent1"/>
          <w:left w:val="single" w:sz="8" w:space="0" w:color="0A3F76" w:themeColor="accent1"/>
          <w:bottom w:val="single" w:sz="8" w:space="0" w:color="0A3F76" w:themeColor="accent1"/>
          <w:right w:val="single" w:sz="8" w:space="0" w:color="0A3F76" w:themeColor="accent1"/>
        </w:tcBorders>
      </w:tcPr>
    </w:tblStylePr>
    <w:tblStylePr w:type="band1Vert">
      <w:tblPr/>
      <w:tcPr>
        <w:tcBorders>
          <w:top w:val="single" w:sz="8" w:space="0" w:color="0A3F76" w:themeColor="accent1"/>
          <w:left w:val="single" w:sz="8" w:space="0" w:color="0A3F76" w:themeColor="accent1"/>
          <w:bottom w:val="single" w:sz="8" w:space="0" w:color="0A3F76" w:themeColor="accent1"/>
          <w:right w:val="single" w:sz="8" w:space="0" w:color="0A3F76" w:themeColor="accent1"/>
        </w:tcBorders>
        <w:shd w:val="clear" w:color="auto" w:fill="A7CEF7" w:themeFill="accent1" w:themeFillTint="3F"/>
      </w:tcPr>
    </w:tblStylePr>
    <w:tblStylePr w:type="band1Horz">
      <w:tblPr/>
      <w:tcPr>
        <w:tcBorders>
          <w:top w:val="single" w:sz="8" w:space="0" w:color="0A3F76" w:themeColor="accent1"/>
          <w:left w:val="single" w:sz="8" w:space="0" w:color="0A3F76" w:themeColor="accent1"/>
          <w:bottom w:val="single" w:sz="8" w:space="0" w:color="0A3F76" w:themeColor="accent1"/>
          <w:right w:val="single" w:sz="8" w:space="0" w:color="0A3F76" w:themeColor="accent1"/>
          <w:insideV w:val="single" w:sz="8" w:space="0" w:color="0A3F76" w:themeColor="accent1"/>
        </w:tcBorders>
        <w:shd w:val="clear" w:color="auto" w:fill="A7CEF7" w:themeFill="accent1" w:themeFillTint="3F"/>
      </w:tcPr>
    </w:tblStylePr>
    <w:tblStylePr w:type="band2Horz">
      <w:tblPr/>
      <w:tcPr>
        <w:tcBorders>
          <w:top w:val="single" w:sz="8" w:space="0" w:color="0A3F76" w:themeColor="accent1"/>
          <w:left w:val="single" w:sz="8" w:space="0" w:color="0A3F76" w:themeColor="accent1"/>
          <w:bottom w:val="single" w:sz="8" w:space="0" w:color="0A3F76" w:themeColor="accent1"/>
          <w:right w:val="single" w:sz="8" w:space="0" w:color="0A3F76" w:themeColor="accent1"/>
          <w:insideV w:val="single" w:sz="8" w:space="0" w:color="0A3F76" w:themeColor="accent1"/>
        </w:tcBorders>
      </w:tcPr>
    </w:tblStylePr>
  </w:style>
  <w:style w:type="table" w:customStyle="1" w:styleId="Listamedia1-nfasis11">
    <w:name w:val="Lista media 1 - Énfasis 11"/>
    <w:basedOn w:val="Tablanormal"/>
    <w:uiPriority w:val="65"/>
    <w:rsid w:val="00BF3D8F"/>
    <w:pPr>
      <w:spacing w:after="0" w:line="240" w:lineRule="auto"/>
    </w:pPr>
    <w:rPr>
      <w:color w:val="000000" w:themeColor="text1"/>
    </w:rPr>
    <w:tblPr>
      <w:tblStyleRowBandSize w:val="1"/>
      <w:tblStyleColBandSize w:val="1"/>
      <w:tblInd w:w="0" w:type="dxa"/>
      <w:tblBorders>
        <w:top w:val="single" w:sz="8" w:space="0" w:color="0A3F76" w:themeColor="accent1"/>
        <w:bottom w:val="single" w:sz="8" w:space="0" w:color="0A3F7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3F76" w:themeColor="accent1"/>
        </w:tcBorders>
      </w:tcPr>
    </w:tblStylePr>
    <w:tblStylePr w:type="lastRow">
      <w:rPr>
        <w:b/>
        <w:bCs/>
        <w:color w:val="97A4AC" w:themeColor="text2"/>
      </w:rPr>
      <w:tblPr/>
      <w:tcPr>
        <w:tcBorders>
          <w:top w:val="single" w:sz="8" w:space="0" w:color="0A3F76" w:themeColor="accent1"/>
          <w:bottom w:val="single" w:sz="8" w:space="0" w:color="0A3F76" w:themeColor="accent1"/>
        </w:tcBorders>
      </w:tcPr>
    </w:tblStylePr>
    <w:tblStylePr w:type="firstCol">
      <w:rPr>
        <w:b/>
        <w:bCs/>
      </w:rPr>
    </w:tblStylePr>
    <w:tblStylePr w:type="lastCol">
      <w:rPr>
        <w:b/>
        <w:bCs/>
      </w:rPr>
      <w:tblPr/>
      <w:tcPr>
        <w:tcBorders>
          <w:top w:val="single" w:sz="8" w:space="0" w:color="0A3F76" w:themeColor="accent1"/>
          <w:bottom w:val="single" w:sz="8" w:space="0" w:color="0A3F76" w:themeColor="accent1"/>
        </w:tcBorders>
      </w:tcPr>
    </w:tblStylePr>
    <w:tblStylePr w:type="band1Vert">
      <w:tblPr/>
      <w:tcPr>
        <w:shd w:val="clear" w:color="auto" w:fill="A7CEF7" w:themeFill="accent1" w:themeFillTint="3F"/>
      </w:tcPr>
    </w:tblStylePr>
    <w:tblStylePr w:type="band1Horz">
      <w:tblPr/>
      <w:tcPr>
        <w:shd w:val="clear" w:color="auto" w:fill="A7CEF7" w:themeFill="accent1" w:themeFillTint="3F"/>
      </w:tcPr>
    </w:tblStylePr>
  </w:style>
  <w:style w:type="table" w:customStyle="1" w:styleId="Estilo2">
    <w:name w:val="Estilo2"/>
    <w:basedOn w:val="Tablanormal"/>
    <w:uiPriority w:val="99"/>
    <w:rsid w:val="00B26283"/>
    <w:pPr>
      <w:spacing w:after="0" w:line="240" w:lineRule="auto"/>
      <w:jc w:val="center"/>
    </w:pPr>
    <w:tblPr>
      <w:tblInd w:w="0" w:type="dxa"/>
      <w:tblCellMar>
        <w:top w:w="0" w:type="dxa"/>
        <w:left w:w="108" w:type="dxa"/>
        <w:bottom w:w="0" w:type="dxa"/>
        <w:right w:w="108" w:type="dxa"/>
      </w:tblCellMar>
    </w:tblPr>
    <w:tcPr>
      <w:vAlign w:val="center"/>
    </w:tcPr>
  </w:style>
  <w:style w:type="table" w:styleId="Tablamoderna">
    <w:name w:val="Table Contemporary"/>
    <w:basedOn w:val="Tablanormal"/>
    <w:uiPriority w:val="99"/>
    <w:semiHidden/>
    <w:unhideWhenUsed/>
    <w:rsid w:val="00707E81"/>
    <w:pPr>
      <w:suppressAutoHyphens/>
      <w:spacing w:before="120" w:line="240"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paragraph" w:customStyle="1" w:styleId="Subttulo2">
    <w:name w:val="Subtítulo 2"/>
    <w:basedOn w:val="Ttulo2enpginadeseccin"/>
    <w:qFormat/>
    <w:rsid w:val="001D00C0"/>
    <w:pPr>
      <w:numPr>
        <w:numId w:val="3"/>
      </w:numPr>
    </w:pPr>
  </w:style>
  <w:style w:type="table" w:customStyle="1" w:styleId="Sombreadoclaro-nfasis11">
    <w:name w:val="Sombreado claro - Énfasis 11"/>
    <w:basedOn w:val="Tablanormal"/>
    <w:uiPriority w:val="60"/>
    <w:rsid w:val="009A4A4B"/>
    <w:pPr>
      <w:spacing w:after="0" w:line="240" w:lineRule="auto"/>
    </w:pPr>
    <w:rPr>
      <w:color w:val="072F58" w:themeColor="accent1" w:themeShade="BF"/>
    </w:rPr>
    <w:tblPr>
      <w:tblStyleRowBandSize w:val="1"/>
      <w:tblStyleColBandSize w:val="1"/>
      <w:tblInd w:w="0" w:type="dxa"/>
      <w:tblBorders>
        <w:top w:val="single" w:sz="8" w:space="0" w:color="0A3F76" w:themeColor="accent1"/>
        <w:bottom w:val="single" w:sz="8" w:space="0" w:color="0A3F7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3F76" w:themeColor="accent1"/>
          <w:left w:val="nil"/>
          <w:bottom w:val="single" w:sz="8" w:space="0" w:color="0A3F76" w:themeColor="accent1"/>
          <w:right w:val="nil"/>
          <w:insideH w:val="nil"/>
          <w:insideV w:val="nil"/>
        </w:tcBorders>
      </w:tcPr>
    </w:tblStylePr>
    <w:tblStylePr w:type="lastRow">
      <w:pPr>
        <w:spacing w:before="0" w:after="0" w:line="240" w:lineRule="auto"/>
      </w:pPr>
      <w:rPr>
        <w:b/>
        <w:bCs/>
      </w:rPr>
      <w:tblPr/>
      <w:tcPr>
        <w:tcBorders>
          <w:top w:val="single" w:sz="8" w:space="0" w:color="0A3F76" w:themeColor="accent1"/>
          <w:left w:val="nil"/>
          <w:bottom w:val="single" w:sz="8" w:space="0" w:color="0A3F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CEF7" w:themeFill="accent1" w:themeFillTint="3F"/>
      </w:tcPr>
    </w:tblStylePr>
    <w:tblStylePr w:type="band1Horz">
      <w:tblPr/>
      <w:tcPr>
        <w:tcBorders>
          <w:left w:val="nil"/>
          <w:right w:val="nil"/>
          <w:insideH w:val="nil"/>
          <w:insideV w:val="nil"/>
        </w:tcBorders>
        <w:shd w:val="clear" w:color="auto" w:fill="A7CEF7" w:themeFill="accent1" w:themeFillTint="3F"/>
      </w:tcPr>
    </w:tblStylePr>
  </w:style>
  <w:style w:type="table" w:customStyle="1" w:styleId="Listaclara1">
    <w:name w:val="Lista clara1"/>
    <w:basedOn w:val="Tablanormal"/>
    <w:uiPriority w:val="61"/>
    <w:rsid w:val="00BF3D8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uadrculaclara1">
    <w:name w:val="Cuadrícula clara1"/>
    <w:basedOn w:val="Tablanormal"/>
    <w:uiPriority w:val="62"/>
    <w:rsid w:val="001A523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domedio2-nfasis11">
    <w:name w:val="Sombreado medio 2 - Énfasis 11"/>
    <w:basedOn w:val="Tablanormal"/>
    <w:uiPriority w:val="64"/>
    <w:rsid w:val="00BF3D8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3F7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3F76" w:themeFill="accent1"/>
      </w:tcPr>
    </w:tblStylePr>
    <w:tblStylePr w:type="lastCol">
      <w:rPr>
        <w:b/>
        <w:bCs/>
        <w:color w:val="FFFFFF" w:themeColor="background1"/>
      </w:rPr>
      <w:tblPr/>
      <w:tcPr>
        <w:tcBorders>
          <w:left w:val="nil"/>
          <w:right w:val="nil"/>
          <w:insideH w:val="nil"/>
          <w:insideV w:val="nil"/>
        </w:tcBorders>
        <w:shd w:val="clear" w:color="auto" w:fill="0A3F7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BF3D8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7CE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3F7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3F7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3F7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3F7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9EF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9EF0" w:themeFill="accent1" w:themeFillTint="7F"/>
      </w:tcPr>
    </w:tblStylePr>
  </w:style>
  <w:style w:type="table" w:customStyle="1" w:styleId="Tablabsica">
    <w:name w:val="Tabla básica"/>
    <w:basedOn w:val="Tablamoderna"/>
    <w:uiPriority w:val="99"/>
    <w:rsid w:val="00FE4DFC"/>
    <w:pPr>
      <w:spacing w:before="0" w:after="0"/>
      <w:jc w:val="left"/>
    </w:pPr>
    <w:tblPr>
      <w:tblStyleRowBandSize w:val="1"/>
      <w:tblStyleColBandSize w:val="1"/>
      <w:jc w:val="center"/>
      <w:tblInd w:w="0" w:type="dxa"/>
      <w:tblBorders>
        <w:insideV w:val="single" w:sz="4" w:space="0" w:color="FFFFFF" w:themeColor="background1"/>
      </w:tblBorders>
      <w:tblCellMar>
        <w:top w:w="0" w:type="dxa"/>
        <w:left w:w="108" w:type="dxa"/>
        <w:bottom w:w="0" w:type="dxa"/>
        <w:right w:w="108" w:type="dxa"/>
      </w:tblCellMar>
    </w:tblPr>
    <w:trPr>
      <w:jc w:val="center"/>
    </w:trPr>
    <w:tcPr>
      <w:vAlign w:val="center"/>
    </w:tcPr>
    <w:tblStylePr w:type="firstRow">
      <w:pPr>
        <w:jc w:val="left"/>
      </w:pPr>
      <w:rPr>
        <w:rFonts w:ascii="Avenir Heavy" w:hAnsi="Avenir Heavy"/>
        <w:b w:val="0"/>
        <w:bCs/>
        <w:color w:val="FFFFFF" w:themeColor="background1"/>
        <w:sz w:val="22"/>
      </w:rPr>
      <w:tblPr/>
      <w:tcPr>
        <w:shd w:val="clear" w:color="auto" w:fill="0A3F76" w:themeFill="accent1"/>
      </w:tcPr>
    </w:tblStylePr>
    <w:tblStylePr w:type="band1Horz">
      <w:rPr>
        <w:rFonts w:ascii="Avenir Heavy" w:hAnsi="Avenir Heavy"/>
        <w:color w:val="FFFFFF" w:themeColor="background1"/>
        <w:sz w:val="22"/>
      </w:rPr>
      <w:tblPr/>
      <w:tcPr>
        <w:shd w:val="clear" w:color="auto" w:fill="A6A6A6" w:themeFill="background2" w:themeFillShade="A6"/>
      </w:tcPr>
    </w:tblStylePr>
    <w:tblStylePr w:type="band2Horz">
      <w:pPr>
        <w:jc w:val="center"/>
      </w:pPr>
      <w:rPr>
        <w:rFonts w:ascii="Avenir Heavy" w:hAnsi="Avenir Heavy"/>
        <w:color w:val="FFFFFF" w:themeColor="background1"/>
        <w:sz w:val="22"/>
      </w:rPr>
      <w:tblPr/>
      <w:tcPr>
        <w:shd w:val="clear" w:color="auto" w:fill="6B7B86" w:themeFill="text2" w:themeFillShade="BF"/>
      </w:tcPr>
    </w:tblStylePr>
  </w:style>
  <w:style w:type="table" w:customStyle="1" w:styleId="Tablapredefinida">
    <w:name w:val="Tabla predefinida"/>
    <w:basedOn w:val="Tablamoderna"/>
    <w:uiPriority w:val="99"/>
    <w:rsid w:val="00E84753"/>
    <w:pPr>
      <w:spacing w:after="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pPr>
        <w:jc w:val="center"/>
      </w:pPr>
      <w:rPr>
        <w:rFonts w:ascii="Avenir Heavy" w:hAnsi="Avenir Heavy"/>
        <w:b w:val="0"/>
        <w:bCs/>
        <w:color w:val="auto"/>
        <w:sz w:val="24"/>
      </w:rPr>
      <w:tblPr/>
      <w:tcPr>
        <w:tcBorders>
          <w:top w:val="nil"/>
          <w:left w:val="nil"/>
          <w:bottom w:val="nil"/>
          <w:right w:val="nil"/>
          <w:insideH w:val="nil"/>
          <w:insideV w:val="single" w:sz="8" w:space="0" w:color="FFFFFF" w:themeColor="background1"/>
          <w:tl2br w:val="nil"/>
          <w:tr2bl w:val="nil"/>
        </w:tcBorders>
        <w:shd w:val="clear" w:color="auto" w:fill="0A3F76" w:themeFill="accent1"/>
      </w:tcPr>
    </w:tblStylePr>
    <w:tblStylePr w:type="band1Horz">
      <w:pPr>
        <w:jc w:val="left"/>
      </w:pPr>
      <w:rPr>
        <w:rFonts w:ascii="Avenir Heavy" w:hAnsi="Avenir Heavy"/>
        <w:color w:val="FFFFFF" w:themeColor="background1"/>
        <w:sz w:val="22"/>
      </w:rPr>
      <w:tblPr/>
      <w:tcPr>
        <w:tcBorders>
          <w:top w:val="nil"/>
          <w:left w:val="nil"/>
          <w:bottom w:val="nil"/>
          <w:right w:val="nil"/>
          <w:insideH w:val="nil"/>
          <w:insideV w:val="nil"/>
          <w:tl2br w:val="nil"/>
          <w:tr2bl w:val="nil"/>
        </w:tcBorders>
        <w:shd w:val="clear" w:color="auto" w:fill="B8D8F9" w:themeFill="accent1" w:themeFillTint="33"/>
      </w:tcPr>
    </w:tblStylePr>
    <w:tblStylePr w:type="band2Horz">
      <w:pPr>
        <w:jc w:val="left"/>
      </w:pPr>
      <w:rPr>
        <w:rFonts w:ascii="Avenir Heavy" w:hAnsi="Avenir Heavy"/>
        <w:color w:val="auto"/>
        <w:sz w:val="22"/>
      </w:rPr>
      <w:tblPr/>
      <w:tcPr>
        <w:tcBorders>
          <w:top w:val="nil"/>
          <w:left w:val="nil"/>
          <w:bottom w:val="nil"/>
          <w:right w:val="nil"/>
          <w:insideH w:val="nil"/>
          <w:insideV w:val="nil"/>
          <w:tl2br w:val="nil"/>
          <w:tr2bl w:val="nil"/>
        </w:tcBorders>
        <w:shd w:val="clear" w:color="auto" w:fill="72B1F3" w:themeFill="accent1" w:themeFillTint="66"/>
      </w:tcPr>
    </w:tblStylePr>
  </w:style>
  <w:style w:type="table" w:styleId="Tablacontema">
    <w:name w:val="Table Theme"/>
    <w:basedOn w:val="Tablanormal"/>
    <w:uiPriority w:val="99"/>
    <w:semiHidden/>
    <w:unhideWhenUsed/>
    <w:rsid w:val="00CE0F38"/>
    <w:pPr>
      <w:suppressAutoHyphens/>
      <w:spacing w:before="12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aespecialblanca">
    <w:name w:val="Lista especial (blanca)"/>
    <w:basedOn w:val="Sinlista"/>
    <w:uiPriority w:val="99"/>
    <w:rsid w:val="00D53D77"/>
    <w:pPr>
      <w:numPr>
        <w:numId w:val="7"/>
      </w:numPr>
    </w:pPr>
  </w:style>
  <w:style w:type="numbering" w:customStyle="1" w:styleId="Listaprincipal">
    <w:name w:val="Lista principal"/>
    <w:basedOn w:val="Sinlista"/>
    <w:uiPriority w:val="99"/>
    <w:rsid w:val="00D53D77"/>
    <w:pPr>
      <w:numPr>
        <w:numId w:val="8"/>
      </w:numPr>
    </w:pPr>
  </w:style>
  <w:style w:type="paragraph" w:customStyle="1" w:styleId="Prrafodelistaprincipal">
    <w:name w:val="Párrafo de lista principal"/>
    <w:qFormat/>
    <w:rsid w:val="00E677DC"/>
    <w:pPr>
      <w:numPr>
        <w:numId w:val="13"/>
      </w:numPr>
      <w:jc w:val="both"/>
    </w:pPr>
    <w:rPr>
      <w:rFonts w:ascii="Avenir Heavy" w:hAnsi="Avenir Heavy"/>
      <w:color w:val="0A3F76" w:themeColor="accent1"/>
    </w:rPr>
  </w:style>
  <w:style w:type="paragraph" w:customStyle="1" w:styleId="Prrafodesublista">
    <w:name w:val="Párrafo de sublista"/>
    <w:basedOn w:val="Prrafodelistaprincipal"/>
    <w:qFormat/>
    <w:rsid w:val="00E677DC"/>
    <w:pPr>
      <w:numPr>
        <w:numId w:val="14"/>
      </w:numPr>
    </w:pPr>
    <w:rPr>
      <w:color w:val="97A4AC" w:themeColor="text2"/>
    </w:rPr>
  </w:style>
  <w:style w:type="paragraph" w:customStyle="1" w:styleId="Prrafolistaenumeradaprincipal">
    <w:name w:val="Párrafo lista enumerada principal"/>
    <w:qFormat/>
    <w:rsid w:val="00320B46"/>
    <w:pPr>
      <w:numPr>
        <w:numId w:val="12"/>
      </w:numPr>
      <w:spacing w:before="240" w:after="120"/>
      <w:ind w:left="357" w:hanging="357"/>
      <w:jc w:val="both"/>
    </w:pPr>
    <w:rPr>
      <w:rFonts w:ascii="Avenir Heavy" w:hAnsi="Avenir Heavy"/>
      <w:color w:val="0A3F76" w:themeColor="accent1"/>
    </w:rPr>
  </w:style>
  <w:style w:type="paragraph" w:customStyle="1" w:styleId="Prrafolistaespecialazul">
    <w:name w:val="Párrafo lista especial (azul)"/>
    <w:basedOn w:val="Prrafodelistaprincipal"/>
    <w:qFormat/>
    <w:rsid w:val="00053709"/>
    <w:pPr>
      <w:numPr>
        <w:numId w:val="9"/>
      </w:numPr>
      <w:spacing w:after="0"/>
      <w:ind w:left="357" w:hanging="357"/>
    </w:pPr>
    <w:rPr>
      <w:b/>
    </w:rPr>
  </w:style>
  <w:style w:type="numbering" w:customStyle="1" w:styleId="Listaenumerada">
    <w:name w:val="Lista enumerada"/>
    <w:uiPriority w:val="99"/>
    <w:rsid w:val="00F2748D"/>
    <w:pPr>
      <w:numPr>
        <w:numId w:val="11"/>
      </w:numPr>
    </w:pPr>
  </w:style>
  <w:style w:type="numbering" w:customStyle="1" w:styleId="Sublista">
    <w:name w:val="Sublista"/>
    <w:uiPriority w:val="99"/>
    <w:rsid w:val="00F2748D"/>
    <w:pPr>
      <w:numPr>
        <w:numId w:val="10"/>
      </w:numPr>
    </w:pPr>
  </w:style>
  <w:style w:type="paragraph" w:customStyle="1" w:styleId="Prrafodelistanica">
    <w:name w:val="Párrafo de lista única"/>
    <w:basedOn w:val="Prrafodelistaprincipal"/>
    <w:qFormat/>
    <w:rsid w:val="00D31700"/>
    <w:pPr>
      <w:spacing w:line="240" w:lineRule="auto"/>
    </w:pPr>
    <w:rPr>
      <w:rFonts w:ascii="Avenir Roman" w:hAnsi="Avenir Roman"/>
      <w:color w:val="48535A" w:themeColor="text2" w:themeShade="80"/>
    </w:rPr>
  </w:style>
  <w:style w:type="paragraph" w:customStyle="1" w:styleId="Prrafosublistaenumerada">
    <w:name w:val="Párrafo sublista enumerada"/>
    <w:basedOn w:val="Prrafolistaenumeradaprincipal"/>
    <w:qFormat/>
    <w:rsid w:val="00320B46"/>
    <w:pPr>
      <w:numPr>
        <w:numId w:val="19"/>
      </w:numPr>
      <w:ind w:left="1220"/>
    </w:pPr>
    <w:rPr>
      <w:rFonts w:ascii="Avenir Roman" w:hAnsi="Avenir Roman"/>
      <w:color w:val="48535A" w:themeColor="text2" w:themeShade="80"/>
    </w:rPr>
  </w:style>
  <w:style w:type="paragraph" w:customStyle="1" w:styleId="Prrafoennegrita">
    <w:name w:val="Párrafo en negrita"/>
    <w:basedOn w:val="Normal"/>
    <w:qFormat/>
    <w:rsid w:val="00F914E1"/>
    <w:rPr>
      <w:rFonts w:ascii="Avenir Heavy" w:hAnsi="Avenir Heavy"/>
      <w:color w:val="auto"/>
    </w:rPr>
  </w:style>
  <w:style w:type="numbering" w:customStyle="1" w:styleId="Sublistaenumerada">
    <w:name w:val="Sublista enumerada"/>
    <w:uiPriority w:val="99"/>
    <w:rsid w:val="00640F93"/>
    <w:pPr>
      <w:numPr>
        <w:numId w:val="15"/>
      </w:numPr>
    </w:pPr>
  </w:style>
  <w:style w:type="numbering" w:customStyle="1" w:styleId="Listaalfabtica">
    <w:name w:val="Lista alfabética"/>
    <w:basedOn w:val="Sinlista"/>
    <w:uiPriority w:val="99"/>
    <w:rsid w:val="00F914E1"/>
    <w:pPr>
      <w:numPr>
        <w:numId w:val="16"/>
      </w:numPr>
    </w:pPr>
  </w:style>
  <w:style w:type="paragraph" w:customStyle="1" w:styleId="Prrafolistaalfabtica">
    <w:name w:val="Párrafo lista alfabética"/>
    <w:basedOn w:val="Prrafodesublista"/>
    <w:qFormat/>
    <w:rsid w:val="000A7F63"/>
    <w:pPr>
      <w:numPr>
        <w:numId w:val="17"/>
      </w:numPr>
      <w:spacing w:line="240" w:lineRule="auto"/>
      <w:ind w:left="1069"/>
    </w:pPr>
  </w:style>
  <w:style w:type="paragraph" w:customStyle="1" w:styleId="Estilo1">
    <w:name w:val="Estilo1"/>
    <w:basedOn w:val="Prrafosublistaenumerada"/>
    <w:qFormat/>
    <w:rsid w:val="00320B46"/>
    <w:pPr>
      <w:numPr>
        <w:numId w:val="0"/>
      </w:numPr>
      <w:spacing w:line="240" w:lineRule="auto"/>
      <w:ind w:left="1220" w:hanging="511"/>
    </w:pPr>
  </w:style>
  <w:style w:type="paragraph" w:customStyle="1" w:styleId="Prrafolistaespecialroja">
    <w:name w:val="Párrafo lista especial (roja)"/>
    <w:basedOn w:val="Prrafolistaespecialazul"/>
    <w:qFormat/>
    <w:rsid w:val="00053709"/>
    <w:pPr>
      <w:numPr>
        <w:numId w:val="18"/>
      </w:numPr>
      <w:spacing w:line="240" w:lineRule="auto"/>
      <w:ind w:left="1066" w:hanging="357"/>
    </w:pPr>
  </w:style>
  <w:style w:type="character" w:customStyle="1" w:styleId="A90">
    <w:name w:val="A90"/>
    <w:uiPriority w:val="99"/>
    <w:rsid w:val="00C97C4D"/>
    <w:rPr>
      <w:rFonts w:cs="Lucida Sans Unicode"/>
      <w:color w:val="000000"/>
      <w:sz w:val="22"/>
      <w:szCs w:val="22"/>
    </w:rPr>
  </w:style>
  <w:style w:type="paragraph" w:customStyle="1" w:styleId="SubtituloGris">
    <w:name w:val="Subtitulo Gris"/>
    <w:basedOn w:val="Ttulo3"/>
    <w:qFormat/>
    <w:rsid w:val="00896CCF"/>
    <w:rPr>
      <w:color w:val="97A4AC" w:themeColor="text2"/>
      <w:sz w:val="24"/>
    </w:rPr>
  </w:style>
  <w:style w:type="paragraph" w:customStyle="1" w:styleId="Prrafolistaespecialblanca">
    <w:name w:val="Párrafo lista especial (blanca)"/>
    <w:basedOn w:val="Prrafolistaespecialroja"/>
    <w:qFormat/>
    <w:rsid w:val="00053709"/>
    <w:pPr>
      <w:numPr>
        <w:numId w:val="20"/>
      </w:numPr>
      <w:ind w:left="357" w:hanging="357"/>
      <w:jc w:val="left"/>
    </w:pPr>
    <w:rPr>
      <w:color w:val="FFFFFF" w:themeColor="background1"/>
    </w:rPr>
  </w:style>
  <w:style w:type="paragraph" w:customStyle="1" w:styleId="Contenidomapasconceptuales">
    <w:name w:val="Contenido mapas conceptuales"/>
    <w:basedOn w:val="Normal-blanco"/>
    <w:qFormat/>
    <w:rsid w:val="00D34824"/>
    <w:pPr>
      <w:spacing w:before="0" w:after="0"/>
      <w:jc w:val="center"/>
    </w:pPr>
  </w:style>
  <w:style w:type="paragraph" w:customStyle="1" w:styleId="Estilo3">
    <w:name w:val="Estilo3"/>
    <w:basedOn w:val="Prrafodelistanica"/>
    <w:qFormat/>
    <w:rsid w:val="00FD3951"/>
    <w:pPr>
      <w:ind w:left="357" w:hanging="357"/>
      <w:jc w:val="left"/>
    </w:pPr>
  </w:style>
  <w:style w:type="paragraph" w:customStyle="1" w:styleId="Prrafodelistacajadetexto">
    <w:name w:val="Párrafo de lista caja de texto"/>
    <w:basedOn w:val="Prrafodelistaprincipal"/>
    <w:qFormat/>
    <w:rsid w:val="00116057"/>
    <w:pPr>
      <w:numPr>
        <w:numId w:val="22"/>
      </w:numPr>
      <w:spacing w:after="0" w:line="240" w:lineRule="auto"/>
      <w:jc w:val="left"/>
    </w:pPr>
    <w:rPr>
      <w:rFonts w:ascii="Avenir Roman" w:hAnsi="Avenir Roman"/>
      <w:sz w:val="18"/>
    </w:rPr>
  </w:style>
  <w:style w:type="numbering" w:customStyle="1" w:styleId="Listacajadetexo">
    <w:name w:val="Lista caja de texo"/>
    <w:basedOn w:val="Listaprincipal"/>
    <w:uiPriority w:val="99"/>
    <w:rsid w:val="0036374A"/>
    <w:pPr>
      <w:numPr>
        <w:numId w:val="21"/>
      </w:numPr>
    </w:pPr>
  </w:style>
  <w:style w:type="paragraph" w:customStyle="1" w:styleId="Leyenda">
    <w:name w:val="Leyenda"/>
    <w:basedOn w:val="Normal"/>
    <w:qFormat/>
    <w:rsid w:val="008E65A4"/>
    <w:pPr>
      <w:spacing w:before="0" w:after="0"/>
    </w:pPr>
    <w:rPr>
      <w:sz w:val="16"/>
    </w:rPr>
  </w:style>
  <w:style w:type="paragraph" w:customStyle="1" w:styleId="Normalencajadetexto">
    <w:name w:val="Normal en caja de texto"/>
    <w:basedOn w:val="Normal"/>
    <w:qFormat/>
    <w:rsid w:val="00A234E6"/>
    <w:pPr>
      <w:suppressAutoHyphens w:val="0"/>
      <w:spacing w:before="0" w:after="0"/>
      <w:jc w:val="left"/>
    </w:pPr>
    <w:rPr>
      <w:sz w:val="18"/>
    </w:rPr>
  </w:style>
  <w:style w:type="table" w:customStyle="1" w:styleId="TablaRanking">
    <w:name w:val="Tabla Ranking"/>
    <w:basedOn w:val="Tablanormal"/>
    <w:uiPriority w:val="99"/>
    <w:rsid w:val="00E40E0C"/>
    <w:pPr>
      <w:spacing w:after="0" w:line="240" w:lineRule="auto"/>
    </w:pPr>
    <w:rPr>
      <w:rFonts w:ascii="Avenir Roman" w:hAnsi="Avenir Roman"/>
      <w:color w:val="FFFFFF" w:themeColor="background1"/>
    </w:rPr>
    <w:tblPr>
      <w:tblStyleRowBandSize w:val="1"/>
      <w:tblInd w:w="0" w:type="dxa"/>
      <w:tblBorders>
        <w:insideV w:val="single" w:sz="6" w:space="0" w:color="FFFFFF" w:themeColor="background2"/>
      </w:tblBorders>
      <w:tblCellMar>
        <w:top w:w="0" w:type="dxa"/>
        <w:left w:w="108" w:type="dxa"/>
        <w:bottom w:w="0" w:type="dxa"/>
        <w:right w:w="108" w:type="dxa"/>
      </w:tblCellMar>
    </w:tblPr>
    <w:tcPr>
      <w:shd w:val="clear" w:color="auto" w:fill="EAECEE" w:themeFill="text2" w:themeFillTint="33"/>
    </w:tcPr>
    <w:tblStylePr w:type="firstRow">
      <w:rPr>
        <w:rFonts w:ascii="Avenir Heavy" w:hAnsi="Avenir Heavy"/>
        <w:color w:val="FFFFFF" w:themeColor="background1"/>
        <w:sz w:val="22"/>
      </w:rPr>
      <w:tblPr/>
      <w:tcPr>
        <w:shd w:val="clear" w:color="auto" w:fill="0A3F76" w:themeFill="accent1"/>
      </w:tcPr>
    </w:tblStylePr>
    <w:tblStylePr w:type="firstCol">
      <w:rPr>
        <w:rFonts w:ascii="Avenir Heavy" w:hAnsi="Avenir Heavy"/>
        <w:color w:val="FFFFFF" w:themeColor="background1"/>
        <w:sz w:val="22"/>
      </w:rPr>
      <w:tblPr/>
      <w:tcPr>
        <w:tcBorders>
          <w:top w:val="nil"/>
          <w:left w:val="nil"/>
          <w:bottom w:val="nil"/>
          <w:right w:val="nil"/>
          <w:insideH w:val="nil"/>
          <w:insideV w:val="nil"/>
          <w:tl2br w:val="nil"/>
          <w:tr2bl w:val="nil"/>
        </w:tcBorders>
        <w:shd w:val="clear" w:color="auto" w:fill="0A3F76" w:themeFill="accent1"/>
      </w:tcPr>
    </w:tblStylePr>
  </w:style>
  <w:style w:type="paragraph" w:customStyle="1" w:styleId="Ttulodetabla">
    <w:name w:val="Título de tabla"/>
    <w:qFormat/>
    <w:rsid w:val="00E40E0C"/>
    <w:pPr>
      <w:spacing w:after="0" w:line="240" w:lineRule="auto"/>
      <w:jc w:val="center"/>
    </w:pPr>
    <w:rPr>
      <w:rFonts w:ascii="Avenir Heavy" w:eastAsiaTheme="majorEastAsia" w:hAnsi="Avenir Heavy" w:cstheme="majorBidi"/>
      <w:color w:val="FFFFFF" w:themeColor="background1"/>
      <w:spacing w:val="5"/>
      <w:kern w:val="28"/>
      <w:sz w:val="28"/>
      <w:szCs w:val="52"/>
    </w:rPr>
  </w:style>
  <w:style w:type="table" w:customStyle="1" w:styleId="Tablapredeterminada">
    <w:name w:val="Tabla predeterminada"/>
    <w:basedOn w:val="Tablanormal"/>
    <w:uiPriority w:val="99"/>
    <w:rsid w:val="004D6E83"/>
    <w:pPr>
      <w:spacing w:after="0" w:line="240" w:lineRule="auto"/>
    </w:pPr>
    <w:tblPr>
      <w:tblStyleRowBandSize w:val="1"/>
      <w:tblInd w:w="0" w:type="dxa"/>
      <w:tblCellMar>
        <w:top w:w="85" w:type="dxa"/>
        <w:left w:w="85" w:type="dxa"/>
        <w:bottom w:w="85" w:type="dxa"/>
        <w:right w:w="85" w:type="dxa"/>
      </w:tblCellMar>
    </w:tblPr>
    <w:tblStylePr w:type="firstRow">
      <w:pPr>
        <w:jc w:val="center"/>
      </w:pPr>
      <w:rPr>
        <w:rFonts w:ascii="Avenir Heavy" w:hAnsi="Avenir Heavy"/>
        <w:sz w:val="18"/>
      </w:rPr>
      <w:tblPr/>
      <w:trPr>
        <w:cantSplit/>
        <w:tblHeader/>
      </w:trPr>
      <w:tcPr>
        <w:shd w:val="clear" w:color="auto" w:fill="143964"/>
        <w:vAlign w:val="center"/>
      </w:tcPr>
    </w:tblStylePr>
    <w:tblStylePr w:type="band1Horz">
      <w:pPr>
        <w:jc w:val="left"/>
      </w:pPr>
      <w:rPr>
        <w:rFonts w:ascii="Avenir Roman" w:hAnsi="Avenir Roman"/>
        <w:b w:val="0"/>
        <w:i w:val="0"/>
        <w:color w:val="6D7F85"/>
        <w:sz w:val="16"/>
      </w:rPr>
      <w:tblPr/>
      <w:tcPr>
        <w:tcBorders>
          <w:insideV w:val="single" w:sz="4" w:space="0" w:color="FFFFFF" w:themeColor="background1"/>
        </w:tcBorders>
        <w:shd w:val="clear" w:color="auto" w:fill="B8D8F9" w:themeFill="accent1" w:themeFillTint="33"/>
      </w:tcPr>
    </w:tblStylePr>
    <w:tblStylePr w:type="band2Horz">
      <w:pPr>
        <w:jc w:val="left"/>
      </w:pPr>
      <w:rPr>
        <w:rFonts w:ascii="Avenir Roman" w:hAnsi="Avenir Roman"/>
        <w:b w:val="0"/>
        <w:i w:val="0"/>
        <w:color w:val="6D7F85"/>
        <w:sz w:val="18"/>
      </w:rPr>
      <w:tblPr/>
      <w:tcPr>
        <w:tcBorders>
          <w:insideV w:val="single" w:sz="8" w:space="0" w:color="FFFFFF" w:themeColor="background1"/>
        </w:tcBorders>
        <w:shd w:val="clear" w:color="auto" w:fill="72B1F3" w:themeFill="accent1" w:themeFillTint="66"/>
        <w:vAlign w:val="center"/>
      </w:tcPr>
    </w:tblStylePr>
  </w:style>
  <w:style w:type="paragraph" w:customStyle="1" w:styleId="PrrafoTabla">
    <w:name w:val="Párrafo Tabla"/>
    <w:basedOn w:val="Prrafodelistacajadetexto"/>
    <w:qFormat/>
    <w:rsid w:val="00472E1F"/>
    <w:pPr>
      <w:numPr>
        <w:numId w:val="0"/>
      </w:numPr>
    </w:pPr>
    <w:rPr>
      <w:rFonts w:ascii="Avenir Book" w:hAnsi="Avenir Book"/>
      <w:sz w:val="16"/>
      <w:szCs w:val="16"/>
    </w:rPr>
  </w:style>
  <w:style w:type="table" w:styleId="Sombreadomedio2-nfasis6">
    <w:name w:val="Medium Shading 2 Accent 6"/>
    <w:basedOn w:val="Tablanormal"/>
    <w:uiPriority w:val="64"/>
    <w:rsid w:val="002C40E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5D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5D76" w:themeFill="accent6"/>
      </w:tcPr>
    </w:tblStylePr>
    <w:tblStylePr w:type="lastCol">
      <w:rPr>
        <w:b/>
        <w:bCs/>
        <w:color w:val="FFFFFF" w:themeColor="background1"/>
      </w:rPr>
      <w:tblPr/>
      <w:tcPr>
        <w:tcBorders>
          <w:left w:val="nil"/>
          <w:right w:val="nil"/>
          <w:insideH w:val="nil"/>
          <w:insideV w:val="nil"/>
        </w:tcBorders>
        <w:shd w:val="clear" w:color="auto" w:fill="0A5D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ResaltadoRojo">
    <w:name w:val="Resaltado (Rojo)"/>
    <w:basedOn w:val="Fuentedeprrafopredeter"/>
    <w:uiPriority w:val="1"/>
    <w:qFormat/>
    <w:rsid w:val="009C6C71"/>
    <w:rPr>
      <w:rFonts w:ascii="Avenir Roman" w:hAnsi="Avenir Roman"/>
      <w:b w:val="0"/>
      <w:bCs w:val="0"/>
      <w:i w:val="0"/>
      <w:iCs w:val="0"/>
      <w:color w:val="FC1A1A"/>
      <w:sz w:val="22"/>
      <w:szCs w:val="22"/>
      <w:u w:color="5E6E74"/>
    </w:rPr>
  </w:style>
  <w:style w:type="paragraph" w:customStyle="1" w:styleId="Tabla-normalblanco">
    <w:name w:val="Tabla-normal (blanco)"/>
    <w:basedOn w:val="Normal"/>
    <w:qFormat/>
    <w:rsid w:val="00D335EE"/>
    <w:pPr>
      <w:spacing w:before="0" w:after="0"/>
    </w:pPr>
    <w:rPr>
      <w:rFonts w:ascii="Avenir Medium" w:hAnsi="Avenir Medium"/>
      <w:color w:val="FFFFFF" w:themeColor="background1"/>
      <w:sz w:val="18"/>
    </w:rPr>
  </w:style>
  <w:style w:type="paragraph" w:customStyle="1" w:styleId="Listadoespecial-Tabla">
    <w:name w:val="Listado especial-Tabla"/>
    <w:basedOn w:val="Normal"/>
    <w:qFormat/>
    <w:rsid w:val="00D335EE"/>
    <w:pPr>
      <w:numPr>
        <w:numId w:val="26"/>
      </w:numPr>
      <w:spacing w:before="0" w:after="60"/>
      <w:contextualSpacing/>
      <w:jc w:val="left"/>
    </w:pPr>
    <w:rPr>
      <w:rFonts w:ascii="Avenir Medium" w:hAnsi="Avenir Medium"/>
      <w:color w:val="FFFFFF" w:themeColor="background1"/>
      <w:sz w:val="18"/>
    </w:rPr>
  </w:style>
  <w:style w:type="table" w:customStyle="1" w:styleId="Tabladecuadrcula4-nfasis11">
    <w:name w:val="Tabla de cuadrícula 4 - Énfasis 11"/>
    <w:basedOn w:val="Tablanormal"/>
    <w:uiPriority w:val="49"/>
    <w:rsid w:val="00F934DB"/>
    <w:pPr>
      <w:spacing w:after="0" w:line="240" w:lineRule="auto"/>
    </w:pPr>
    <w:rPr>
      <w:rFonts w:eastAsiaTheme="minorHAnsi"/>
      <w:lang w:val="es-DO"/>
    </w:rPr>
    <w:tblPr>
      <w:tblStyleRowBandSize w:val="1"/>
      <w:tblStyleColBandSize w:val="1"/>
      <w:tblInd w:w="0" w:type="dxa"/>
      <w:tblBorders>
        <w:top w:val="single" w:sz="4" w:space="0" w:color="2B8AED" w:themeColor="accent1" w:themeTint="99"/>
        <w:left w:val="single" w:sz="4" w:space="0" w:color="2B8AED" w:themeColor="accent1" w:themeTint="99"/>
        <w:bottom w:val="single" w:sz="4" w:space="0" w:color="2B8AED" w:themeColor="accent1" w:themeTint="99"/>
        <w:right w:val="single" w:sz="4" w:space="0" w:color="2B8AED" w:themeColor="accent1" w:themeTint="99"/>
        <w:insideH w:val="single" w:sz="4" w:space="0" w:color="2B8AED" w:themeColor="accent1" w:themeTint="99"/>
        <w:insideV w:val="single" w:sz="4" w:space="0" w:color="2B8AED"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3F76" w:themeColor="accent1"/>
          <w:left w:val="single" w:sz="4" w:space="0" w:color="0A3F76" w:themeColor="accent1"/>
          <w:bottom w:val="single" w:sz="4" w:space="0" w:color="0A3F76" w:themeColor="accent1"/>
          <w:right w:val="single" w:sz="4" w:space="0" w:color="0A3F76" w:themeColor="accent1"/>
          <w:insideH w:val="nil"/>
          <w:insideV w:val="nil"/>
        </w:tcBorders>
        <w:shd w:val="clear" w:color="auto" w:fill="0A3F76" w:themeFill="accent1"/>
      </w:tcPr>
    </w:tblStylePr>
    <w:tblStylePr w:type="lastRow">
      <w:rPr>
        <w:b/>
        <w:bCs/>
      </w:rPr>
      <w:tblPr/>
      <w:tcPr>
        <w:tcBorders>
          <w:top w:val="double" w:sz="4" w:space="0" w:color="0A3F76" w:themeColor="accent1"/>
        </w:tcBorders>
      </w:tcPr>
    </w:tblStylePr>
    <w:tblStylePr w:type="firstCol">
      <w:rPr>
        <w:b/>
        <w:bCs/>
      </w:rPr>
    </w:tblStylePr>
    <w:tblStylePr w:type="lastCol">
      <w:rPr>
        <w:b/>
        <w:bCs/>
      </w:rPr>
    </w:tblStylePr>
    <w:tblStylePr w:type="band1Vert">
      <w:tblPr/>
      <w:tcPr>
        <w:shd w:val="clear" w:color="auto" w:fill="B8D8F9" w:themeFill="accent1" w:themeFillTint="33"/>
      </w:tcPr>
    </w:tblStylePr>
    <w:tblStylePr w:type="band1Horz">
      <w:tblPr/>
      <w:tcPr>
        <w:shd w:val="clear" w:color="auto" w:fill="B8D8F9" w:themeFill="accent1" w:themeFillTint="33"/>
      </w:tcPr>
    </w:tblStylePr>
  </w:style>
  <w:style w:type="paragraph" w:styleId="Epgrafe">
    <w:name w:val="caption"/>
    <w:basedOn w:val="Normal"/>
    <w:next w:val="Normal"/>
    <w:uiPriority w:val="35"/>
    <w:unhideWhenUsed/>
    <w:qFormat/>
    <w:rsid w:val="00CC342F"/>
    <w:pPr>
      <w:suppressAutoHyphens w:val="0"/>
      <w:spacing w:before="0" w:after="200"/>
      <w:jc w:val="left"/>
    </w:pPr>
    <w:rPr>
      <w:rFonts w:asciiTheme="minorHAnsi" w:eastAsiaTheme="minorHAnsi" w:hAnsiTheme="minorHAnsi"/>
      <w:i/>
      <w:iCs/>
      <w:color w:val="97A4AC" w:themeColor="text2"/>
      <w:sz w:val="18"/>
      <w:szCs w:val="18"/>
      <w:lang w:val="es-DO"/>
    </w:rPr>
  </w:style>
  <w:style w:type="character" w:styleId="Refdecomentario">
    <w:name w:val="annotation reference"/>
    <w:basedOn w:val="Fuentedeprrafopredeter"/>
    <w:uiPriority w:val="99"/>
    <w:semiHidden/>
    <w:unhideWhenUsed/>
    <w:rsid w:val="001A7C1A"/>
    <w:rPr>
      <w:sz w:val="16"/>
      <w:szCs w:val="16"/>
    </w:rPr>
  </w:style>
  <w:style w:type="paragraph" w:styleId="Textocomentario">
    <w:name w:val="annotation text"/>
    <w:basedOn w:val="Normal"/>
    <w:link w:val="TextocomentarioCar"/>
    <w:uiPriority w:val="99"/>
    <w:semiHidden/>
    <w:unhideWhenUsed/>
    <w:rsid w:val="001A7C1A"/>
    <w:rPr>
      <w:sz w:val="20"/>
      <w:szCs w:val="20"/>
    </w:rPr>
  </w:style>
  <w:style w:type="character" w:customStyle="1" w:styleId="TextocomentarioCar">
    <w:name w:val="Texto comentario Car"/>
    <w:basedOn w:val="Fuentedeprrafopredeter"/>
    <w:link w:val="Textocomentario"/>
    <w:uiPriority w:val="99"/>
    <w:semiHidden/>
    <w:rsid w:val="001A7C1A"/>
    <w:rPr>
      <w:rFonts w:ascii="Avenir Roman" w:hAnsi="Avenir Roman"/>
      <w:color w:val="48535A" w:themeColor="text2" w:themeShade="80"/>
      <w:sz w:val="20"/>
      <w:szCs w:val="20"/>
    </w:rPr>
  </w:style>
  <w:style w:type="paragraph" w:styleId="Asuntodelcomentario">
    <w:name w:val="annotation subject"/>
    <w:basedOn w:val="Textocomentario"/>
    <w:next w:val="Textocomentario"/>
    <w:link w:val="AsuntodelcomentarioCar"/>
    <w:uiPriority w:val="99"/>
    <w:semiHidden/>
    <w:unhideWhenUsed/>
    <w:rsid w:val="001A7C1A"/>
    <w:rPr>
      <w:b/>
      <w:bCs/>
    </w:rPr>
  </w:style>
  <w:style w:type="character" w:customStyle="1" w:styleId="AsuntodelcomentarioCar">
    <w:name w:val="Asunto del comentario Car"/>
    <w:basedOn w:val="TextocomentarioCar"/>
    <w:link w:val="Asuntodelcomentario"/>
    <w:uiPriority w:val="99"/>
    <w:semiHidden/>
    <w:rsid w:val="001A7C1A"/>
    <w:rPr>
      <w:rFonts w:ascii="Avenir Roman" w:hAnsi="Avenir Roman"/>
      <w:b/>
      <w:bCs/>
      <w:color w:val="48535A" w:themeColor="text2" w:themeShade="80"/>
      <w:sz w:val="20"/>
      <w:szCs w:val="20"/>
    </w:rPr>
  </w:style>
  <w:style w:type="character" w:customStyle="1" w:styleId="ResaltadoGris">
    <w:name w:val="Resaltado (Gris)"/>
    <w:basedOn w:val="Fuentedeprrafopredeter"/>
    <w:uiPriority w:val="1"/>
    <w:qFormat/>
    <w:rsid w:val="00AA0B8D"/>
    <w:rPr>
      <w:rFonts w:ascii="Avenir Heavy" w:hAnsi="Avenir Heavy"/>
      <w:b w:val="0"/>
      <w:bCs w:val="0"/>
      <w:i w:val="0"/>
      <w:iCs w:val="0"/>
      <w:sz w:val="22"/>
      <w:szCs w:val="22"/>
      <w:u w:color="5E6E74"/>
    </w:rPr>
  </w:style>
  <w:style w:type="character" w:customStyle="1" w:styleId="apple-converted-space">
    <w:name w:val="apple-converted-space"/>
    <w:basedOn w:val="Fuentedeprrafopredeter"/>
    <w:rsid w:val="00F34270"/>
  </w:style>
  <w:style w:type="character" w:customStyle="1" w:styleId="Sombreadomedio1-nfasis2Car">
    <w:name w:val="Sombreado medio 1 - Énfasis 2 Car"/>
    <w:link w:val="Sombreadomedio1-nfasis2"/>
    <w:uiPriority w:val="1"/>
    <w:rsid w:val="001A2175"/>
    <w:rPr>
      <w:sz w:val="22"/>
      <w:szCs w:val="22"/>
      <w:lang w:val="es-CO" w:eastAsia="en-US" w:bidi="ar-SA"/>
    </w:rPr>
  </w:style>
  <w:style w:type="table" w:styleId="Sombreadomedio1-nfasis2">
    <w:name w:val="Medium Shading 1 Accent 2"/>
    <w:basedOn w:val="Tablanormal"/>
    <w:link w:val="Sombreadomedio1-nfasis2Car"/>
    <w:uiPriority w:val="1"/>
    <w:rsid w:val="001A2175"/>
    <w:pPr>
      <w:spacing w:after="0" w:line="240" w:lineRule="auto"/>
    </w:pPr>
    <w:rPr>
      <w:lang w:val="es-CO"/>
    </w:rPr>
    <w:tblPr>
      <w:tblStyleRowBandSize w:val="1"/>
      <w:tblStyleColBandSize w:val="1"/>
      <w:tblInd w:w="0" w:type="dxa"/>
      <w:tblBorders>
        <w:top w:val="single" w:sz="8" w:space="0" w:color="FF572D" w:themeColor="accent2" w:themeTint="BF"/>
        <w:left w:val="single" w:sz="8" w:space="0" w:color="FF572D" w:themeColor="accent2" w:themeTint="BF"/>
        <w:bottom w:val="single" w:sz="8" w:space="0" w:color="FF572D" w:themeColor="accent2" w:themeTint="BF"/>
        <w:right w:val="single" w:sz="8" w:space="0" w:color="FF572D" w:themeColor="accent2" w:themeTint="BF"/>
        <w:insideH w:val="single" w:sz="8" w:space="0" w:color="FF572D" w:themeColor="accent2"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FF572D" w:themeColor="accent2" w:themeTint="BF"/>
          <w:left w:val="single" w:sz="8" w:space="0" w:color="FF572D" w:themeColor="accent2" w:themeTint="BF"/>
          <w:bottom w:val="single" w:sz="8" w:space="0" w:color="FF572D" w:themeColor="accent2" w:themeTint="BF"/>
          <w:right w:val="single" w:sz="8" w:space="0" w:color="FF572D" w:themeColor="accent2" w:themeTint="BF"/>
          <w:insideH w:val="nil"/>
          <w:insideV w:val="nil"/>
        </w:tcBorders>
        <w:shd w:val="clear" w:color="auto" w:fill="E62E00" w:themeFill="accent2"/>
      </w:tcPr>
    </w:tblStylePr>
    <w:tblStylePr w:type="lastRow">
      <w:pPr>
        <w:spacing w:before="0" w:after="0" w:line="240" w:lineRule="auto"/>
      </w:pPr>
      <w:tblPr/>
      <w:tcPr>
        <w:tcBorders>
          <w:top w:val="double" w:sz="6" w:space="0" w:color="FF572D" w:themeColor="accent2" w:themeTint="BF"/>
          <w:left w:val="single" w:sz="8" w:space="0" w:color="FF572D" w:themeColor="accent2" w:themeTint="BF"/>
          <w:bottom w:val="single" w:sz="8" w:space="0" w:color="FF572D" w:themeColor="accent2" w:themeTint="BF"/>
          <w:right w:val="single" w:sz="8" w:space="0" w:color="FF572D" w:themeColor="accent2" w:themeTint="BF"/>
          <w:insideH w:val="nil"/>
          <w:insideV w:val="nil"/>
        </w:tcBorders>
      </w:tcPr>
    </w:tblStylePr>
    <w:tblStylePr w:type="band1Vert">
      <w:tblPr/>
      <w:tcPr>
        <w:shd w:val="clear" w:color="auto" w:fill="FFC7B9" w:themeFill="accent2" w:themeFillTint="3F"/>
      </w:tcPr>
    </w:tblStylePr>
    <w:tblStylePr w:type="band1Horz">
      <w:tblPr/>
      <w:tcPr>
        <w:tcBorders>
          <w:insideH w:val="nil"/>
          <w:insideV w:val="nil"/>
        </w:tcBorders>
        <w:shd w:val="clear" w:color="auto" w:fill="FFC7B9" w:themeFill="accent2" w:themeFillTint="3F"/>
      </w:tcPr>
    </w:tblStylePr>
    <w:tblStylePr w:type="band2Horz">
      <w:tblPr/>
      <w:tcPr>
        <w:tcBorders>
          <w:insideH w:val="nil"/>
          <w:insideV w:val="nil"/>
        </w:tcBorders>
      </w:tcPr>
    </w:tblStylePr>
  </w:style>
  <w:style w:type="table" w:styleId="Sombreadoclaro-nfasis3">
    <w:name w:val="Light Shading Accent 3"/>
    <w:basedOn w:val="Tablanormal"/>
    <w:uiPriority w:val="60"/>
    <w:rsid w:val="00C82D51"/>
    <w:pPr>
      <w:spacing w:after="0" w:line="240" w:lineRule="auto"/>
    </w:pPr>
    <w:rPr>
      <w:color w:val="519042" w:themeColor="accent3" w:themeShade="BF"/>
    </w:rPr>
    <w:tblPr>
      <w:tblStyleRowBandSize w:val="1"/>
      <w:tblStyleColBandSize w:val="1"/>
      <w:tblInd w:w="0" w:type="dxa"/>
      <w:tblBorders>
        <w:top w:val="single" w:sz="8" w:space="0" w:color="73B763" w:themeColor="accent3"/>
        <w:bottom w:val="single" w:sz="8" w:space="0" w:color="73B763"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3B763" w:themeColor="accent3"/>
          <w:left w:val="nil"/>
          <w:bottom w:val="single" w:sz="8" w:space="0" w:color="73B763" w:themeColor="accent3"/>
          <w:right w:val="nil"/>
          <w:insideH w:val="nil"/>
          <w:insideV w:val="nil"/>
        </w:tcBorders>
      </w:tcPr>
    </w:tblStylePr>
    <w:tblStylePr w:type="lastRow">
      <w:pPr>
        <w:spacing w:before="0" w:after="0" w:line="240" w:lineRule="auto"/>
      </w:pPr>
      <w:rPr>
        <w:b/>
        <w:bCs/>
      </w:rPr>
      <w:tblPr/>
      <w:tcPr>
        <w:tcBorders>
          <w:top w:val="single" w:sz="8" w:space="0" w:color="73B763" w:themeColor="accent3"/>
          <w:left w:val="nil"/>
          <w:bottom w:val="single" w:sz="8" w:space="0" w:color="73B7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DD8" w:themeFill="accent3" w:themeFillTint="3F"/>
      </w:tcPr>
    </w:tblStylePr>
    <w:tblStylePr w:type="band1Horz">
      <w:tblPr/>
      <w:tcPr>
        <w:tcBorders>
          <w:left w:val="nil"/>
          <w:right w:val="nil"/>
          <w:insideH w:val="nil"/>
          <w:insideV w:val="nil"/>
        </w:tcBorders>
        <w:shd w:val="clear" w:color="auto" w:fill="DCEDD8" w:themeFill="accent3" w:themeFillTint="3F"/>
      </w:tcPr>
    </w:tblStylePr>
  </w:style>
  <w:style w:type="character" w:customStyle="1" w:styleId="SinespaciadoCar">
    <w:name w:val="Sin espaciado Car"/>
    <w:basedOn w:val="Fuentedeprrafopredeter"/>
    <w:link w:val="Sinespaciado"/>
    <w:uiPriority w:val="1"/>
    <w:rsid w:val="004F5DA3"/>
    <w:rPr>
      <w:rFonts w:ascii="Avenir Book" w:hAnsi="Avenir Book"/>
      <w:color w:val="5E6E74"/>
    </w:rPr>
  </w:style>
  <w:style w:type="table" w:styleId="Listaclara-nfasis3">
    <w:name w:val="Light List Accent 3"/>
    <w:basedOn w:val="Tablanormal"/>
    <w:uiPriority w:val="61"/>
    <w:rsid w:val="00DF2BA4"/>
    <w:pPr>
      <w:spacing w:after="0" w:line="240" w:lineRule="auto"/>
    </w:pPr>
    <w:tblPr>
      <w:tblStyleRowBandSize w:val="1"/>
      <w:tblStyleColBandSize w:val="1"/>
      <w:tblInd w:w="0" w:type="dxa"/>
      <w:tblBorders>
        <w:top w:val="single" w:sz="8" w:space="0" w:color="73B763" w:themeColor="accent3"/>
        <w:left w:val="single" w:sz="8" w:space="0" w:color="73B763" w:themeColor="accent3"/>
        <w:bottom w:val="single" w:sz="8" w:space="0" w:color="73B763" w:themeColor="accent3"/>
        <w:right w:val="single" w:sz="8" w:space="0" w:color="73B763"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3B763" w:themeFill="accent3"/>
      </w:tcPr>
    </w:tblStylePr>
    <w:tblStylePr w:type="lastRow">
      <w:pPr>
        <w:spacing w:before="0" w:after="0" w:line="240" w:lineRule="auto"/>
      </w:pPr>
      <w:rPr>
        <w:b/>
        <w:bCs/>
      </w:rPr>
      <w:tblPr/>
      <w:tcPr>
        <w:tcBorders>
          <w:top w:val="double" w:sz="6" w:space="0" w:color="73B763" w:themeColor="accent3"/>
          <w:left w:val="single" w:sz="8" w:space="0" w:color="73B763" w:themeColor="accent3"/>
          <w:bottom w:val="single" w:sz="8" w:space="0" w:color="73B763" w:themeColor="accent3"/>
          <w:right w:val="single" w:sz="8" w:space="0" w:color="73B763" w:themeColor="accent3"/>
        </w:tcBorders>
      </w:tcPr>
    </w:tblStylePr>
    <w:tblStylePr w:type="firstCol">
      <w:rPr>
        <w:b/>
        <w:bCs/>
      </w:rPr>
    </w:tblStylePr>
    <w:tblStylePr w:type="lastCol">
      <w:rPr>
        <w:b/>
        <w:bCs/>
      </w:rPr>
    </w:tblStylePr>
    <w:tblStylePr w:type="band1Vert">
      <w:tblPr/>
      <w:tcPr>
        <w:tcBorders>
          <w:top w:val="single" w:sz="8" w:space="0" w:color="73B763" w:themeColor="accent3"/>
          <w:left w:val="single" w:sz="8" w:space="0" w:color="73B763" w:themeColor="accent3"/>
          <w:bottom w:val="single" w:sz="8" w:space="0" w:color="73B763" w:themeColor="accent3"/>
          <w:right w:val="single" w:sz="8" w:space="0" w:color="73B763" w:themeColor="accent3"/>
        </w:tcBorders>
      </w:tcPr>
    </w:tblStylePr>
    <w:tblStylePr w:type="band1Horz">
      <w:tblPr/>
      <w:tcPr>
        <w:tcBorders>
          <w:top w:val="single" w:sz="8" w:space="0" w:color="73B763" w:themeColor="accent3"/>
          <w:left w:val="single" w:sz="8" w:space="0" w:color="73B763" w:themeColor="accent3"/>
          <w:bottom w:val="single" w:sz="8" w:space="0" w:color="73B763" w:themeColor="accent3"/>
          <w:right w:val="single" w:sz="8" w:space="0" w:color="73B763" w:themeColor="accent3"/>
        </w:tcBorders>
      </w:tcPr>
    </w:tblStylePr>
  </w:style>
  <w:style w:type="paragraph" w:styleId="Textoindependiente">
    <w:name w:val="Body Text"/>
    <w:basedOn w:val="Normal"/>
    <w:link w:val="TextoindependienteCar"/>
    <w:semiHidden/>
    <w:rsid w:val="001D0B6E"/>
    <w:pPr>
      <w:suppressAutoHyphens w:val="0"/>
      <w:spacing w:before="0" w:after="0"/>
      <w:jc w:val="left"/>
    </w:pPr>
    <w:rPr>
      <w:rFonts w:ascii="Times New Roman" w:eastAsia="Times New Roman" w:hAnsi="Times New Roman" w:cs="Times New Roman"/>
      <w:b/>
      <w:bCs/>
      <w:color w:val="auto"/>
      <w:sz w:val="24"/>
      <w:szCs w:val="24"/>
      <w:lang w:val="es-DO" w:eastAsia="es-ES"/>
    </w:rPr>
  </w:style>
  <w:style w:type="character" w:customStyle="1" w:styleId="TextoindependienteCar">
    <w:name w:val="Texto independiente Car"/>
    <w:basedOn w:val="Fuentedeprrafopredeter"/>
    <w:link w:val="Textoindependiente"/>
    <w:semiHidden/>
    <w:rsid w:val="001D0B6E"/>
    <w:rPr>
      <w:rFonts w:ascii="Times New Roman" w:eastAsia="Times New Roman" w:hAnsi="Times New Roman" w:cs="Times New Roman"/>
      <w:b/>
      <w:bCs/>
      <w:sz w:val="24"/>
      <w:szCs w:val="24"/>
      <w:lang w:val="es-DO" w:eastAsia="es-ES"/>
    </w:rPr>
  </w:style>
  <w:style w:type="table" w:customStyle="1" w:styleId="Tabladecuadrcula4-nfasis12">
    <w:name w:val="Tabla de cuadrícula 4 - Énfasis 12"/>
    <w:basedOn w:val="Tablanormal"/>
    <w:uiPriority w:val="49"/>
    <w:rsid w:val="00954155"/>
    <w:pPr>
      <w:spacing w:after="0" w:line="240" w:lineRule="auto"/>
    </w:pPr>
    <w:rPr>
      <w:rFonts w:ascii="Times New Roman" w:eastAsia="Times New Roman" w:hAnsi="Times New Roman" w:cs="Times New Roman"/>
      <w:sz w:val="20"/>
      <w:szCs w:val="20"/>
      <w:lang w:val="es-US" w:eastAsia="es-US"/>
    </w:rPr>
    <w:tblPr>
      <w:tblStyleRowBandSize w:val="1"/>
      <w:tblStyleColBandSize w:val="1"/>
      <w:tblInd w:w="0" w:type="dxa"/>
      <w:tblBorders>
        <w:top w:val="single" w:sz="4" w:space="0" w:color="2B8AED" w:themeColor="accent1" w:themeTint="99"/>
        <w:left w:val="single" w:sz="4" w:space="0" w:color="2B8AED" w:themeColor="accent1" w:themeTint="99"/>
        <w:bottom w:val="single" w:sz="4" w:space="0" w:color="2B8AED" w:themeColor="accent1" w:themeTint="99"/>
        <w:right w:val="single" w:sz="4" w:space="0" w:color="2B8AED" w:themeColor="accent1" w:themeTint="99"/>
        <w:insideH w:val="single" w:sz="4" w:space="0" w:color="2B8AED" w:themeColor="accent1" w:themeTint="99"/>
        <w:insideV w:val="single" w:sz="4" w:space="0" w:color="2B8AED"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3F76" w:themeColor="accent1"/>
          <w:left w:val="single" w:sz="4" w:space="0" w:color="0A3F76" w:themeColor="accent1"/>
          <w:bottom w:val="single" w:sz="4" w:space="0" w:color="0A3F76" w:themeColor="accent1"/>
          <w:right w:val="single" w:sz="4" w:space="0" w:color="0A3F76" w:themeColor="accent1"/>
          <w:insideH w:val="nil"/>
          <w:insideV w:val="nil"/>
        </w:tcBorders>
        <w:shd w:val="clear" w:color="auto" w:fill="0A3F76" w:themeFill="accent1"/>
      </w:tcPr>
    </w:tblStylePr>
    <w:tblStylePr w:type="lastRow">
      <w:rPr>
        <w:b/>
        <w:bCs/>
      </w:rPr>
      <w:tblPr/>
      <w:tcPr>
        <w:tcBorders>
          <w:top w:val="double" w:sz="4" w:space="0" w:color="0A3F76" w:themeColor="accent1"/>
        </w:tcBorders>
      </w:tcPr>
    </w:tblStylePr>
    <w:tblStylePr w:type="firstCol">
      <w:rPr>
        <w:b/>
        <w:bCs/>
      </w:rPr>
    </w:tblStylePr>
    <w:tblStylePr w:type="lastCol">
      <w:rPr>
        <w:b/>
        <w:bCs/>
      </w:rPr>
    </w:tblStylePr>
    <w:tblStylePr w:type="band1Vert">
      <w:tblPr/>
      <w:tcPr>
        <w:shd w:val="clear" w:color="auto" w:fill="B8D8F9" w:themeFill="accent1" w:themeFillTint="33"/>
      </w:tcPr>
    </w:tblStylePr>
    <w:tblStylePr w:type="band1Horz">
      <w:tblPr/>
      <w:tcPr>
        <w:shd w:val="clear" w:color="auto" w:fill="B8D8F9" w:themeFill="accent1" w:themeFillTint="33"/>
      </w:tcPr>
    </w:tblStylePr>
  </w:style>
  <w:style w:type="paragraph" w:customStyle="1" w:styleId="Copiadeltextoprincipal">
    <w:name w:val="Copia del texto principal"/>
    <w:basedOn w:val="Normal"/>
    <w:qFormat/>
    <w:rsid w:val="000B4BAD"/>
    <w:pPr>
      <w:suppressAutoHyphens w:val="0"/>
      <w:spacing w:before="0" w:after="0"/>
      <w:jc w:val="left"/>
    </w:pPr>
    <w:rPr>
      <w:rFonts w:ascii="Segoe Condensed" w:eastAsia="Segoe Condensed" w:hAnsi="Segoe Condensed" w:cs="Times New Roman"/>
      <w:color w:val="auto"/>
      <w:spacing w:val="8"/>
      <w:sz w:val="16"/>
      <w:lang w:val="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0F1"/>
    <w:pPr>
      <w:suppressAutoHyphens/>
      <w:spacing w:before="120" w:line="240" w:lineRule="auto"/>
      <w:jc w:val="both"/>
    </w:pPr>
    <w:rPr>
      <w:rFonts w:ascii="Avenir Roman" w:hAnsi="Avenir Roman"/>
      <w:color w:val="48535A" w:themeColor="text2" w:themeShade="80"/>
    </w:rPr>
  </w:style>
  <w:style w:type="paragraph" w:styleId="Ttulo1">
    <w:name w:val="heading 1"/>
    <w:aliases w:val="Título de Sección"/>
    <w:link w:val="Ttulo1Car"/>
    <w:uiPriority w:val="9"/>
    <w:qFormat/>
    <w:rsid w:val="000A7F63"/>
    <w:pPr>
      <w:spacing w:after="0" w:line="192" w:lineRule="auto"/>
      <w:ind w:left="851" w:right="3686"/>
      <w:contextualSpacing/>
      <w:outlineLvl w:val="0"/>
    </w:pPr>
    <w:rPr>
      <w:rFonts w:ascii="Avenir Heavy" w:hAnsi="Avenir Heavy"/>
      <w:noProof/>
      <w:color w:val="0A3F76" w:themeColor="accent1"/>
      <w:spacing w:val="8"/>
      <w:sz w:val="48"/>
      <w:szCs w:val="48"/>
      <w:lang w:eastAsia="es-ES"/>
    </w:rPr>
  </w:style>
  <w:style w:type="paragraph" w:styleId="Ttulo2">
    <w:name w:val="heading 2"/>
    <w:basedOn w:val="Normal"/>
    <w:next w:val="Normal"/>
    <w:link w:val="Ttulo2Car"/>
    <w:autoRedefine/>
    <w:uiPriority w:val="9"/>
    <w:unhideWhenUsed/>
    <w:qFormat/>
    <w:rsid w:val="0009001C"/>
    <w:pPr>
      <w:framePr w:hSpace="141" w:wrap="around" w:vAnchor="page" w:hAnchor="margin" w:xAlign="right" w:y="1846"/>
      <w:spacing w:before="240" w:after="0"/>
      <w:jc w:val="center"/>
      <w:outlineLvl w:val="1"/>
    </w:pPr>
    <w:rPr>
      <w:rFonts w:ascii="Calibri" w:eastAsia="Times New Roman" w:hAnsi="Calibri" w:cs="Calibri"/>
      <w:bCs/>
      <w:color w:val="auto"/>
      <w:sz w:val="16"/>
      <w:szCs w:val="16"/>
      <w:lang w:val="es-DO" w:eastAsia="es-DO"/>
    </w:rPr>
  </w:style>
  <w:style w:type="paragraph" w:styleId="Ttulo3">
    <w:name w:val="heading 3"/>
    <w:basedOn w:val="Normal"/>
    <w:next w:val="Normal"/>
    <w:link w:val="Ttulo3Car"/>
    <w:uiPriority w:val="9"/>
    <w:unhideWhenUsed/>
    <w:qFormat/>
    <w:rsid w:val="00D15742"/>
    <w:pPr>
      <w:spacing w:before="240" w:after="120"/>
      <w:outlineLvl w:val="2"/>
    </w:pPr>
    <w:rPr>
      <w:rFonts w:ascii="Avenir Heavy" w:hAnsi="Avenir Heavy"/>
      <w:color w:val="0A3F76" w:themeColor="accent1"/>
      <w:sz w:val="28"/>
    </w:rPr>
  </w:style>
  <w:style w:type="paragraph" w:styleId="Ttulo4">
    <w:name w:val="heading 4"/>
    <w:basedOn w:val="Normal"/>
    <w:next w:val="Normal"/>
    <w:link w:val="Ttulo4Car"/>
    <w:uiPriority w:val="9"/>
    <w:unhideWhenUsed/>
    <w:qFormat/>
    <w:rsid w:val="0042045E"/>
    <w:pPr>
      <w:keepNext/>
      <w:keepLines/>
      <w:numPr>
        <w:ilvl w:val="3"/>
        <w:numId w:val="2"/>
      </w:numPr>
      <w:spacing w:before="40" w:after="0"/>
      <w:outlineLvl w:val="3"/>
    </w:pPr>
    <w:rPr>
      <w:rFonts w:asciiTheme="majorHAnsi" w:eastAsiaTheme="majorEastAsia" w:hAnsiTheme="majorHAnsi" w:cstheme="majorBidi"/>
      <w:i/>
      <w:iCs/>
      <w:color w:val="072F58" w:themeColor="accent1" w:themeShade="BF"/>
    </w:rPr>
  </w:style>
  <w:style w:type="paragraph" w:styleId="Ttulo5">
    <w:name w:val="heading 5"/>
    <w:basedOn w:val="Normal"/>
    <w:next w:val="Normal"/>
    <w:link w:val="Ttulo5Car"/>
    <w:uiPriority w:val="9"/>
    <w:unhideWhenUsed/>
    <w:qFormat/>
    <w:rsid w:val="0042045E"/>
    <w:pPr>
      <w:keepNext/>
      <w:keepLines/>
      <w:numPr>
        <w:ilvl w:val="4"/>
        <w:numId w:val="2"/>
      </w:numPr>
      <w:spacing w:before="40" w:after="0"/>
      <w:outlineLvl w:val="4"/>
    </w:pPr>
    <w:rPr>
      <w:rFonts w:asciiTheme="majorHAnsi" w:eastAsiaTheme="majorEastAsia" w:hAnsiTheme="majorHAnsi" w:cstheme="majorBidi"/>
      <w:color w:val="072F58" w:themeColor="accent1" w:themeShade="BF"/>
    </w:rPr>
  </w:style>
  <w:style w:type="paragraph" w:styleId="Ttulo6">
    <w:name w:val="heading 6"/>
    <w:basedOn w:val="Normal"/>
    <w:next w:val="Normal"/>
    <w:link w:val="Ttulo6Car"/>
    <w:uiPriority w:val="9"/>
    <w:semiHidden/>
    <w:unhideWhenUsed/>
    <w:qFormat/>
    <w:rsid w:val="0042045E"/>
    <w:pPr>
      <w:keepNext/>
      <w:keepLines/>
      <w:numPr>
        <w:ilvl w:val="5"/>
        <w:numId w:val="2"/>
      </w:numPr>
      <w:spacing w:before="40" w:after="0"/>
      <w:outlineLvl w:val="5"/>
    </w:pPr>
    <w:rPr>
      <w:rFonts w:asciiTheme="majorHAnsi" w:eastAsiaTheme="majorEastAsia" w:hAnsiTheme="majorHAnsi" w:cstheme="majorBidi"/>
      <w:color w:val="051F3A" w:themeColor="accent1" w:themeShade="7F"/>
    </w:rPr>
  </w:style>
  <w:style w:type="paragraph" w:styleId="Ttulo7">
    <w:name w:val="heading 7"/>
    <w:basedOn w:val="Normal"/>
    <w:next w:val="Normal"/>
    <w:link w:val="Ttulo7Car"/>
    <w:uiPriority w:val="9"/>
    <w:semiHidden/>
    <w:unhideWhenUsed/>
    <w:qFormat/>
    <w:rsid w:val="0042045E"/>
    <w:pPr>
      <w:keepNext/>
      <w:keepLines/>
      <w:numPr>
        <w:ilvl w:val="6"/>
        <w:numId w:val="2"/>
      </w:numPr>
      <w:spacing w:before="40" w:after="0"/>
      <w:outlineLvl w:val="6"/>
    </w:pPr>
    <w:rPr>
      <w:rFonts w:asciiTheme="majorHAnsi" w:eastAsiaTheme="majorEastAsia" w:hAnsiTheme="majorHAnsi" w:cstheme="majorBidi"/>
      <w:i/>
      <w:iCs/>
      <w:color w:val="051F3A" w:themeColor="accent1" w:themeShade="7F"/>
    </w:rPr>
  </w:style>
  <w:style w:type="paragraph" w:styleId="Ttulo8">
    <w:name w:val="heading 8"/>
    <w:basedOn w:val="Normal"/>
    <w:next w:val="Normal"/>
    <w:link w:val="Ttulo8Car"/>
    <w:uiPriority w:val="9"/>
    <w:semiHidden/>
    <w:unhideWhenUsed/>
    <w:qFormat/>
    <w:rsid w:val="0042045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045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de lista secundaria"/>
    <w:basedOn w:val="Normal"/>
    <w:uiPriority w:val="34"/>
    <w:qFormat/>
    <w:rsid w:val="00F2748D"/>
    <w:pPr>
      <w:ind w:left="1069" w:hanging="360"/>
      <w:contextualSpacing/>
    </w:pPr>
    <w:rPr>
      <w:color w:val="97A4AC" w:themeColor="text2"/>
    </w:rPr>
  </w:style>
  <w:style w:type="paragraph" w:styleId="Encabezado">
    <w:name w:val="header"/>
    <w:basedOn w:val="Normal"/>
    <w:link w:val="EncabezadoCar"/>
    <w:uiPriority w:val="99"/>
    <w:unhideWhenUsed/>
    <w:rsid w:val="0042045E"/>
    <w:pPr>
      <w:tabs>
        <w:tab w:val="center" w:pos="4513"/>
        <w:tab w:val="right" w:pos="9026"/>
      </w:tabs>
      <w:spacing w:after="0"/>
    </w:pPr>
  </w:style>
  <w:style w:type="character" w:customStyle="1" w:styleId="EncabezadoCar">
    <w:name w:val="Encabezado Car"/>
    <w:basedOn w:val="Fuentedeprrafopredeter"/>
    <w:link w:val="Encabezado"/>
    <w:uiPriority w:val="99"/>
    <w:rsid w:val="0042045E"/>
  </w:style>
  <w:style w:type="paragraph" w:styleId="Piedepgina">
    <w:name w:val="footer"/>
    <w:basedOn w:val="Normal"/>
    <w:link w:val="PiedepginaCar"/>
    <w:uiPriority w:val="99"/>
    <w:unhideWhenUsed/>
    <w:rsid w:val="0042045E"/>
    <w:pPr>
      <w:tabs>
        <w:tab w:val="center" w:pos="4513"/>
        <w:tab w:val="right" w:pos="9026"/>
      </w:tabs>
      <w:spacing w:after="0"/>
    </w:pPr>
  </w:style>
  <w:style w:type="character" w:customStyle="1" w:styleId="PiedepginaCar">
    <w:name w:val="Pie de página Car"/>
    <w:basedOn w:val="Fuentedeprrafopredeter"/>
    <w:link w:val="Piedepgina"/>
    <w:uiPriority w:val="99"/>
    <w:rsid w:val="0042045E"/>
  </w:style>
  <w:style w:type="character" w:customStyle="1" w:styleId="Ttulo1Car">
    <w:name w:val="Título 1 Car"/>
    <w:aliases w:val="Título de Sección Car"/>
    <w:basedOn w:val="Fuentedeprrafopredeter"/>
    <w:link w:val="Ttulo1"/>
    <w:uiPriority w:val="9"/>
    <w:rsid w:val="000A7F63"/>
    <w:rPr>
      <w:rFonts w:ascii="Avenir Heavy" w:hAnsi="Avenir Heavy"/>
      <w:noProof/>
      <w:color w:val="0A3F76" w:themeColor="accent1"/>
      <w:spacing w:val="8"/>
      <w:sz w:val="48"/>
      <w:szCs w:val="48"/>
      <w:lang w:eastAsia="es-ES"/>
    </w:rPr>
  </w:style>
  <w:style w:type="paragraph" w:styleId="Subttulo">
    <w:name w:val="Subtitle"/>
    <w:aliases w:val="Resaltados"/>
    <w:basedOn w:val="Normal"/>
    <w:next w:val="Normal"/>
    <w:link w:val="SubttuloCar"/>
    <w:autoRedefine/>
    <w:uiPriority w:val="11"/>
    <w:qFormat/>
    <w:rsid w:val="005103F8"/>
    <w:pPr>
      <w:numPr>
        <w:ilvl w:val="1"/>
      </w:numPr>
    </w:pPr>
    <w:rPr>
      <w:b/>
      <w:color w:val="FF0000"/>
    </w:rPr>
  </w:style>
  <w:style w:type="character" w:customStyle="1" w:styleId="SubttuloCar">
    <w:name w:val="Subtítulo Car"/>
    <w:aliases w:val="Resaltados Car"/>
    <w:basedOn w:val="Fuentedeprrafopredeter"/>
    <w:link w:val="Subttulo"/>
    <w:uiPriority w:val="11"/>
    <w:rsid w:val="005103F8"/>
    <w:rPr>
      <w:rFonts w:ascii="Avenir Book" w:hAnsi="Avenir Book"/>
      <w:b/>
      <w:color w:val="FF0000"/>
    </w:rPr>
  </w:style>
  <w:style w:type="character" w:customStyle="1" w:styleId="Ttulo2Car">
    <w:name w:val="Título 2 Car"/>
    <w:basedOn w:val="Fuentedeprrafopredeter"/>
    <w:link w:val="Ttulo2"/>
    <w:uiPriority w:val="9"/>
    <w:rsid w:val="0009001C"/>
    <w:rPr>
      <w:rFonts w:ascii="Calibri" w:eastAsia="Times New Roman" w:hAnsi="Calibri" w:cs="Calibri"/>
      <w:bCs/>
      <w:sz w:val="16"/>
      <w:szCs w:val="16"/>
      <w:lang w:val="es-DO" w:eastAsia="es-DO"/>
    </w:rPr>
  </w:style>
  <w:style w:type="character" w:customStyle="1" w:styleId="Ttulo3Car">
    <w:name w:val="Título 3 Car"/>
    <w:basedOn w:val="Fuentedeprrafopredeter"/>
    <w:link w:val="Ttulo3"/>
    <w:uiPriority w:val="9"/>
    <w:rsid w:val="00D15742"/>
    <w:rPr>
      <w:rFonts w:ascii="Avenir Heavy" w:hAnsi="Avenir Heavy"/>
      <w:color w:val="0A3F76" w:themeColor="accent1"/>
      <w:sz w:val="28"/>
    </w:rPr>
  </w:style>
  <w:style w:type="character" w:customStyle="1" w:styleId="Ttulo4Car">
    <w:name w:val="Título 4 Car"/>
    <w:basedOn w:val="Fuentedeprrafopredeter"/>
    <w:link w:val="Ttulo4"/>
    <w:uiPriority w:val="9"/>
    <w:rsid w:val="0042045E"/>
    <w:rPr>
      <w:rFonts w:asciiTheme="majorHAnsi" w:eastAsiaTheme="majorEastAsia" w:hAnsiTheme="majorHAnsi" w:cstheme="majorBidi"/>
      <w:i/>
      <w:iCs/>
      <w:color w:val="072F58" w:themeColor="accent1" w:themeShade="BF"/>
    </w:rPr>
  </w:style>
  <w:style w:type="character" w:customStyle="1" w:styleId="Ttulo5Car">
    <w:name w:val="Título 5 Car"/>
    <w:basedOn w:val="Fuentedeprrafopredeter"/>
    <w:link w:val="Ttulo5"/>
    <w:uiPriority w:val="9"/>
    <w:rsid w:val="0042045E"/>
    <w:rPr>
      <w:rFonts w:asciiTheme="majorHAnsi" w:eastAsiaTheme="majorEastAsia" w:hAnsiTheme="majorHAnsi" w:cstheme="majorBidi"/>
      <w:color w:val="072F58" w:themeColor="accent1" w:themeShade="BF"/>
    </w:rPr>
  </w:style>
  <w:style w:type="character" w:customStyle="1" w:styleId="Ttulo6Car">
    <w:name w:val="Título 6 Car"/>
    <w:basedOn w:val="Fuentedeprrafopredeter"/>
    <w:link w:val="Ttulo6"/>
    <w:uiPriority w:val="9"/>
    <w:semiHidden/>
    <w:rsid w:val="0042045E"/>
    <w:rPr>
      <w:rFonts w:asciiTheme="majorHAnsi" w:eastAsiaTheme="majorEastAsia" w:hAnsiTheme="majorHAnsi" w:cstheme="majorBidi"/>
      <w:color w:val="051F3A" w:themeColor="accent1" w:themeShade="7F"/>
    </w:rPr>
  </w:style>
  <w:style w:type="character" w:customStyle="1" w:styleId="Ttulo7Car">
    <w:name w:val="Título 7 Car"/>
    <w:basedOn w:val="Fuentedeprrafopredeter"/>
    <w:link w:val="Ttulo7"/>
    <w:uiPriority w:val="9"/>
    <w:semiHidden/>
    <w:rsid w:val="0042045E"/>
    <w:rPr>
      <w:rFonts w:asciiTheme="majorHAnsi" w:eastAsiaTheme="majorEastAsia" w:hAnsiTheme="majorHAnsi" w:cstheme="majorBidi"/>
      <w:i/>
      <w:iCs/>
      <w:color w:val="051F3A" w:themeColor="accent1" w:themeShade="7F"/>
    </w:rPr>
  </w:style>
  <w:style w:type="character" w:customStyle="1" w:styleId="Ttulo8Car">
    <w:name w:val="Título 8 Car"/>
    <w:basedOn w:val="Fuentedeprrafopredeter"/>
    <w:link w:val="Ttulo8"/>
    <w:uiPriority w:val="9"/>
    <w:semiHidden/>
    <w:rsid w:val="0042045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045E"/>
    <w:rPr>
      <w:rFonts w:asciiTheme="majorHAnsi" w:eastAsiaTheme="majorEastAsia" w:hAnsiTheme="majorHAnsi" w:cstheme="majorBidi"/>
      <w:i/>
      <w:iCs/>
      <w:color w:val="272727" w:themeColor="text1" w:themeTint="D8"/>
      <w:sz w:val="21"/>
      <w:szCs w:val="21"/>
    </w:rPr>
  </w:style>
  <w:style w:type="paragraph" w:styleId="TtulodeTDC">
    <w:name w:val="TOC Heading"/>
    <w:basedOn w:val="Ttulo1"/>
    <w:next w:val="Normal"/>
    <w:uiPriority w:val="39"/>
    <w:unhideWhenUsed/>
    <w:qFormat/>
    <w:rsid w:val="00B33C4B"/>
    <w:pPr>
      <w:spacing w:before="240" w:line="259" w:lineRule="auto"/>
      <w:outlineLvl w:val="9"/>
    </w:pPr>
    <w:rPr>
      <w:rFonts w:asciiTheme="majorHAnsi" w:hAnsiTheme="majorHAnsi"/>
      <w:b/>
      <w:sz w:val="32"/>
    </w:rPr>
  </w:style>
  <w:style w:type="paragraph" w:styleId="TDC1">
    <w:name w:val="toc 1"/>
    <w:basedOn w:val="Normal"/>
    <w:next w:val="Normal"/>
    <w:autoRedefine/>
    <w:uiPriority w:val="39"/>
    <w:unhideWhenUsed/>
    <w:rsid w:val="000C5333"/>
    <w:pPr>
      <w:spacing w:before="360" w:after="0"/>
      <w:jc w:val="left"/>
    </w:pPr>
    <w:rPr>
      <w:rFonts w:asciiTheme="majorHAnsi" w:hAnsiTheme="majorHAnsi" w:cstheme="majorHAnsi"/>
      <w:b/>
      <w:bCs/>
      <w:caps/>
      <w:sz w:val="24"/>
      <w:szCs w:val="24"/>
    </w:rPr>
  </w:style>
  <w:style w:type="paragraph" w:styleId="TDC2">
    <w:name w:val="toc 2"/>
    <w:basedOn w:val="Normal"/>
    <w:next w:val="Normal"/>
    <w:autoRedefine/>
    <w:uiPriority w:val="39"/>
    <w:unhideWhenUsed/>
    <w:rsid w:val="002C011B"/>
    <w:pPr>
      <w:spacing w:before="240" w:after="0"/>
      <w:jc w:val="left"/>
    </w:pPr>
    <w:rPr>
      <w:rFonts w:asciiTheme="minorHAnsi" w:hAnsiTheme="minorHAnsi" w:cstheme="minorHAnsi"/>
      <w:b/>
      <w:bCs/>
      <w:sz w:val="20"/>
      <w:szCs w:val="20"/>
    </w:rPr>
  </w:style>
  <w:style w:type="character" w:styleId="Hipervnculo">
    <w:name w:val="Hyperlink"/>
    <w:basedOn w:val="Fuentedeprrafopredeter"/>
    <w:uiPriority w:val="99"/>
    <w:unhideWhenUsed/>
    <w:rsid w:val="00B33C4B"/>
    <w:rPr>
      <w:color w:val="E62E00" w:themeColor="hyperlink"/>
      <w:u w:val="single"/>
    </w:rPr>
  </w:style>
  <w:style w:type="paragraph" w:styleId="Textodeglobo">
    <w:name w:val="Balloon Text"/>
    <w:basedOn w:val="Normal"/>
    <w:link w:val="TextodegloboCar"/>
    <w:uiPriority w:val="99"/>
    <w:semiHidden/>
    <w:unhideWhenUsed/>
    <w:rsid w:val="006C5F8A"/>
    <w:pPr>
      <w:spacing w:after="0"/>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C5F8A"/>
    <w:rPr>
      <w:rFonts w:ascii="Lucida Grande" w:hAnsi="Lucida Grande"/>
      <w:sz w:val="18"/>
      <w:szCs w:val="18"/>
    </w:rPr>
  </w:style>
  <w:style w:type="numbering" w:customStyle="1" w:styleId="Listaespecialazul">
    <w:name w:val="Lista especial (azul)"/>
    <w:uiPriority w:val="99"/>
    <w:rsid w:val="00D53D77"/>
    <w:pPr>
      <w:numPr>
        <w:numId w:val="5"/>
      </w:numPr>
    </w:pPr>
  </w:style>
  <w:style w:type="character" w:styleId="Ttulodellibro">
    <w:name w:val="Book Title"/>
    <w:basedOn w:val="Fuentedeprrafopredeter"/>
    <w:uiPriority w:val="33"/>
    <w:qFormat/>
    <w:rsid w:val="00540D55"/>
    <w:rPr>
      <w:b/>
      <w:bCs/>
      <w:smallCaps/>
      <w:spacing w:val="5"/>
    </w:rPr>
  </w:style>
  <w:style w:type="numbering" w:styleId="111111">
    <w:name w:val="Outline List 2"/>
    <w:basedOn w:val="Sinlista"/>
    <w:uiPriority w:val="99"/>
    <w:semiHidden/>
    <w:unhideWhenUsed/>
    <w:rsid w:val="00540D55"/>
    <w:pPr>
      <w:numPr>
        <w:numId w:val="1"/>
      </w:numPr>
    </w:pPr>
  </w:style>
  <w:style w:type="character" w:styleId="Referenciaintensa">
    <w:name w:val="Intense Reference"/>
    <w:basedOn w:val="Fuentedeprrafopredeter"/>
    <w:uiPriority w:val="32"/>
    <w:qFormat/>
    <w:rsid w:val="00765448"/>
    <w:rPr>
      <w:b/>
      <w:bCs/>
      <w:smallCaps/>
      <w:color w:val="E62E00" w:themeColor="accent2"/>
      <w:spacing w:val="5"/>
      <w:u w:val="single"/>
    </w:rPr>
  </w:style>
  <w:style w:type="character" w:styleId="Referenciasutil">
    <w:name w:val="Subtle Reference"/>
    <w:basedOn w:val="Fuentedeprrafopredeter"/>
    <w:uiPriority w:val="31"/>
    <w:qFormat/>
    <w:rsid w:val="00765448"/>
    <w:rPr>
      <w:smallCaps/>
      <w:color w:val="E62E00" w:themeColor="accent2"/>
      <w:u w:val="single"/>
    </w:rPr>
  </w:style>
  <w:style w:type="character" w:styleId="Textoennegrita">
    <w:name w:val="Strong"/>
    <w:basedOn w:val="Fuentedeprrafopredeter"/>
    <w:uiPriority w:val="22"/>
    <w:qFormat/>
    <w:rsid w:val="00765448"/>
    <w:rPr>
      <w:b/>
      <w:bCs/>
    </w:rPr>
  </w:style>
  <w:style w:type="character" w:styleId="nfasisintenso">
    <w:name w:val="Intense Emphasis"/>
    <w:basedOn w:val="Fuentedeprrafopredeter"/>
    <w:uiPriority w:val="21"/>
    <w:qFormat/>
    <w:rsid w:val="00765448"/>
    <w:rPr>
      <w:b/>
      <w:bCs/>
      <w:i/>
      <w:iCs/>
      <w:color w:val="0A3F76" w:themeColor="accent1"/>
    </w:rPr>
  </w:style>
  <w:style w:type="paragraph" w:styleId="Ttulo">
    <w:name w:val="Title"/>
    <w:basedOn w:val="Normal"/>
    <w:next w:val="Normal"/>
    <w:link w:val="TtuloCar"/>
    <w:qFormat/>
    <w:rsid w:val="00765448"/>
    <w:pPr>
      <w:pBdr>
        <w:bottom w:val="single" w:sz="8" w:space="4" w:color="0A3F76" w:themeColor="accent1"/>
      </w:pBdr>
      <w:spacing w:before="0" w:after="300"/>
      <w:contextualSpacing/>
    </w:pPr>
    <w:rPr>
      <w:rFonts w:asciiTheme="majorHAnsi" w:eastAsiaTheme="majorEastAsia" w:hAnsiTheme="majorHAnsi" w:cstheme="majorBidi"/>
      <w:color w:val="6B7B86" w:themeColor="text2" w:themeShade="BF"/>
      <w:spacing w:val="5"/>
      <w:kern w:val="28"/>
      <w:sz w:val="52"/>
      <w:szCs w:val="52"/>
    </w:rPr>
  </w:style>
  <w:style w:type="character" w:customStyle="1" w:styleId="TtuloCar">
    <w:name w:val="Título Car"/>
    <w:basedOn w:val="Fuentedeprrafopredeter"/>
    <w:link w:val="Ttulo"/>
    <w:rsid w:val="00765448"/>
    <w:rPr>
      <w:rFonts w:asciiTheme="majorHAnsi" w:eastAsiaTheme="majorEastAsia" w:hAnsiTheme="majorHAnsi" w:cstheme="majorBidi"/>
      <w:color w:val="6B7B86" w:themeColor="text2" w:themeShade="BF"/>
      <w:spacing w:val="5"/>
      <w:kern w:val="28"/>
      <w:sz w:val="52"/>
      <w:szCs w:val="52"/>
    </w:rPr>
  </w:style>
  <w:style w:type="paragraph" w:styleId="Sinespaciado">
    <w:name w:val="No Spacing"/>
    <w:link w:val="SinespaciadoCar"/>
    <w:uiPriority w:val="1"/>
    <w:qFormat/>
    <w:rsid w:val="00765448"/>
    <w:pPr>
      <w:suppressAutoHyphens/>
      <w:spacing w:after="0" w:line="240" w:lineRule="auto"/>
    </w:pPr>
    <w:rPr>
      <w:rFonts w:ascii="Avenir Book" w:hAnsi="Avenir Book"/>
      <w:color w:val="5E6E74"/>
    </w:rPr>
  </w:style>
  <w:style w:type="paragraph" w:styleId="NormalWeb">
    <w:name w:val="Normal (Web)"/>
    <w:basedOn w:val="Normal"/>
    <w:uiPriority w:val="99"/>
    <w:unhideWhenUsed/>
    <w:rsid w:val="00301E6D"/>
    <w:pPr>
      <w:suppressAutoHyphens w:val="0"/>
      <w:spacing w:before="100" w:beforeAutospacing="1" w:after="100" w:afterAutospacing="1"/>
    </w:pPr>
    <w:rPr>
      <w:rFonts w:ascii="Times New Roman" w:eastAsia="Times New Roman" w:hAnsi="Times New Roman" w:cs="Times New Roman"/>
      <w:color w:val="auto"/>
      <w:sz w:val="24"/>
      <w:szCs w:val="24"/>
      <w:lang w:val="es-DO" w:eastAsia="es-DO"/>
    </w:rPr>
  </w:style>
  <w:style w:type="paragraph" w:customStyle="1" w:styleId="Default">
    <w:name w:val="Default"/>
    <w:rsid w:val="008B57E0"/>
    <w:pPr>
      <w:autoSpaceDE w:val="0"/>
      <w:autoSpaceDN w:val="0"/>
      <w:adjustRightInd w:val="0"/>
      <w:spacing w:after="0" w:line="240" w:lineRule="auto"/>
    </w:pPr>
    <w:rPr>
      <w:rFonts w:ascii="Arial" w:hAnsi="Arial" w:cs="Arial"/>
      <w:color w:val="000000"/>
      <w:sz w:val="24"/>
      <w:szCs w:val="24"/>
      <w:lang w:val="es-DO"/>
    </w:rPr>
  </w:style>
  <w:style w:type="paragraph" w:styleId="Mapadeldocumento">
    <w:name w:val="Document Map"/>
    <w:basedOn w:val="Normal"/>
    <w:link w:val="MapadeldocumentoCar"/>
    <w:uiPriority w:val="99"/>
    <w:semiHidden/>
    <w:unhideWhenUsed/>
    <w:rsid w:val="000651EE"/>
    <w:pPr>
      <w:spacing w:before="0" w:after="0"/>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0651EE"/>
    <w:rPr>
      <w:rFonts w:ascii="Lucida Grande" w:hAnsi="Lucida Grande" w:cs="Lucida Grande"/>
      <w:color w:val="5E6E74"/>
      <w:sz w:val="24"/>
      <w:szCs w:val="24"/>
    </w:rPr>
  </w:style>
  <w:style w:type="paragraph" w:styleId="Revisin">
    <w:name w:val="Revision"/>
    <w:hidden/>
    <w:uiPriority w:val="99"/>
    <w:semiHidden/>
    <w:rsid w:val="000651EE"/>
    <w:pPr>
      <w:spacing w:after="0" w:line="240" w:lineRule="auto"/>
    </w:pPr>
    <w:rPr>
      <w:rFonts w:ascii="Avenir Book" w:hAnsi="Avenir Book"/>
      <w:color w:val="5E6E74"/>
    </w:rPr>
  </w:style>
  <w:style w:type="numbering" w:customStyle="1" w:styleId="Listaespecialroja">
    <w:name w:val="Lista especial (roja)"/>
    <w:basedOn w:val="Sinlista"/>
    <w:uiPriority w:val="99"/>
    <w:rsid w:val="00D53D77"/>
    <w:pPr>
      <w:numPr>
        <w:numId w:val="6"/>
      </w:numPr>
    </w:pPr>
  </w:style>
  <w:style w:type="character" w:styleId="Nmerodepgina">
    <w:name w:val="page number"/>
    <w:basedOn w:val="Fuentedeprrafopredeter"/>
    <w:uiPriority w:val="99"/>
    <w:semiHidden/>
    <w:unhideWhenUsed/>
    <w:rsid w:val="00EE7843"/>
  </w:style>
  <w:style w:type="paragraph" w:customStyle="1" w:styleId="Pa8">
    <w:name w:val="Pa8"/>
    <w:basedOn w:val="Default"/>
    <w:next w:val="Default"/>
    <w:uiPriority w:val="99"/>
    <w:rsid w:val="008C23C9"/>
    <w:pPr>
      <w:spacing w:line="241" w:lineRule="atLeast"/>
    </w:pPr>
    <w:rPr>
      <w:rFonts w:ascii="Lucida Sans Unicode" w:eastAsia="MS Mincho" w:hAnsi="Lucida Sans Unicode" w:cs="Times New Roman"/>
      <w:color w:val="auto"/>
    </w:rPr>
  </w:style>
  <w:style w:type="character" w:customStyle="1" w:styleId="A13">
    <w:name w:val="A13"/>
    <w:uiPriority w:val="99"/>
    <w:rsid w:val="008C23C9"/>
    <w:rPr>
      <w:rFonts w:cs="Lucida Sans Unicode"/>
      <w:color w:val="000000"/>
      <w:sz w:val="22"/>
      <w:szCs w:val="22"/>
    </w:rPr>
  </w:style>
  <w:style w:type="character" w:customStyle="1" w:styleId="A14">
    <w:name w:val="A14"/>
    <w:uiPriority w:val="99"/>
    <w:rsid w:val="008C23C9"/>
    <w:rPr>
      <w:rFonts w:cs="Lucida Sans Unicode"/>
      <w:color w:val="000000"/>
      <w:sz w:val="22"/>
      <w:szCs w:val="22"/>
    </w:rPr>
  </w:style>
  <w:style w:type="character" w:customStyle="1" w:styleId="A41">
    <w:name w:val="A41"/>
    <w:uiPriority w:val="99"/>
    <w:rsid w:val="003753F2"/>
    <w:rPr>
      <w:rFonts w:cs="Lucida Sans Unicode"/>
      <w:color w:val="000000"/>
      <w:sz w:val="22"/>
      <w:szCs w:val="22"/>
    </w:rPr>
  </w:style>
  <w:style w:type="paragraph" w:styleId="TDC3">
    <w:name w:val="toc 3"/>
    <w:basedOn w:val="Normal"/>
    <w:next w:val="Normal"/>
    <w:autoRedefine/>
    <w:uiPriority w:val="39"/>
    <w:unhideWhenUsed/>
    <w:rsid w:val="00071962"/>
    <w:pPr>
      <w:spacing w:before="0" w:after="0"/>
      <w:ind w:left="22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071962"/>
    <w:pPr>
      <w:spacing w:before="0" w:after="0"/>
      <w:ind w:left="44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071962"/>
    <w:pPr>
      <w:spacing w:before="0" w:after="0"/>
      <w:ind w:left="6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071962"/>
    <w:pPr>
      <w:spacing w:before="0" w:after="0"/>
      <w:ind w:left="88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071962"/>
    <w:pPr>
      <w:spacing w:before="0" w:after="0"/>
      <w:ind w:left="110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071962"/>
    <w:pPr>
      <w:spacing w:before="0" w:after="0"/>
      <w:ind w:left="132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071962"/>
    <w:pPr>
      <w:spacing w:before="0" w:after="0"/>
      <w:ind w:left="1540"/>
      <w:jc w:val="left"/>
    </w:pPr>
    <w:rPr>
      <w:rFonts w:asciiTheme="minorHAnsi" w:hAnsiTheme="minorHAnsi" w:cstheme="minorHAnsi"/>
      <w:sz w:val="20"/>
      <w:szCs w:val="20"/>
    </w:rPr>
  </w:style>
  <w:style w:type="paragraph" w:styleId="ndice2">
    <w:name w:val="index 2"/>
    <w:basedOn w:val="Normal"/>
    <w:next w:val="Normal"/>
    <w:autoRedefine/>
    <w:uiPriority w:val="99"/>
    <w:unhideWhenUsed/>
    <w:rsid w:val="00071962"/>
    <w:pPr>
      <w:ind w:left="440" w:hanging="220"/>
    </w:pPr>
  </w:style>
  <w:style w:type="paragraph" w:styleId="ndice7">
    <w:name w:val="index 7"/>
    <w:basedOn w:val="Normal"/>
    <w:next w:val="Normal"/>
    <w:autoRedefine/>
    <w:uiPriority w:val="99"/>
    <w:unhideWhenUsed/>
    <w:rsid w:val="00071962"/>
    <w:pPr>
      <w:spacing w:before="0" w:after="0"/>
      <w:ind w:left="1540" w:hanging="220"/>
    </w:pPr>
  </w:style>
  <w:style w:type="paragraph" w:styleId="ndice1">
    <w:name w:val="index 1"/>
    <w:basedOn w:val="Normal"/>
    <w:next w:val="Normal"/>
    <w:autoRedefine/>
    <w:uiPriority w:val="99"/>
    <w:unhideWhenUsed/>
    <w:rsid w:val="00071962"/>
    <w:pPr>
      <w:spacing w:before="0" w:after="0"/>
      <w:ind w:left="220" w:hanging="220"/>
    </w:pPr>
  </w:style>
  <w:style w:type="paragraph" w:styleId="ndice3">
    <w:name w:val="index 3"/>
    <w:basedOn w:val="Normal"/>
    <w:next w:val="Normal"/>
    <w:autoRedefine/>
    <w:uiPriority w:val="99"/>
    <w:unhideWhenUsed/>
    <w:rsid w:val="00071962"/>
    <w:pPr>
      <w:ind w:left="660" w:hanging="220"/>
    </w:pPr>
  </w:style>
  <w:style w:type="paragraph" w:styleId="ndice4">
    <w:name w:val="index 4"/>
    <w:basedOn w:val="Normal"/>
    <w:next w:val="Normal"/>
    <w:autoRedefine/>
    <w:uiPriority w:val="99"/>
    <w:unhideWhenUsed/>
    <w:rsid w:val="00071962"/>
    <w:pPr>
      <w:ind w:left="880" w:hanging="220"/>
    </w:pPr>
  </w:style>
  <w:style w:type="paragraph" w:styleId="ndice5">
    <w:name w:val="index 5"/>
    <w:basedOn w:val="Normal"/>
    <w:next w:val="Normal"/>
    <w:autoRedefine/>
    <w:uiPriority w:val="99"/>
    <w:unhideWhenUsed/>
    <w:rsid w:val="00071962"/>
    <w:pPr>
      <w:ind w:left="1100" w:hanging="220"/>
    </w:pPr>
  </w:style>
  <w:style w:type="paragraph" w:styleId="ndice6">
    <w:name w:val="index 6"/>
    <w:basedOn w:val="Normal"/>
    <w:next w:val="Normal"/>
    <w:autoRedefine/>
    <w:uiPriority w:val="99"/>
    <w:unhideWhenUsed/>
    <w:rsid w:val="00071962"/>
    <w:pPr>
      <w:ind w:left="1320" w:hanging="220"/>
    </w:pPr>
  </w:style>
  <w:style w:type="paragraph" w:styleId="ndice8">
    <w:name w:val="index 8"/>
    <w:basedOn w:val="Normal"/>
    <w:next w:val="Normal"/>
    <w:autoRedefine/>
    <w:uiPriority w:val="99"/>
    <w:unhideWhenUsed/>
    <w:rsid w:val="00071962"/>
    <w:pPr>
      <w:ind w:left="1760" w:hanging="220"/>
    </w:pPr>
  </w:style>
  <w:style w:type="paragraph" w:styleId="ndice9">
    <w:name w:val="index 9"/>
    <w:basedOn w:val="Normal"/>
    <w:next w:val="Normal"/>
    <w:autoRedefine/>
    <w:uiPriority w:val="99"/>
    <w:unhideWhenUsed/>
    <w:rsid w:val="00071962"/>
    <w:pPr>
      <w:ind w:left="1980" w:hanging="220"/>
    </w:pPr>
  </w:style>
  <w:style w:type="paragraph" w:styleId="Ttulodendice">
    <w:name w:val="index heading"/>
    <w:basedOn w:val="Normal"/>
    <w:next w:val="ndice1"/>
    <w:uiPriority w:val="99"/>
    <w:unhideWhenUsed/>
    <w:rsid w:val="00071962"/>
  </w:style>
  <w:style w:type="character" w:styleId="nfasissutil">
    <w:name w:val="Subtle Emphasis"/>
    <w:aliases w:val="Título 2.1"/>
    <w:uiPriority w:val="19"/>
    <w:qFormat/>
    <w:rsid w:val="0060413A"/>
    <w:rPr>
      <w:rFonts w:ascii="Avenir Heavy" w:hAnsi="Avenir Heavy"/>
      <w:color w:val="FFFFFF" w:themeColor="background1"/>
      <w:sz w:val="36"/>
    </w:rPr>
  </w:style>
  <w:style w:type="paragraph" w:customStyle="1" w:styleId="Ttulo2enpginadeseccin">
    <w:name w:val="Título 2 en página de sección"/>
    <w:basedOn w:val="Normal"/>
    <w:autoRedefine/>
    <w:qFormat/>
    <w:rsid w:val="003D6068"/>
    <w:pPr>
      <w:numPr>
        <w:numId w:val="4"/>
      </w:numPr>
      <w:spacing w:before="0" w:after="0"/>
      <w:jc w:val="left"/>
    </w:pPr>
    <w:rPr>
      <w:rFonts w:ascii="Avenir Heavy" w:hAnsi="Avenir Heavy"/>
      <w:color w:val="FFFFFF" w:themeColor="background1"/>
      <w:sz w:val="20"/>
    </w:rPr>
  </w:style>
  <w:style w:type="character" w:customStyle="1" w:styleId="A43">
    <w:name w:val="A43"/>
    <w:uiPriority w:val="99"/>
    <w:rsid w:val="00FE08CB"/>
    <w:rPr>
      <w:rFonts w:cs="Lucida Sans Unicode"/>
      <w:color w:val="000000"/>
      <w:sz w:val="21"/>
      <w:szCs w:val="21"/>
    </w:rPr>
  </w:style>
  <w:style w:type="paragraph" w:customStyle="1" w:styleId="Pa17">
    <w:name w:val="Pa17"/>
    <w:basedOn w:val="Default"/>
    <w:next w:val="Default"/>
    <w:uiPriority w:val="99"/>
    <w:rsid w:val="00FE08CB"/>
    <w:pPr>
      <w:spacing w:line="241" w:lineRule="atLeast"/>
    </w:pPr>
    <w:rPr>
      <w:rFonts w:ascii="Lucida Sans Unicode" w:eastAsia="MS Mincho" w:hAnsi="Lucida Sans Unicode" w:cs="Times New Roman"/>
      <w:color w:val="auto"/>
    </w:rPr>
  </w:style>
  <w:style w:type="character" w:customStyle="1" w:styleId="A49">
    <w:name w:val="A49"/>
    <w:uiPriority w:val="99"/>
    <w:rsid w:val="00FE08CB"/>
    <w:rPr>
      <w:rFonts w:cs="Lucida Sans Unicode"/>
      <w:color w:val="000000"/>
      <w:sz w:val="22"/>
      <w:szCs w:val="22"/>
    </w:rPr>
  </w:style>
  <w:style w:type="character" w:customStyle="1" w:styleId="A28">
    <w:name w:val="A28"/>
    <w:uiPriority w:val="99"/>
    <w:rsid w:val="00FE08CB"/>
    <w:rPr>
      <w:rFonts w:cs="Lucida Sans Unicode"/>
      <w:color w:val="000000"/>
      <w:sz w:val="22"/>
      <w:szCs w:val="22"/>
    </w:rPr>
  </w:style>
  <w:style w:type="character" w:customStyle="1" w:styleId="A54">
    <w:name w:val="A54"/>
    <w:uiPriority w:val="99"/>
    <w:rsid w:val="00FE08CB"/>
    <w:rPr>
      <w:rFonts w:cs="Lucida Sans Unicode"/>
      <w:color w:val="000000"/>
      <w:sz w:val="22"/>
      <w:szCs w:val="22"/>
    </w:rPr>
  </w:style>
  <w:style w:type="character" w:customStyle="1" w:styleId="A56">
    <w:name w:val="A56"/>
    <w:uiPriority w:val="99"/>
    <w:rsid w:val="00FE08CB"/>
    <w:rPr>
      <w:rFonts w:cs="Lucida Sans Unicode"/>
      <w:color w:val="000000"/>
      <w:sz w:val="22"/>
      <w:szCs w:val="22"/>
    </w:rPr>
  </w:style>
  <w:style w:type="paragraph" w:customStyle="1" w:styleId="Normal-blanco">
    <w:name w:val="Normal-blanco"/>
    <w:basedOn w:val="Normal"/>
    <w:qFormat/>
    <w:rsid w:val="006F267C"/>
    <w:rPr>
      <w:color w:val="FFFFFF" w:themeColor="background1"/>
    </w:rPr>
  </w:style>
  <w:style w:type="paragraph" w:customStyle="1" w:styleId="NormalB-blanco">
    <w:name w:val="Normal(B)-blanco"/>
    <w:basedOn w:val="Normal-blanco"/>
    <w:qFormat/>
    <w:rsid w:val="00F760EB"/>
    <w:rPr>
      <w:rFonts w:ascii="Avenir Black" w:hAnsi="Avenir Black"/>
    </w:rPr>
  </w:style>
  <w:style w:type="table" w:styleId="Tablaconcuadrcula">
    <w:name w:val="Table Grid"/>
    <w:basedOn w:val="Tablanormal"/>
    <w:uiPriority w:val="59"/>
    <w:rsid w:val="006F2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60413A"/>
    <w:rPr>
      <w:i/>
      <w:iCs/>
    </w:rPr>
  </w:style>
  <w:style w:type="table" w:styleId="Sombreadoclaro-nfasis6">
    <w:name w:val="Light Shading Accent 6"/>
    <w:basedOn w:val="Tablanormal"/>
    <w:uiPriority w:val="60"/>
    <w:rsid w:val="00B26283"/>
    <w:pPr>
      <w:spacing w:after="0" w:line="240" w:lineRule="auto"/>
    </w:pPr>
    <w:rPr>
      <w:color w:val="074558" w:themeColor="accent6" w:themeShade="BF"/>
    </w:rPr>
    <w:tblPr>
      <w:tblStyleRowBandSize w:val="1"/>
      <w:tblStyleColBandSize w:val="1"/>
      <w:tblInd w:w="0" w:type="dxa"/>
      <w:tblBorders>
        <w:top w:val="single" w:sz="8" w:space="0" w:color="0A5D76" w:themeColor="accent6"/>
        <w:bottom w:val="single" w:sz="8" w:space="0" w:color="0A5D7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5D76" w:themeColor="accent6"/>
          <w:left w:val="nil"/>
          <w:bottom w:val="single" w:sz="8" w:space="0" w:color="0A5D76" w:themeColor="accent6"/>
          <w:right w:val="nil"/>
          <w:insideH w:val="nil"/>
          <w:insideV w:val="nil"/>
        </w:tcBorders>
      </w:tcPr>
    </w:tblStylePr>
    <w:tblStylePr w:type="lastRow">
      <w:pPr>
        <w:spacing w:before="0" w:after="0" w:line="240" w:lineRule="auto"/>
      </w:pPr>
      <w:rPr>
        <w:b/>
        <w:bCs/>
      </w:rPr>
      <w:tblPr/>
      <w:tcPr>
        <w:tcBorders>
          <w:top w:val="single" w:sz="8" w:space="0" w:color="0A5D76" w:themeColor="accent6"/>
          <w:left w:val="nil"/>
          <w:bottom w:val="single" w:sz="8" w:space="0" w:color="0A5D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4F7" w:themeFill="accent6" w:themeFillTint="3F"/>
      </w:tcPr>
    </w:tblStylePr>
    <w:tblStylePr w:type="band1Horz">
      <w:tblPr/>
      <w:tcPr>
        <w:tcBorders>
          <w:left w:val="nil"/>
          <w:right w:val="nil"/>
          <w:insideH w:val="nil"/>
          <w:insideV w:val="nil"/>
        </w:tcBorders>
        <w:shd w:val="clear" w:color="auto" w:fill="A7E4F7" w:themeFill="accent6" w:themeFillTint="3F"/>
      </w:tcPr>
    </w:tblStylePr>
  </w:style>
  <w:style w:type="table" w:customStyle="1" w:styleId="Cuadrculaclara-nfasis11">
    <w:name w:val="Cuadrícula clara - Énfasis 11"/>
    <w:basedOn w:val="Tablanormal"/>
    <w:uiPriority w:val="62"/>
    <w:rsid w:val="00B26283"/>
    <w:pPr>
      <w:spacing w:after="0" w:line="240" w:lineRule="auto"/>
    </w:pPr>
    <w:tblPr>
      <w:tblStyleRowBandSize w:val="1"/>
      <w:tblStyleColBandSize w:val="1"/>
      <w:tblInd w:w="0" w:type="dxa"/>
      <w:tblBorders>
        <w:top w:val="single" w:sz="8" w:space="0" w:color="0A3F76" w:themeColor="accent1"/>
        <w:left w:val="single" w:sz="8" w:space="0" w:color="0A3F76" w:themeColor="accent1"/>
        <w:bottom w:val="single" w:sz="8" w:space="0" w:color="0A3F76" w:themeColor="accent1"/>
        <w:right w:val="single" w:sz="8" w:space="0" w:color="0A3F76" w:themeColor="accent1"/>
        <w:insideH w:val="single" w:sz="8" w:space="0" w:color="0A3F76" w:themeColor="accent1"/>
        <w:insideV w:val="single" w:sz="8" w:space="0" w:color="0A3F7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3F76" w:themeColor="accent1"/>
          <w:left w:val="single" w:sz="8" w:space="0" w:color="0A3F76" w:themeColor="accent1"/>
          <w:bottom w:val="single" w:sz="18" w:space="0" w:color="0A3F76" w:themeColor="accent1"/>
          <w:right w:val="single" w:sz="8" w:space="0" w:color="0A3F76" w:themeColor="accent1"/>
          <w:insideH w:val="nil"/>
          <w:insideV w:val="single" w:sz="8" w:space="0" w:color="0A3F7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3F76" w:themeColor="accent1"/>
          <w:left w:val="single" w:sz="8" w:space="0" w:color="0A3F76" w:themeColor="accent1"/>
          <w:bottom w:val="single" w:sz="8" w:space="0" w:color="0A3F76" w:themeColor="accent1"/>
          <w:right w:val="single" w:sz="8" w:space="0" w:color="0A3F76" w:themeColor="accent1"/>
          <w:insideH w:val="nil"/>
          <w:insideV w:val="single" w:sz="8" w:space="0" w:color="0A3F7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3F76" w:themeColor="accent1"/>
          <w:left w:val="single" w:sz="8" w:space="0" w:color="0A3F76" w:themeColor="accent1"/>
          <w:bottom w:val="single" w:sz="8" w:space="0" w:color="0A3F76" w:themeColor="accent1"/>
          <w:right w:val="single" w:sz="8" w:space="0" w:color="0A3F76" w:themeColor="accent1"/>
        </w:tcBorders>
      </w:tcPr>
    </w:tblStylePr>
    <w:tblStylePr w:type="band1Vert">
      <w:tblPr/>
      <w:tcPr>
        <w:tcBorders>
          <w:top w:val="single" w:sz="8" w:space="0" w:color="0A3F76" w:themeColor="accent1"/>
          <w:left w:val="single" w:sz="8" w:space="0" w:color="0A3F76" w:themeColor="accent1"/>
          <w:bottom w:val="single" w:sz="8" w:space="0" w:color="0A3F76" w:themeColor="accent1"/>
          <w:right w:val="single" w:sz="8" w:space="0" w:color="0A3F76" w:themeColor="accent1"/>
        </w:tcBorders>
        <w:shd w:val="clear" w:color="auto" w:fill="A7CEF7" w:themeFill="accent1" w:themeFillTint="3F"/>
      </w:tcPr>
    </w:tblStylePr>
    <w:tblStylePr w:type="band1Horz">
      <w:tblPr/>
      <w:tcPr>
        <w:tcBorders>
          <w:top w:val="single" w:sz="8" w:space="0" w:color="0A3F76" w:themeColor="accent1"/>
          <w:left w:val="single" w:sz="8" w:space="0" w:color="0A3F76" w:themeColor="accent1"/>
          <w:bottom w:val="single" w:sz="8" w:space="0" w:color="0A3F76" w:themeColor="accent1"/>
          <w:right w:val="single" w:sz="8" w:space="0" w:color="0A3F76" w:themeColor="accent1"/>
          <w:insideV w:val="single" w:sz="8" w:space="0" w:color="0A3F76" w:themeColor="accent1"/>
        </w:tcBorders>
        <w:shd w:val="clear" w:color="auto" w:fill="A7CEF7" w:themeFill="accent1" w:themeFillTint="3F"/>
      </w:tcPr>
    </w:tblStylePr>
    <w:tblStylePr w:type="band2Horz">
      <w:tblPr/>
      <w:tcPr>
        <w:tcBorders>
          <w:top w:val="single" w:sz="8" w:space="0" w:color="0A3F76" w:themeColor="accent1"/>
          <w:left w:val="single" w:sz="8" w:space="0" w:color="0A3F76" w:themeColor="accent1"/>
          <w:bottom w:val="single" w:sz="8" w:space="0" w:color="0A3F76" w:themeColor="accent1"/>
          <w:right w:val="single" w:sz="8" w:space="0" w:color="0A3F76" w:themeColor="accent1"/>
          <w:insideV w:val="single" w:sz="8" w:space="0" w:color="0A3F76" w:themeColor="accent1"/>
        </w:tcBorders>
      </w:tcPr>
    </w:tblStylePr>
  </w:style>
  <w:style w:type="table" w:customStyle="1" w:styleId="Listamedia1-nfasis11">
    <w:name w:val="Lista media 1 - Énfasis 11"/>
    <w:basedOn w:val="Tablanormal"/>
    <w:uiPriority w:val="65"/>
    <w:rsid w:val="00BF3D8F"/>
    <w:pPr>
      <w:spacing w:after="0" w:line="240" w:lineRule="auto"/>
    </w:pPr>
    <w:rPr>
      <w:color w:val="000000" w:themeColor="text1"/>
    </w:rPr>
    <w:tblPr>
      <w:tblStyleRowBandSize w:val="1"/>
      <w:tblStyleColBandSize w:val="1"/>
      <w:tblInd w:w="0" w:type="dxa"/>
      <w:tblBorders>
        <w:top w:val="single" w:sz="8" w:space="0" w:color="0A3F76" w:themeColor="accent1"/>
        <w:bottom w:val="single" w:sz="8" w:space="0" w:color="0A3F7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3F76" w:themeColor="accent1"/>
        </w:tcBorders>
      </w:tcPr>
    </w:tblStylePr>
    <w:tblStylePr w:type="lastRow">
      <w:rPr>
        <w:b/>
        <w:bCs/>
        <w:color w:val="97A4AC" w:themeColor="text2"/>
      </w:rPr>
      <w:tblPr/>
      <w:tcPr>
        <w:tcBorders>
          <w:top w:val="single" w:sz="8" w:space="0" w:color="0A3F76" w:themeColor="accent1"/>
          <w:bottom w:val="single" w:sz="8" w:space="0" w:color="0A3F76" w:themeColor="accent1"/>
        </w:tcBorders>
      </w:tcPr>
    </w:tblStylePr>
    <w:tblStylePr w:type="firstCol">
      <w:rPr>
        <w:b/>
        <w:bCs/>
      </w:rPr>
    </w:tblStylePr>
    <w:tblStylePr w:type="lastCol">
      <w:rPr>
        <w:b/>
        <w:bCs/>
      </w:rPr>
      <w:tblPr/>
      <w:tcPr>
        <w:tcBorders>
          <w:top w:val="single" w:sz="8" w:space="0" w:color="0A3F76" w:themeColor="accent1"/>
          <w:bottom w:val="single" w:sz="8" w:space="0" w:color="0A3F76" w:themeColor="accent1"/>
        </w:tcBorders>
      </w:tcPr>
    </w:tblStylePr>
    <w:tblStylePr w:type="band1Vert">
      <w:tblPr/>
      <w:tcPr>
        <w:shd w:val="clear" w:color="auto" w:fill="A7CEF7" w:themeFill="accent1" w:themeFillTint="3F"/>
      </w:tcPr>
    </w:tblStylePr>
    <w:tblStylePr w:type="band1Horz">
      <w:tblPr/>
      <w:tcPr>
        <w:shd w:val="clear" w:color="auto" w:fill="A7CEF7" w:themeFill="accent1" w:themeFillTint="3F"/>
      </w:tcPr>
    </w:tblStylePr>
  </w:style>
  <w:style w:type="table" w:customStyle="1" w:styleId="Estilo2">
    <w:name w:val="Estilo2"/>
    <w:basedOn w:val="Tablanormal"/>
    <w:uiPriority w:val="99"/>
    <w:rsid w:val="00B26283"/>
    <w:pPr>
      <w:spacing w:after="0" w:line="240" w:lineRule="auto"/>
      <w:jc w:val="center"/>
    </w:pPr>
    <w:tblPr>
      <w:tblInd w:w="0" w:type="dxa"/>
      <w:tblCellMar>
        <w:top w:w="0" w:type="dxa"/>
        <w:left w:w="108" w:type="dxa"/>
        <w:bottom w:w="0" w:type="dxa"/>
        <w:right w:w="108" w:type="dxa"/>
      </w:tblCellMar>
    </w:tblPr>
    <w:tcPr>
      <w:vAlign w:val="center"/>
    </w:tcPr>
  </w:style>
  <w:style w:type="table" w:styleId="Tablamoderna">
    <w:name w:val="Table Contemporary"/>
    <w:basedOn w:val="Tablanormal"/>
    <w:uiPriority w:val="99"/>
    <w:semiHidden/>
    <w:unhideWhenUsed/>
    <w:rsid w:val="00707E81"/>
    <w:pPr>
      <w:suppressAutoHyphens/>
      <w:spacing w:before="120" w:line="240"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paragraph" w:customStyle="1" w:styleId="Subttulo2">
    <w:name w:val="Subtítulo 2"/>
    <w:basedOn w:val="Ttulo2enpginadeseccin"/>
    <w:qFormat/>
    <w:rsid w:val="001D00C0"/>
    <w:pPr>
      <w:numPr>
        <w:numId w:val="3"/>
      </w:numPr>
    </w:pPr>
  </w:style>
  <w:style w:type="table" w:customStyle="1" w:styleId="Sombreadoclaro-nfasis11">
    <w:name w:val="Sombreado claro - Énfasis 11"/>
    <w:basedOn w:val="Tablanormal"/>
    <w:uiPriority w:val="60"/>
    <w:rsid w:val="009A4A4B"/>
    <w:pPr>
      <w:spacing w:after="0" w:line="240" w:lineRule="auto"/>
    </w:pPr>
    <w:rPr>
      <w:color w:val="072F58" w:themeColor="accent1" w:themeShade="BF"/>
    </w:rPr>
    <w:tblPr>
      <w:tblStyleRowBandSize w:val="1"/>
      <w:tblStyleColBandSize w:val="1"/>
      <w:tblInd w:w="0" w:type="dxa"/>
      <w:tblBorders>
        <w:top w:val="single" w:sz="8" w:space="0" w:color="0A3F76" w:themeColor="accent1"/>
        <w:bottom w:val="single" w:sz="8" w:space="0" w:color="0A3F7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3F76" w:themeColor="accent1"/>
          <w:left w:val="nil"/>
          <w:bottom w:val="single" w:sz="8" w:space="0" w:color="0A3F76" w:themeColor="accent1"/>
          <w:right w:val="nil"/>
          <w:insideH w:val="nil"/>
          <w:insideV w:val="nil"/>
        </w:tcBorders>
      </w:tcPr>
    </w:tblStylePr>
    <w:tblStylePr w:type="lastRow">
      <w:pPr>
        <w:spacing w:before="0" w:after="0" w:line="240" w:lineRule="auto"/>
      </w:pPr>
      <w:rPr>
        <w:b/>
        <w:bCs/>
      </w:rPr>
      <w:tblPr/>
      <w:tcPr>
        <w:tcBorders>
          <w:top w:val="single" w:sz="8" w:space="0" w:color="0A3F76" w:themeColor="accent1"/>
          <w:left w:val="nil"/>
          <w:bottom w:val="single" w:sz="8" w:space="0" w:color="0A3F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CEF7" w:themeFill="accent1" w:themeFillTint="3F"/>
      </w:tcPr>
    </w:tblStylePr>
    <w:tblStylePr w:type="band1Horz">
      <w:tblPr/>
      <w:tcPr>
        <w:tcBorders>
          <w:left w:val="nil"/>
          <w:right w:val="nil"/>
          <w:insideH w:val="nil"/>
          <w:insideV w:val="nil"/>
        </w:tcBorders>
        <w:shd w:val="clear" w:color="auto" w:fill="A7CEF7" w:themeFill="accent1" w:themeFillTint="3F"/>
      </w:tcPr>
    </w:tblStylePr>
  </w:style>
  <w:style w:type="table" w:customStyle="1" w:styleId="Listaclara1">
    <w:name w:val="Lista clara1"/>
    <w:basedOn w:val="Tablanormal"/>
    <w:uiPriority w:val="61"/>
    <w:rsid w:val="00BF3D8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uadrculaclara1">
    <w:name w:val="Cuadrícula clara1"/>
    <w:basedOn w:val="Tablanormal"/>
    <w:uiPriority w:val="62"/>
    <w:rsid w:val="001A523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domedio2-nfasis11">
    <w:name w:val="Sombreado medio 2 - Énfasis 11"/>
    <w:basedOn w:val="Tablanormal"/>
    <w:uiPriority w:val="64"/>
    <w:rsid w:val="00BF3D8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3F7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3F76" w:themeFill="accent1"/>
      </w:tcPr>
    </w:tblStylePr>
    <w:tblStylePr w:type="lastCol">
      <w:rPr>
        <w:b/>
        <w:bCs/>
        <w:color w:val="FFFFFF" w:themeColor="background1"/>
      </w:rPr>
      <w:tblPr/>
      <w:tcPr>
        <w:tcBorders>
          <w:left w:val="nil"/>
          <w:right w:val="nil"/>
          <w:insideH w:val="nil"/>
          <w:insideV w:val="nil"/>
        </w:tcBorders>
        <w:shd w:val="clear" w:color="auto" w:fill="0A3F7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BF3D8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7CE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3F7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3F7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3F7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3F7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F9EF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F9EF0" w:themeFill="accent1" w:themeFillTint="7F"/>
      </w:tcPr>
    </w:tblStylePr>
  </w:style>
  <w:style w:type="table" w:customStyle="1" w:styleId="Tablabsica">
    <w:name w:val="Tabla básica"/>
    <w:basedOn w:val="Tablamoderna"/>
    <w:uiPriority w:val="99"/>
    <w:rsid w:val="00FE4DFC"/>
    <w:pPr>
      <w:spacing w:before="0" w:after="0"/>
      <w:jc w:val="left"/>
    </w:pPr>
    <w:tblPr>
      <w:tblStyleRowBandSize w:val="1"/>
      <w:tblStyleColBandSize w:val="1"/>
      <w:jc w:val="center"/>
      <w:tblInd w:w="0" w:type="dxa"/>
      <w:tblBorders>
        <w:insideV w:val="single" w:sz="4" w:space="0" w:color="FFFFFF" w:themeColor="background1"/>
      </w:tblBorders>
      <w:tblCellMar>
        <w:top w:w="0" w:type="dxa"/>
        <w:left w:w="108" w:type="dxa"/>
        <w:bottom w:w="0" w:type="dxa"/>
        <w:right w:w="108" w:type="dxa"/>
      </w:tblCellMar>
    </w:tblPr>
    <w:trPr>
      <w:jc w:val="center"/>
    </w:trPr>
    <w:tcPr>
      <w:vAlign w:val="center"/>
    </w:tcPr>
    <w:tblStylePr w:type="firstRow">
      <w:pPr>
        <w:jc w:val="left"/>
      </w:pPr>
      <w:rPr>
        <w:rFonts w:ascii="Avenir Heavy" w:hAnsi="Avenir Heavy"/>
        <w:b w:val="0"/>
        <w:bCs/>
        <w:color w:val="FFFFFF" w:themeColor="background1"/>
        <w:sz w:val="22"/>
      </w:rPr>
      <w:tblPr/>
      <w:tcPr>
        <w:shd w:val="clear" w:color="auto" w:fill="0A3F76" w:themeFill="accent1"/>
      </w:tcPr>
    </w:tblStylePr>
    <w:tblStylePr w:type="band1Horz">
      <w:rPr>
        <w:rFonts w:ascii="Avenir Heavy" w:hAnsi="Avenir Heavy"/>
        <w:color w:val="FFFFFF" w:themeColor="background1"/>
        <w:sz w:val="22"/>
      </w:rPr>
      <w:tblPr/>
      <w:tcPr>
        <w:shd w:val="clear" w:color="auto" w:fill="A6A6A6" w:themeFill="background2" w:themeFillShade="A6"/>
      </w:tcPr>
    </w:tblStylePr>
    <w:tblStylePr w:type="band2Horz">
      <w:pPr>
        <w:jc w:val="center"/>
      </w:pPr>
      <w:rPr>
        <w:rFonts w:ascii="Avenir Heavy" w:hAnsi="Avenir Heavy"/>
        <w:color w:val="FFFFFF" w:themeColor="background1"/>
        <w:sz w:val="22"/>
      </w:rPr>
      <w:tblPr/>
      <w:tcPr>
        <w:shd w:val="clear" w:color="auto" w:fill="6B7B86" w:themeFill="text2" w:themeFillShade="BF"/>
      </w:tcPr>
    </w:tblStylePr>
  </w:style>
  <w:style w:type="table" w:customStyle="1" w:styleId="Tablapredefinida">
    <w:name w:val="Tabla predefinida"/>
    <w:basedOn w:val="Tablamoderna"/>
    <w:uiPriority w:val="99"/>
    <w:rsid w:val="00E84753"/>
    <w:pPr>
      <w:spacing w:after="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pPr>
        <w:jc w:val="center"/>
      </w:pPr>
      <w:rPr>
        <w:rFonts w:ascii="Avenir Heavy" w:hAnsi="Avenir Heavy"/>
        <w:b w:val="0"/>
        <w:bCs/>
        <w:color w:val="auto"/>
        <w:sz w:val="24"/>
      </w:rPr>
      <w:tblPr/>
      <w:tcPr>
        <w:tcBorders>
          <w:top w:val="nil"/>
          <w:left w:val="nil"/>
          <w:bottom w:val="nil"/>
          <w:right w:val="nil"/>
          <w:insideH w:val="nil"/>
          <w:insideV w:val="single" w:sz="8" w:space="0" w:color="FFFFFF" w:themeColor="background1"/>
          <w:tl2br w:val="nil"/>
          <w:tr2bl w:val="nil"/>
        </w:tcBorders>
        <w:shd w:val="clear" w:color="auto" w:fill="0A3F76" w:themeFill="accent1"/>
      </w:tcPr>
    </w:tblStylePr>
    <w:tblStylePr w:type="band1Horz">
      <w:pPr>
        <w:jc w:val="left"/>
      </w:pPr>
      <w:rPr>
        <w:rFonts w:ascii="Avenir Heavy" w:hAnsi="Avenir Heavy"/>
        <w:color w:val="FFFFFF" w:themeColor="background1"/>
        <w:sz w:val="22"/>
      </w:rPr>
      <w:tblPr/>
      <w:tcPr>
        <w:tcBorders>
          <w:top w:val="nil"/>
          <w:left w:val="nil"/>
          <w:bottom w:val="nil"/>
          <w:right w:val="nil"/>
          <w:insideH w:val="nil"/>
          <w:insideV w:val="nil"/>
          <w:tl2br w:val="nil"/>
          <w:tr2bl w:val="nil"/>
        </w:tcBorders>
        <w:shd w:val="clear" w:color="auto" w:fill="B8D8F9" w:themeFill="accent1" w:themeFillTint="33"/>
      </w:tcPr>
    </w:tblStylePr>
    <w:tblStylePr w:type="band2Horz">
      <w:pPr>
        <w:jc w:val="left"/>
      </w:pPr>
      <w:rPr>
        <w:rFonts w:ascii="Avenir Heavy" w:hAnsi="Avenir Heavy"/>
        <w:color w:val="auto"/>
        <w:sz w:val="22"/>
      </w:rPr>
      <w:tblPr/>
      <w:tcPr>
        <w:tcBorders>
          <w:top w:val="nil"/>
          <w:left w:val="nil"/>
          <w:bottom w:val="nil"/>
          <w:right w:val="nil"/>
          <w:insideH w:val="nil"/>
          <w:insideV w:val="nil"/>
          <w:tl2br w:val="nil"/>
          <w:tr2bl w:val="nil"/>
        </w:tcBorders>
        <w:shd w:val="clear" w:color="auto" w:fill="72B1F3" w:themeFill="accent1" w:themeFillTint="66"/>
      </w:tcPr>
    </w:tblStylePr>
  </w:style>
  <w:style w:type="table" w:styleId="Tablacontema">
    <w:name w:val="Table Theme"/>
    <w:basedOn w:val="Tablanormal"/>
    <w:uiPriority w:val="99"/>
    <w:semiHidden/>
    <w:unhideWhenUsed/>
    <w:rsid w:val="00CE0F38"/>
    <w:pPr>
      <w:suppressAutoHyphens/>
      <w:spacing w:before="12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aespecialblanca">
    <w:name w:val="Lista especial (blanca)"/>
    <w:basedOn w:val="Sinlista"/>
    <w:uiPriority w:val="99"/>
    <w:rsid w:val="00D53D77"/>
    <w:pPr>
      <w:numPr>
        <w:numId w:val="7"/>
      </w:numPr>
    </w:pPr>
  </w:style>
  <w:style w:type="numbering" w:customStyle="1" w:styleId="Listaprincipal">
    <w:name w:val="Lista principal"/>
    <w:basedOn w:val="Sinlista"/>
    <w:uiPriority w:val="99"/>
    <w:rsid w:val="00D53D77"/>
    <w:pPr>
      <w:numPr>
        <w:numId w:val="8"/>
      </w:numPr>
    </w:pPr>
  </w:style>
  <w:style w:type="paragraph" w:customStyle="1" w:styleId="Prrafodelistaprincipal">
    <w:name w:val="Párrafo de lista principal"/>
    <w:qFormat/>
    <w:rsid w:val="00E677DC"/>
    <w:pPr>
      <w:numPr>
        <w:numId w:val="13"/>
      </w:numPr>
      <w:jc w:val="both"/>
    </w:pPr>
    <w:rPr>
      <w:rFonts w:ascii="Avenir Heavy" w:hAnsi="Avenir Heavy"/>
      <w:color w:val="0A3F76" w:themeColor="accent1"/>
    </w:rPr>
  </w:style>
  <w:style w:type="paragraph" w:customStyle="1" w:styleId="Prrafodesublista">
    <w:name w:val="Párrafo de sublista"/>
    <w:basedOn w:val="Prrafodelistaprincipal"/>
    <w:qFormat/>
    <w:rsid w:val="00E677DC"/>
    <w:pPr>
      <w:numPr>
        <w:numId w:val="14"/>
      </w:numPr>
    </w:pPr>
    <w:rPr>
      <w:color w:val="97A4AC" w:themeColor="text2"/>
    </w:rPr>
  </w:style>
  <w:style w:type="paragraph" w:customStyle="1" w:styleId="Prrafolistaenumeradaprincipal">
    <w:name w:val="Párrafo lista enumerada principal"/>
    <w:qFormat/>
    <w:rsid w:val="00320B46"/>
    <w:pPr>
      <w:numPr>
        <w:numId w:val="12"/>
      </w:numPr>
      <w:spacing w:before="240" w:after="120"/>
      <w:ind w:left="357" w:hanging="357"/>
      <w:jc w:val="both"/>
    </w:pPr>
    <w:rPr>
      <w:rFonts w:ascii="Avenir Heavy" w:hAnsi="Avenir Heavy"/>
      <w:color w:val="0A3F76" w:themeColor="accent1"/>
    </w:rPr>
  </w:style>
  <w:style w:type="paragraph" w:customStyle="1" w:styleId="Prrafolistaespecialazul">
    <w:name w:val="Párrafo lista especial (azul)"/>
    <w:basedOn w:val="Prrafodelistaprincipal"/>
    <w:qFormat/>
    <w:rsid w:val="00053709"/>
    <w:pPr>
      <w:numPr>
        <w:numId w:val="9"/>
      </w:numPr>
      <w:spacing w:after="0"/>
      <w:ind w:left="357" w:hanging="357"/>
    </w:pPr>
    <w:rPr>
      <w:b/>
    </w:rPr>
  </w:style>
  <w:style w:type="numbering" w:customStyle="1" w:styleId="Listaenumerada">
    <w:name w:val="Lista enumerada"/>
    <w:uiPriority w:val="99"/>
    <w:rsid w:val="00F2748D"/>
    <w:pPr>
      <w:numPr>
        <w:numId w:val="11"/>
      </w:numPr>
    </w:pPr>
  </w:style>
  <w:style w:type="numbering" w:customStyle="1" w:styleId="Sublista">
    <w:name w:val="Sublista"/>
    <w:uiPriority w:val="99"/>
    <w:rsid w:val="00F2748D"/>
    <w:pPr>
      <w:numPr>
        <w:numId w:val="10"/>
      </w:numPr>
    </w:pPr>
  </w:style>
  <w:style w:type="paragraph" w:customStyle="1" w:styleId="Prrafodelistanica">
    <w:name w:val="Párrafo de lista única"/>
    <w:basedOn w:val="Prrafodelistaprincipal"/>
    <w:qFormat/>
    <w:rsid w:val="00D31700"/>
    <w:pPr>
      <w:spacing w:line="240" w:lineRule="auto"/>
    </w:pPr>
    <w:rPr>
      <w:rFonts w:ascii="Avenir Roman" w:hAnsi="Avenir Roman"/>
      <w:color w:val="48535A" w:themeColor="text2" w:themeShade="80"/>
    </w:rPr>
  </w:style>
  <w:style w:type="paragraph" w:customStyle="1" w:styleId="Prrafosublistaenumerada">
    <w:name w:val="Párrafo sublista enumerada"/>
    <w:basedOn w:val="Prrafolistaenumeradaprincipal"/>
    <w:qFormat/>
    <w:rsid w:val="00320B46"/>
    <w:pPr>
      <w:numPr>
        <w:numId w:val="19"/>
      </w:numPr>
      <w:ind w:left="1220"/>
    </w:pPr>
    <w:rPr>
      <w:rFonts w:ascii="Avenir Roman" w:hAnsi="Avenir Roman"/>
      <w:color w:val="48535A" w:themeColor="text2" w:themeShade="80"/>
    </w:rPr>
  </w:style>
  <w:style w:type="paragraph" w:customStyle="1" w:styleId="Prrafoennegrita">
    <w:name w:val="Párrafo en negrita"/>
    <w:basedOn w:val="Normal"/>
    <w:qFormat/>
    <w:rsid w:val="00F914E1"/>
    <w:rPr>
      <w:rFonts w:ascii="Avenir Heavy" w:hAnsi="Avenir Heavy"/>
      <w:color w:val="auto"/>
    </w:rPr>
  </w:style>
  <w:style w:type="numbering" w:customStyle="1" w:styleId="Sublistaenumerada">
    <w:name w:val="Sublista enumerada"/>
    <w:uiPriority w:val="99"/>
    <w:rsid w:val="00640F93"/>
    <w:pPr>
      <w:numPr>
        <w:numId w:val="15"/>
      </w:numPr>
    </w:pPr>
  </w:style>
  <w:style w:type="numbering" w:customStyle="1" w:styleId="Listaalfabtica">
    <w:name w:val="Lista alfabética"/>
    <w:basedOn w:val="Sinlista"/>
    <w:uiPriority w:val="99"/>
    <w:rsid w:val="00F914E1"/>
    <w:pPr>
      <w:numPr>
        <w:numId w:val="16"/>
      </w:numPr>
    </w:pPr>
  </w:style>
  <w:style w:type="paragraph" w:customStyle="1" w:styleId="Prrafolistaalfabtica">
    <w:name w:val="Párrafo lista alfabética"/>
    <w:basedOn w:val="Prrafodesublista"/>
    <w:qFormat/>
    <w:rsid w:val="000A7F63"/>
    <w:pPr>
      <w:numPr>
        <w:numId w:val="17"/>
      </w:numPr>
      <w:spacing w:line="240" w:lineRule="auto"/>
      <w:ind w:left="1069"/>
    </w:pPr>
  </w:style>
  <w:style w:type="paragraph" w:customStyle="1" w:styleId="Estilo1">
    <w:name w:val="Estilo1"/>
    <w:basedOn w:val="Prrafosublistaenumerada"/>
    <w:qFormat/>
    <w:rsid w:val="00320B46"/>
    <w:pPr>
      <w:numPr>
        <w:numId w:val="0"/>
      </w:numPr>
      <w:spacing w:line="240" w:lineRule="auto"/>
      <w:ind w:left="1220" w:hanging="511"/>
    </w:pPr>
  </w:style>
  <w:style w:type="paragraph" w:customStyle="1" w:styleId="Prrafolistaespecialroja">
    <w:name w:val="Párrafo lista especial (roja)"/>
    <w:basedOn w:val="Prrafolistaespecialazul"/>
    <w:qFormat/>
    <w:rsid w:val="00053709"/>
    <w:pPr>
      <w:numPr>
        <w:numId w:val="18"/>
      </w:numPr>
      <w:spacing w:line="240" w:lineRule="auto"/>
      <w:ind w:left="1066" w:hanging="357"/>
    </w:pPr>
  </w:style>
  <w:style w:type="character" w:customStyle="1" w:styleId="A90">
    <w:name w:val="A90"/>
    <w:uiPriority w:val="99"/>
    <w:rsid w:val="00C97C4D"/>
    <w:rPr>
      <w:rFonts w:cs="Lucida Sans Unicode"/>
      <w:color w:val="000000"/>
      <w:sz w:val="22"/>
      <w:szCs w:val="22"/>
    </w:rPr>
  </w:style>
  <w:style w:type="paragraph" w:customStyle="1" w:styleId="SubtituloGris">
    <w:name w:val="Subtitulo Gris"/>
    <w:basedOn w:val="Ttulo3"/>
    <w:qFormat/>
    <w:rsid w:val="00896CCF"/>
    <w:rPr>
      <w:color w:val="97A4AC" w:themeColor="text2"/>
      <w:sz w:val="24"/>
    </w:rPr>
  </w:style>
  <w:style w:type="paragraph" w:customStyle="1" w:styleId="Prrafolistaespecialblanca">
    <w:name w:val="Párrafo lista especial (blanca)"/>
    <w:basedOn w:val="Prrafolistaespecialroja"/>
    <w:qFormat/>
    <w:rsid w:val="00053709"/>
    <w:pPr>
      <w:numPr>
        <w:numId w:val="20"/>
      </w:numPr>
      <w:ind w:left="357" w:hanging="357"/>
      <w:jc w:val="left"/>
    </w:pPr>
    <w:rPr>
      <w:color w:val="FFFFFF" w:themeColor="background1"/>
    </w:rPr>
  </w:style>
  <w:style w:type="paragraph" w:customStyle="1" w:styleId="Contenidomapasconceptuales">
    <w:name w:val="Contenido mapas conceptuales"/>
    <w:basedOn w:val="Normal-blanco"/>
    <w:qFormat/>
    <w:rsid w:val="00D34824"/>
    <w:pPr>
      <w:spacing w:before="0" w:after="0"/>
      <w:jc w:val="center"/>
    </w:pPr>
  </w:style>
  <w:style w:type="paragraph" w:customStyle="1" w:styleId="Estilo3">
    <w:name w:val="Estilo3"/>
    <w:basedOn w:val="Prrafodelistanica"/>
    <w:qFormat/>
    <w:rsid w:val="00FD3951"/>
    <w:pPr>
      <w:ind w:left="357" w:hanging="357"/>
      <w:jc w:val="left"/>
    </w:pPr>
  </w:style>
  <w:style w:type="paragraph" w:customStyle="1" w:styleId="Prrafodelistacajadetexto">
    <w:name w:val="Párrafo de lista caja de texto"/>
    <w:basedOn w:val="Prrafodelistaprincipal"/>
    <w:qFormat/>
    <w:rsid w:val="00116057"/>
    <w:pPr>
      <w:numPr>
        <w:numId w:val="22"/>
      </w:numPr>
      <w:spacing w:after="0" w:line="240" w:lineRule="auto"/>
      <w:jc w:val="left"/>
    </w:pPr>
    <w:rPr>
      <w:rFonts w:ascii="Avenir Roman" w:hAnsi="Avenir Roman"/>
      <w:sz w:val="18"/>
    </w:rPr>
  </w:style>
  <w:style w:type="numbering" w:customStyle="1" w:styleId="Listacajadetexo">
    <w:name w:val="Lista caja de texo"/>
    <w:basedOn w:val="Listaprincipal"/>
    <w:uiPriority w:val="99"/>
    <w:rsid w:val="0036374A"/>
    <w:pPr>
      <w:numPr>
        <w:numId w:val="21"/>
      </w:numPr>
    </w:pPr>
  </w:style>
  <w:style w:type="paragraph" w:customStyle="1" w:styleId="Leyenda">
    <w:name w:val="Leyenda"/>
    <w:basedOn w:val="Normal"/>
    <w:qFormat/>
    <w:rsid w:val="008E65A4"/>
    <w:pPr>
      <w:spacing w:before="0" w:after="0"/>
    </w:pPr>
    <w:rPr>
      <w:sz w:val="16"/>
    </w:rPr>
  </w:style>
  <w:style w:type="paragraph" w:customStyle="1" w:styleId="Normalencajadetexto">
    <w:name w:val="Normal en caja de texto"/>
    <w:basedOn w:val="Normal"/>
    <w:qFormat/>
    <w:rsid w:val="00A234E6"/>
    <w:pPr>
      <w:suppressAutoHyphens w:val="0"/>
      <w:spacing w:before="0" w:after="0"/>
      <w:jc w:val="left"/>
    </w:pPr>
    <w:rPr>
      <w:sz w:val="18"/>
    </w:rPr>
  </w:style>
  <w:style w:type="table" w:customStyle="1" w:styleId="TablaRanking">
    <w:name w:val="Tabla Ranking"/>
    <w:basedOn w:val="Tablanormal"/>
    <w:uiPriority w:val="99"/>
    <w:rsid w:val="00E40E0C"/>
    <w:pPr>
      <w:spacing w:after="0" w:line="240" w:lineRule="auto"/>
    </w:pPr>
    <w:rPr>
      <w:rFonts w:ascii="Avenir Roman" w:hAnsi="Avenir Roman"/>
      <w:color w:val="FFFFFF" w:themeColor="background1"/>
    </w:rPr>
    <w:tblPr>
      <w:tblStyleRowBandSize w:val="1"/>
      <w:tblInd w:w="0" w:type="dxa"/>
      <w:tblBorders>
        <w:insideV w:val="single" w:sz="6" w:space="0" w:color="FFFFFF" w:themeColor="background2"/>
      </w:tblBorders>
      <w:tblCellMar>
        <w:top w:w="0" w:type="dxa"/>
        <w:left w:w="108" w:type="dxa"/>
        <w:bottom w:w="0" w:type="dxa"/>
        <w:right w:w="108" w:type="dxa"/>
      </w:tblCellMar>
    </w:tblPr>
    <w:tcPr>
      <w:shd w:val="clear" w:color="auto" w:fill="EAECEE" w:themeFill="text2" w:themeFillTint="33"/>
    </w:tcPr>
    <w:tblStylePr w:type="firstRow">
      <w:rPr>
        <w:rFonts w:ascii="Avenir Heavy" w:hAnsi="Avenir Heavy"/>
        <w:color w:val="FFFFFF" w:themeColor="background1"/>
        <w:sz w:val="22"/>
      </w:rPr>
      <w:tblPr/>
      <w:tcPr>
        <w:shd w:val="clear" w:color="auto" w:fill="0A3F76" w:themeFill="accent1"/>
      </w:tcPr>
    </w:tblStylePr>
    <w:tblStylePr w:type="firstCol">
      <w:rPr>
        <w:rFonts w:ascii="Avenir Heavy" w:hAnsi="Avenir Heavy"/>
        <w:color w:val="FFFFFF" w:themeColor="background1"/>
        <w:sz w:val="22"/>
      </w:rPr>
      <w:tblPr/>
      <w:tcPr>
        <w:tcBorders>
          <w:top w:val="nil"/>
          <w:left w:val="nil"/>
          <w:bottom w:val="nil"/>
          <w:right w:val="nil"/>
          <w:insideH w:val="nil"/>
          <w:insideV w:val="nil"/>
          <w:tl2br w:val="nil"/>
          <w:tr2bl w:val="nil"/>
        </w:tcBorders>
        <w:shd w:val="clear" w:color="auto" w:fill="0A3F76" w:themeFill="accent1"/>
      </w:tcPr>
    </w:tblStylePr>
  </w:style>
  <w:style w:type="paragraph" w:customStyle="1" w:styleId="Ttulodetabla">
    <w:name w:val="Título de tabla"/>
    <w:qFormat/>
    <w:rsid w:val="00E40E0C"/>
    <w:pPr>
      <w:spacing w:after="0" w:line="240" w:lineRule="auto"/>
      <w:jc w:val="center"/>
    </w:pPr>
    <w:rPr>
      <w:rFonts w:ascii="Avenir Heavy" w:eastAsiaTheme="majorEastAsia" w:hAnsi="Avenir Heavy" w:cstheme="majorBidi"/>
      <w:color w:val="FFFFFF" w:themeColor="background1"/>
      <w:spacing w:val="5"/>
      <w:kern w:val="28"/>
      <w:sz w:val="28"/>
      <w:szCs w:val="52"/>
    </w:rPr>
  </w:style>
  <w:style w:type="table" w:customStyle="1" w:styleId="Tablapredeterminada">
    <w:name w:val="Tabla predeterminada"/>
    <w:basedOn w:val="Tablanormal"/>
    <w:uiPriority w:val="99"/>
    <w:rsid w:val="004D6E83"/>
    <w:pPr>
      <w:spacing w:after="0" w:line="240" w:lineRule="auto"/>
    </w:pPr>
    <w:tblPr>
      <w:tblStyleRowBandSize w:val="1"/>
      <w:tblInd w:w="0" w:type="dxa"/>
      <w:tblCellMar>
        <w:top w:w="85" w:type="dxa"/>
        <w:left w:w="85" w:type="dxa"/>
        <w:bottom w:w="85" w:type="dxa"/>
        <w:right w:w="85" w:type="dxa"/>
      </w:tblCellMar>
    </w:tblPr>
    <w:tblStylePr w:type="firstRow">
      <w:pPr>
        <w:jc w:val="center"/>
      </w:pPr>
      <w:rPr>
        <w:rFonts w:ascii="Avenir Heavy" w:hAnsi="Avenir Heavy"/>
        <w:sz w:val="18"/>
      </w:rPr>
      <w:tblPr/>
      <w:trPr>
        <w:cantSplit/>
        <w:tblHeader/>
      </w:trPr>
      <w:tcPr>
        <w:shd w:val="clear" w:color="auto" w:fill="143964"/>
        <w:vAlign w:val="center"/>
      </w:tcPr>
    </w:tblStylePr>
    <w:tblStylePr w:type="band1Horz">
      <w:pPr>
        <w:jc w:val="left"/>
      </w:pPr>
      <w:rPr>
        <w:rFonts w:ascii="Avenir Roman" w:hAnsi="Avenir Roman"/>
        <w:b w:val="0"/>
        <w:i w:val="0"/>
        <w:color w:val="6D7F85"/>
        <w:sz w:val="16"/>
      </w:rPr>
      <w:tblPr/>
      <w:tcPr>
        <w:tcBorders>
          <w:insideV w:val="single" w:sz="4" w:space="0" w:color="FFFFFF" w:themeColor="background1"/>
        </w:tcBorders>
        <w:shd w:val="clear" w:color="auto" w:fill="B8D8F9" w:themeFill="accent1" w:themeFillTint="33"/>
      </w:tcPr>
    </w:tblStylePr>
    <w:tblStylePr w:type="band2Horz">
      <w:pPr>
        <w:jc w:val="left"/>
      </w:pPr>
      <w:rPr>
        <w:rFonts w:ascii="Avenir Roman" w:hAnsi="Avenir Roman"/>
        <w:b w:val="0"/>
        <w:i w:val="0"/>
        <w:color w:val="6D7F85"/>
        <w:sz w:val="18"/>
      </w:rPr>
      <w:tblPr/>
      <w:tcPr>
        <w:tcBorders>
          <w:insideV w:val="single" w:sz="8" w:space="0" w:color="FFFFFF" w:themeColor="background1"/>
        </w:tcBorders>
        <w:shd w:val="clear" w:color="auto" w:fill="72B1F3" w:themeFill="accent1" w:themeFillTint="66"/>
        <w:vAlign w:val="center"/>
      </w:tcPr>
    </w:tblStylePr>
  </w:style>
  <w:style w:type="paragraph" w:customStyle="1" w:styleId="PrrafoTabla">
    <w:name w:val="Párrafo Tabla"/>
    <w:basedOn w:val="Prrafodelistacajadetexto"/>
    <w:qFormat/>
    <w:rsid w:val="00472E1F"/>
    <w:pPr>
      <w:numPr>
        <w:numId w:val="0"/>
      </w:numPr>
    </w:pPr>
    <w:rPr>
      <w:rFonts w:ascii="Avenir Book" w:hAnsi="Avenir Book"/>
      <w:sz w:val="16"/>
      <w:szCs w:val="16"/>
    </w:rPr>
  </w:style>
  <w:style w:type="table" w:styleId="Sombreadomedio2-nfasis6">
    <w:name w:val="Medium Shading 2 Accent 6"/>
    <w:basedOn w:val="Tablanormal"/>
    <w:uiPriority w:val="64"/>
    <w:rsid w:val="002C40E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5D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5D76" w:themeFill="accent6"/>
      </w:tcPr>
    </w:tblStylePr>
    <w:tblStylePr w:type="lastCol">
      <w:rPr>
        <w:b/>
        <w:bCs/>
        <w:color w:val="FFFFFF" w:themeColor="background1"/>
      </w:rPr>
      <w:tblPr/>
      <w:tcPr>
        <w:tcBorders>
          <w:left w:val="nil"/>
          <w:right w:val="nil"/>
          <w:insideH w:val="nil"/>
          <w:insideV w:val="nil"/>
        </w:tcBorders>
        <w:shd w:val="clear" w:color="auto" w:fill="0A5D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ResaltadoRojo">
    <w:name w:val="Resaltado (Rojo)"/>
    <w:basedOn w:val="Fuentedeprrafopredeter"/>
    <w:uiPriority w:val="1"/>
    <w:qFormat/>
    <w:rsid w:val="009C6C71"/>
    <w:rPr>
      <w:rFonts w:ascii="Avenir Roman" w:hAnsi="Avenir Roman"/>
      <w:b w:val="0"/>
      <w:bCs w:val="0"/>
      <w:i w:val="0"/>
      <w:iCs w:val="0"/>
      <w:color w:val="FC1A1A"/>
      <w:sz w:val="22"/>
      <w:szCs w:val="22"/>
      <w:u w:color="5E6E74"/>
    </w:rPr>
  </w:style>
  <w:style w:type="paragraph" w:customStyle="1" w:styleId="Tabla-normalblanco">
    <w:name w:val="Tabla-normal (blanco)"/>
    <w:basedOn w:val="Normal"/>
    <w:qFormat/>
    <w:rsid w:val="00D335EE"/>
    <w:pPr>
      <w:spacing w:before="0" w:after="0"/>
    </w:pPr>
    <w:rPr>
      <w:rFonts w:ascii="Avenir Medium" w:hAnsi="Avenir Medium"/>
      <w:color w:val="FFFFFF" w:themeColor="background1"/>
      <w:sz w:val="18"/>
    </w:rPr>
  </w:style>
  <w:style w:type="paragraph" w:customStyle="1" w:styleId="Listadoespecial-Tabla">
    <w:name w:val="Listado especial-Tabla"/>
    <w:basedOn w:val="Normal"/>
    <w:qFormat/>
    <w:rsid w:val="00D335EE"/>
    <w:pPr>
      <w:numPr>
        <w:numId w:val="26"/>
      </w:numPr>
      <w:spacing w:before="0" w:after="60"/>
      <w:contextualSpacing/>
      <w:jc w:val="left"/>
    </w:pPr>
    <w:rPr>
      <w:rFonts w:ascii="Avenir Medium" w:hAnsi="Avenir Medium"/>
      <w:color w:val="FFFFFF" w:themeColor="background1"/>
      <w:sz w:val="18"/>
    </w:rPr>
  </w:style>
  <w:style w:type="table" w:customStyle="1" w:styleId="Tabladecuadrcula4-nfasis11">
    <w:name w:val="Tabla de cuadrícula 4 - Énfasis 11"/>
    <w:basedOn w:val="Tablanormal"/>
    <w:uiPriority w:val="49"/>
    <w:rsid w:val="00F934DB"/>
    <w:pPr>
      <w:spacing w:after="0" w:line="240" w:lineRule="auto"/>
    </w:pPr>
    <w:rPr>
      <w:rFonts w:eastAsiaTheme="minorHAnsi"/>
      <w:lang w:val="es-DO"/>
    </w:rPr>
    <w:tblPr>
      <w:tblStyleRowBandSize w:val="1"/>
      <w:tblStyleColBandSize w:val="1"/>
      <w:tblInd w:w="0" w:type="dxa"/>
      <w:tblBorders>
        <w:top w:val="single" w:sz="4" w:space="0" w:color="2B8AED" w:themeColor="accent1" w:themeTint="99"/>
        <w:left w:val="single" w:sz="4" w:space="0" w:color="2B8AED" w:themeColor="accent1" w:themeTint="99"/>
        <w:bottom w:val="single" w:sz="4" w:space="0" w:color="2B8AED" w:themeColor="accent1" w:themeTint="99"/>
        <w:right w:val="single" w:sz="4" w:space="0" w:color="2B8AED" w:themeColor="accent1" w:themeTint="99"/>
        <w:insideH w:val="single" w:sz="4" w:space="0" w:color="2B8AED" w:themeColor="accent1" w:themeTint="99"/>
        <w:insideV w:val="single" w:sz="4" w:space="0" w:color="2B8AED"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3F76" w:themeColor="accent1"/>
          <w:left w:val="single" w:sz="4" w:space="0" w:color="0A3F76" w:themeColor="accent1"/>
          <w:bottom w:val="single" w:sz="4" w:space="0" w:color="0A3F76" w:themeColor="accent1"/>
          <w:right w:val="single" w:sz="4" w:space="0" w:color="0A3F76" w:themeColor="accent1"/>
          <w:insideH w:val="nil"/>
          <w:insideV w:val="nil"/>
        </w:tcBorders>
        <w:shd w:val="clear" w:color="auto" w:fill="0A3F76" w:themeFill="accent1"/>
      </w:tcPr>
    </w:tblStylePr>
    <w:tblStylePr w:type="lastRow">
      <w:rPr>
        <w:b/>
        <w:bCs/>
      </w:rPr>
      <w:tblPr/>
      <w:tcPr>
        <w:tcBorders>
          <w:top w:val="double" w:sz="4" w:space="0" w:color="0A3F76" w:themeColor="accent1"/>
        </w:tcBorders>
      </w:tcPr>
    </w:tblStylePr>
    <w:tblStylePr w:type="firstCol">
      <w:rPr>
        <w:b/>
        <w:bCs/>
      </w:rPr>
    </w:tblStylePr>
    <w:tblStylePr w:type="lastCol">
      <w:rPr>
        <w:b/>
        <w:bCs/>
      </w:rPr>
    </w:tblStylePr>
    <w:tblStylePr w:type="band1Vert">
      <w:tblPr/>
      <w:tcPr>
        <w:shd w:val="clear" w:color="auto" w:fill="B8D8F9" w:themeFill="accent1" w:themeFillTint="33"/>
      </w:tcPr>
    </w:tblStylePr>
    <w:tblStylePr w:type="band1Horz">
      <w:tblPr/>
      <w:tcPr>
        <w:shd w:val="clear" w:color="auto" w:fill="B8D8F9" w:themeFill="accent1" w:themeFillTint="33"/>
      </w:tcPr>
    </w:tblStylePr>
  </w:style>
  <w:style w:type="paragraph" w:styleId="Epgrafe">
    <w:name w:val="caption"/>
    <w:basedOn w:val="Normal"/>
    <w:next w:val="Normal"/>
    <w:uiPriority w:val="35"/>
    <w:unhideWhenUsed/>
    <w:qFormat/>
    <w:rsid w:val="00CC342F"/>
    <w:pPr>
      <w:suppressAutoHyphens w:val="0"/>
      <w:spacing w:before="0" w:after="200"/>
      <w:jc w:val="left"/>
    </w:pPr>
    <w:rPr>
      <w:rFonts w:asciiTheme="minorHAnsi" w:eastAsiaTheme="minorHAnsi" w:hAnsiTheme="minorHAnsi"/>
      <w:i/>
      <w:iCs/>
      <w:color w:val="97A4AC" w:themeColor="text2"/>
      <w:sz w:val="18"/>
      <w:szCs w:val="18"/>
      <w:lang w:val="es-DO"/>
    </w:rPr>
  </w:style>
  <w:style w:type="character" w:styleId="Refdecomentario">
    <w:name w:val="annotation reference"/>
    <w:basedOn w:val="Fuentedeprrafopredeter"/>
    <w:uiPriority w:val="99"/>
    <w:semiHidden/>
    <w:unhideWhenUsed/>
    <w:rsid w:val="001A7C1A"/>
    <w:rPr>
      <w:sz w:val="16"/>
      <w:szCs w:val="16"/>
    </w:rPr>
  </w:style>
  <w:style w:type="paragraph" w:styleId="Textocomentario">
    <w:name w:val="annotation text"/>
    <w:basedOn w:val="Normal"/>
    <w:link w:val="TextocomentarioCar"/>
    <w:uiPriority w:val="99"/>
    <w:semiHidden/>
    <w:unhideWhenUsed/>
    <w:rsid w:val="001A7C1A"/>
    <w:rPr>
      <w:sz w:val="20"/>
      <w:szCs w:val="20"/>
    </w:rPr>
  </w:style>
  <w:style w:type="character" w:customStyle="1" w:styleId="TextocomentarioCar">
    <w:name w:val="Texto comentario Car"/>
    <w:basedOn w:val="Fuentedeprrafopredeter"/>
    <w:link w:val="Textocomentario"/>
    <w:uiPriority w:val="99"/>
    <w:semiHidden/>
    <w:rsid w:val="001A7C1A"/>
    <w:rPr>
      <w:rFonts w:ascii="Avenir Roman" w:hAnsi="Avenir Roman"/>
      <w:color w:val="48535A" w:themeColor="text2" w:themeShade="80"/>
      <w:sz w:val="20"/>
      <w:szCs w:val="20"/>
    </w:rPr>
  </w:style>
  <w:style w:type="paragraph" w:styleId="Asuntodelcomentario">
    <w:name w:val="annotation subject"/>
    <w:basedOn w:val="Textocomentario"/>
    <w:next w:val="Textocomentario"/>
    <w:link w:val="AsuntodelcomentarioCar"/>
    <w:uiPriority w:val="99"/>
    <w:semiHidden/>
    <w:unhideWhenUsed/>
    <w:rsid w:val="001A7C1A"/>
    <w:rPr>
      <w:b/>
      <w:bCs/>
    </w:rPr>
  </w:style>
  <w:style w:type="character" w:customStyle="1" w:styleId="AsuntodelcomentarioCar">
    <w:name w:val="Asunto del comentario Car"/>
    <w:basedOn w:val="TextocomentarioCar"/>
    <w:link w:val="Asuntodelcomentario"/>
    <w:uiPriority w:val="99"/>
    <w:semiHidden/>
    <w:rsid w:val="001A7C1A"/>
    <w:rPr>
      <w:rFonts w:ascii="Avenir Roman" w:hAnsi="Avenir Roman"/>
      <w:b/>
      <w:bCs/>
      <w:color w:val="48535A" w:themeColor="text2" w:themeShade="80"/>
      <w:sz w:val="20"/>
      <w:szCs w:val="20"/>
    </w:rPr>
  </w:style>
  <w:style w:type="character" w:customStyle="1" w:styleId="ResaltadoGris">
    <w:name w:val="Resaltado (Gris)"/>
    <w:basedOn w:val="Fuentedeprrafopredeter"/>
    <w:uiPriority w:val="1"/>
    <w:qFormat/>
    <w:rsid w:val="00AA0B8D"/>
    <w:rPr>
      <w:rFonts w:ascii="Avenir Heavy" w:hAnsi="Avenir Heavy"/>
      <w:b w:val="0"/>
      <w:bCs w:val="0"/>
      <w:i w:val="0"/>
      <w:iCs w:val="0"/>
      <w:sz w:val="22"/>
      <w:szCs w:val="22"/>
      <w:u w:color="5E6E74"/>
    </w:rPr>
  </w:style>
  <w:style w:type="character" w:customStyle="1" w:styleId="apple-converted-space">
    <w:name w:val="apple-converted-space"/>
    <w:basedOn w:val="Fuentedeprrafopredeter"/>
    <w:rsid w:val="00F34270"/>
  </w:style>
  <w:style w:type="character" w:customStyle="1" w:styleId="Sombreadomedio1-nfasis2Car">
    <w:name w:val="Sombreado medio 1 - Énfasis 2 Car"/>
    <w:link w:val="Sombreadomedio1-nfasis2"/>
    <w:uiPriority w:val="1"/>
    <w:rsid w:val="001A2175"/>
    <w:rPr>
      <w:sz w:val="22"/>
      <w:szCs w:val="22"/>
      <w:lang w:val="es-CO" w:eastAsia="en-US" w:bidi="ar-SA"/>
    </w:rPr>
  </w:style>
  <w:style w:type="table" w:styleId="Sombreadomedio1-nfasis2">
    <w:name w:val="Medium Shading 1 Accent 2"/>
    <w:basedOn w:val="Tablanormal"/>
    <w:link w:val="Sombreadomedio1-nfasis2Car"/>
    <w:uiPriority w:val="1"/>
    <w:rsid w:val="001A2175"/>
    <w:pPr>
      <w:spacing w:after="0" w:line="240" w:lineRule="auto"/>
    </w:pPr>
    <w:rPr>
      <w:lang w:val="es-CO"/>
    </w:rPr>
    <w:tblPr>
      <w:tblStyleRowBandSize w:val="1"/>
      <w:tblStyleColBandSize w:val="1"/>
      <w:tblInd w:w="0" w:type="dxa"/>
      <w:tblBorders>
        <w:top w:val="single" w:sz="8" w:space="0" w:color="FF572D" w:themeColor="accent2" w:themeTint="BF"/>
        <w:left w:val="single" w:sz="8" w:space="0" w:color="FF572D" w:themeColor="accent2" w:themeTint="BF"/>
        <w:bottom w:val="single" w:sz="8" w:space="0" w:color="FF572D" w:themeColor="accent2" w:themeTint="BF"/>
        <w:right w:val="single" w:sz="8" w:space="0" w:color="FF572D" w:themeColor="accent2" w:themeTint="BF"/>
        <w:insideH w:val="single" w:sz="8" w:space="0" w:color="FF572D" w:themeColor="accent2"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FF572D" w:themeColor="accent2" w:themeTint="BF"/>
          <w:left w:val="single" w:sz="8" w:space="0" w:color="FF572D" w:themeColor="accent2" w:themeTint="BF"/>
          <w:bottom w:val="single" w:sz="8" w:space="0" w:color="FF572D" w:themeColor="accent2" w:themeTint="BF"/>
          <w:right w:val="single" w:sz="8" w:space="0" w:color="FF572D" w:themeColor="accent2" w:themeTint="BF"/>
          <w:insideH w:val="nil"/>
          <w:insideV w:val="nil"/>
        </w:tcBorders>
        <w:shd w:val="clear" w:color="auto" w:fill="E62E00" w:themeFill="accent2"/>
      </w:tcPr>
    </w:tblStylePr>
    <w:tblStylePr w:type="lastRow">
      <w:pPr>
        <w:spacing w:before="0" w:after="0" w:line="240" w:lineRule="auto"/>
      </w:pPr>
      <w:tblPr/>
      <w:tcPr>
        <w:tcBorders>
          <w:top w:val="double" w:sz="6" w:space="0" w:color="FF572D" w:themeColor="accent2" w:themeTint="BF"/>
          <w:left w:val="single" w:sz="8" w:space="0" w:color="FF572D" w:themeColor="accent2" w:themeTint="BF"/>
          <w:bottom w:val="single" w:sz="8" w:space="0" w:color="FF572D" w:themeColor="accent2" w:themeTint="BF"/>
          <w:right w:val="single" w:sz="8" w:space="0" w:color="FF572D" w:themeColor="accent2" w:themeTint="BF"/>
          <w:insideH w:val="nil"/>
          <w:insideV w:val="nil"/>
        </w:tcBorders>
      </w:tcPr>
    </w:tblStylePr>
    <w:tblStylePr w:type="band1Vert">
      <w:tblPr/>
      <w:tcPr>
        <w:shd w:val="clear" w:color="auto" w:fill="FFC7B9" w:themeFill="accent2" w:themeFillTint="3F"/>
      </w:tcPr>
    </w:tblStylePr>
    <w:tblStylePr w:type="band1Horz">
      <w:tblPr/>
      <w:tcPr>
        <w:tcBorders>
          <w:insideH w:val="nil"/>
          <w:insideV w:val="nil"/>
        </w:tcBorders>
        <w:shd w:val="clear" w:color="auto" w:fill="FFC7B9" w:themeFill="accent2" w:themeFillTint="3F"/>
      </w:tcPr>
    </w:tblStylePr>
    <w:tblStylePr w:type="band2Horz">
      <w:tblPr/>
      <w:tcPr>
        <w:tcBorders>
          <w:insideH w:val="nil"/>
          <w:insideV w:val="nil"/>
        </w:tcBorders>
      </w:tcPr>
    </w:tblStylePr>
  </w:style>
  <w:style w:type="table" w:styleId="Sombreadoclaro-nfasis3">
    <w:name w:val="Light Shading Accent 3"/>
    <w:basedOn w:val="Tablanormal"/>
    <w:uiPriority w:val="60"/>
    <w:rsid w:val="00C82D51"/>
    <w:pPr>
      <w:spacing w:after="0" w:line="240" w:lineRule="auto"/>
    </w:pPr>
    <w:rPr>
      <w:color w:val="519042" w:themeColor="accent3" w:themeShade="BF"/>
    </w:rPr>
    <w:tblPr>
      <w:tblStyleRowBandSize w:val="1"/>
      <w:tblStyleColBandSize w:val="1"/>
      <w:tblInd w:w="0" w:type="dxa"/>
      <w:tblBorders>
        <w:top w:val="single" w:sz="8" w:space="0" w:color="73B763" w:themeColor="accent3"/>
        <w:bottom w:val="single" w:sz="8" w:space="0" w:color="73B763"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3B763" w:themeColor="accent3"/>
          <w:left w:val="nil"/>
          <w:bottom w:val="single" w:sz="8" w:space="0" w:color="73B763" w:themeColor="accent3"/>
          <w:right w:val="nil"/>
          <w:insideH w:val="nil"/>
          <w:insideV w:val="nil"/>
        </w:tcBorders>
      </w:tcPr>
    </w:tblStylePr>
    <w:tblStylePr w:type="lastRow">
      <w:pPr>
        <w:spacing w:before="0" w:after="0" w:line="240" w:lineRule="auto"/>
      </w:pPr>
      <w:rPr>
        <w:b/>
        <w:bCs/>
      </w:rPr>
      <w:tblPr/>
      <w:tcPr>
        <w:tcBorders>
          <w:top w:val="single" w:sz="8" w:space="0" w:color="73B763" w:themeColor="accent3"/>
          <w:left w:val="nil"/>
          <w:bottom w:val="single" w:sz="8" w:space="0" w:color="73B7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DD8" w:themeFill="accent3" w:themeFillTint="3F"/>
      </w:tcPr>
    </w:tblStylePr>
    <w:tblStylePr w:type="band1Horz">
      <w:tblPr/>
      <w:tcPr>
        <w:tcBorders>
          <w:left w:val="nil"/>
          <w:right w:val="nil"/>
          <w:insideH w:val="nil"/>
          <w:insideV w:val="nil"/>
        </w:tcBorders>
        <w:shd w:val="clear" w:color="auto" w:fill="DCEDD8" w:themeFill="accent3" w:themeFillTint="3F"/>
      </w:tcPr>
    </w:tblStylePr>
  </w:style>
  <w:style w:type="character" w:customStyle="1" w:styleId="SinespaciadoCar">
    <w:name w:val="Sin espaciado Car"/>
    <w:basedOn w:val="Fuentedeprrafopredeter"/>
    <w:link w:val="Sinespaciado"/>
    <w:uiPriority w:val="1"/>
    <w:rsid w:val="004F5DA3"/>
    <w:rPr>
      <w:rFonts w:ascii="Avenir Book" w:hAnsi="Avenir Book"/>
      <w:color w:val="5E6E74"/>
    </w:rPr>
  </w:style>
  <w:style w:type="table" w:styleId="Listaclara-nfasis3">
    <w:name w:val="Light List Accent 3"/>
    <w:basedOn w:val="Tablanormal"/>
    <w:uiPriority w:val="61"/>
    <w:rsid w:val="00DF2BA4"/>
    <w:pPr>
      <w:spacing w:after="0" w:line="240" w:lineRule="auto"/>
    </w:pPr>
    <w:tblPr>
      <w:tblStyleRowBandSize w:val="1"/>
      <w:tblStyleColBandSize w:val="1"/>
      <w:tblInd w:w="0" w:type="dxa"/>
      <w:tblBorders>
        <w:top w:val="single" w:sz="8" w:space="0" w:color="73B763" w:themeColor="accent3"/>
        <w:left w:val="single" w:sz="8" w:space="0" w:color="73B763" w:themeColor="accent3"/>
        <w:bottom w:val="single" w:sz="8" w:space="0" w:color="73B763" w:themeColor="accent3"/>
        <w:right w:val="single" w:sz="8" w:space="0" w:color="73B763"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3B763" w:themeFill="accent3"/>
      </w:tcPr>
    </w:tblStylePr>
    <w:tblStylePr w:type="lastRow">
      <w:pPr>
        <w:spacing w:before="0" w:after="0" w:line="240" w:lineRule="auto"/>
      </w:pPr>
      <w:rPr>
        <w:b/>
        <w:bCs/>
      </w:rPr>
      <w:tblPr/>
      <w:tcPr>
        <w:tcBorders>
          <w:top w:val="double" w:sz="6" w:space="0" w:color="73B763" w:themeColor="accent3"/>
          <w:left w:val="single" w:sz="8" w:space="0" w:color="73B763" w:themeColor="accent3"/>
          <w:bottom w:val="single" w:sz="8" w:space="0" w:color="73B763" w:themeColor="accent3"/>
          <w:right w:val="single" w:sz="8" w:space="0" w:color="73B763" w:themeColor="accent3"/>
        </w:tcBorders>
      </w:tcPr>
    </w:tblStylePr>
    <w:tblStylePr w:type="firstCol">
      <w:rPr>
        <w:b/>
        <w:bCs/>
      </w:rPr>
    </w:tblStylePr>
    <w:tblStylePr w:type="lastCol">
      <w:rPr>
        <w:b/>
        <w:bCs/>
      </w:rPr>
    </w:tblStylePr>
    <w:tblStylePr w:type="band1Vert">
      <w:tblPr/>
      <w:tcPr>
        <w:tcBorders>
          <w:top w:val="single" w:sz="8" w:space="0" w:color="73B763" w:themeColor="accent3"/>
          <w:left w:val="single" w:sz="8" w:space="0" w:color="73B763" w:themeColor="accent3"/>
          <w:bottom w:val="single" w:sz="8" w:space="0" w:color="73B763" w:themeColor="accent3"/>
          <w:right w:val="single" w:sz="8" w:space="0" w:color="73B763" w:themeColor="accent3"/>
        </w:tcBorders>
      </w:tcPr>
    </w:tblStylePr>
    <w:tblStylePr w:type="band1Horz">
      <w:tblPr/>
      <w:tcPr>
        <w:tcBorders>
          <w:top w:val="single" w:sz="8" w:space="0" w:color="73B763" w:themeColor="accent3"/>
          <w:left w:val="single" w:sz="8" w:space="0" w:color="73B763" w:themeColor="accent3"/>
          <w:bottom w:val="single" w:sz="8" w:space="0" w:color="73B763" w:themeColor="accent3"/>
          <w:right w:val="single" w:sz="8" w:space="0" w:color="73B763" w:themeColor="accent3"/>
        </w:tcBorders>
      </w:tcPr>
    </w:tblStylePr>
  </w:style>
  <w:style w:type="paragraph" w:styleId="Textoindependiente">
    <w:name w:val="Body Text"/>
    <w:basedOn w:val="Normal"/>
    <w:link w:val="TextoindependienteCar"/>
    <w:semiHidden/>
    <w:rsid w:val="001D0B6E"/>
    <w:pPr>
      <w:suppressAutoHyphens w:val="0"/>
      <w:spacing w:before="0" w:after="0"/>
      <w:jc w:val="left"/>
    </w:pPr>
    <w:rPr>
      <w:rFonts w:ascii="Times New Roman" w:eastAsia="Times New Roman" w:hAnsi="Times New Roman" w:cs="Times New Roman"/>
      <w:b/>
      <w:bCs/>
      <w:color w:val="auto"/>
      <w:sz w:val="24"/>
      <w:szCs w:val="24"/>
      <w:lang w:val="es-DO" w:eastAsia="es-ES"/>
    </w:rPr>
  </w:style>
  <w:style w:type="character" w:customStyle="1" w:styleId="TextoindependienteCar">
    <w:name w:val="Texto independiente Car"/>
    <w:basedOn w:val="Fuentedeprrafopredeter"/>
    <w:link w:val="Textoindependiente"/>
    <w:semiHidden/>
    <w:rsid w:val="001D0B6E"/>
    <w:rPr>
      <w:rFonts w:ascii="Times New Roman" w:eastAsia="Times New Roman" w:hAnsi="Times New Roman" w:cs="Times New Roman"/>
      <w:b/>
      <w:bCs/>
      <w:sz w:val="24"/>
      <w:szCs w:val="24"/>
      <w:lang w:val="es-DO" w:eastAsia="es-ES"/>
    </w:rPr>
  </w:style>
  <w:style w:type="table" w:customStyle="1" w:styleId="Tabladecuadrcula4-nfasis12">
    <w:name w:val="Tabla de cuadrícula 4 - Énfasis 12"/>
    <w:basedOn w:val="Tablanormal"/>
    <w:uiPriority w:val="49"/>
    <w:rsid w:val="00954155"/>
    <w:pPr>
      <w:spacing w:after="0" w:line="240" w:lineRule="auto"/>
    </w:pPr>
    <w:rPr>
      <w:rFonts w:ascii="Times New Roman" w:eastAsia="Times New Roman" w:hAnsi="Times New Roman" w:cs="Times New Roman"/>
      <w:sz w:val="20"/>
      <w:szCs w:val="20"/>
      <w:lang w:val="es-US" w:eastAsia="es-US"/>
    </w:rPr>
    <w:tblPr>
      <w:tblStyleRowBandSize w:val="1"/>
      <w:tblStyleColBandSize w:val="1"/>
      <w:tblInd w:w="0" w:type="dxa"/>
      <w:tblBorders>
        <w:top w:val="single" w:sz="4" w:space="0" w:color="2B8AED" w:themeColor="accent1" w:themeTint="99"/>
        <w:left w:val="single" w:sz="4" w:space="0" w:color="2B8AED" w:themeColor="accent1" w:themeTint="99"/>
        <w:bottom w:val="single" w:sz="4" w:space="0" w:color="2B8AED" w:themeColor="accent1" w:themeTint="99"/>
        <w:right w:val="single" w:sz="4" w:space="0" w:color="2B8AED" w:themeColor="accent1" w:themeTint="99"/>
        <w:insideH w:val="single" w:sz="4" w:space="0" w:color="2B8AED" w:themeColor="accent1" w:themeTint="99"/>
        <w:insideV w:val="single" w:sz="4" w:space="0" w:color="2B8AED"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3F76" w:themeColor="accent1"/>
          <w:left w:val="single" w:sz="4" w:space="0" w:color="0A3F76" w:themeColor="accent1"/>
          <w:bottom w:val="single" w:sz="4" w:space="0" w:color="0A3F76" w:themeColor="accent1"/>
          <w:right w:val="single" w:sz="4" w:space="0" w:color="0A3F76" w:themeColor="accent1"/>
          <w:insideH w:val="nil"/>
          <w:insideV w:val="nil"/>
        </w:tcBorders>
        <w:shd w:val="clear" w:color="auto" w:fill="0A3F76" w:themeFill="accent1"/>
      </w:tcPr>
    </w:tblStylePr>
    <w:tblStylePr w:type="lastRow">
      <w:rPr>
        <w:b/>
        <w:bCs/>
      </w:rPr>
      <w:tblPr/>
      <w:tcPr>
        <w:tcBorders>
          <w:top w:val="double" w:sz="4" w:space="0" w:color="0A3F76" w:themeColor="accent1"/>
        </w:tcBorders>
      </w:tcPr>
    </w:tblStylePr>
    <w:tblStylePr w:type="firstCol">
      <w:rPr>
        <w:b/>
        <w:bCs/>
      </w:rPr>
    </w:tblStylePr>
    <w:tblStylePr w:type="lastCol">
      <w:rPr>
        <w:b/>
        <w:bCs/>
      </w:rPr>
    </w:tblStylePr>
    <w:tblStylePr w:type="band1Vert">
      <w:tblPr/>
      <w:tcPr>
        <w:shd w:val="clear" w:color="auto" w:fill="B8D8F9" w:themeFill="accent1" w:themeFillTint="33"/>
      </w:tcPr>
    </w:tblStylePr>
    <w:tblStylePr w:type="band1Horz">
      <w:tblPr/>
      <w:tcPr>
        <w:shd w:val="clear" w:color="auto" w:fill="B8D8F9" w:themeFill="accent1" w:themeFillTint="33"/>
      </w:tcPr>
    </w:tblStylePr>
  </w:style>
  <w:style w:type="paragraph" w:customStyle="1" w:styleId="Copiadeltextoprincipal">
    <w:name w:val="Copia del texto principal"/>
    <w:basedOn w:val="Normal"/>
    <w:qFormat/>
    <w:rsid w:val="000B4BAD"/>
    <w:pPr>
      <w:suppressAutoHyphens w:val="0"/>
      <w:spacing w:before="0" w:after="0"/>
      <w:jc w:val="left"/>
    </w:pPr>
    <w:rPr>
      <w:rFonts w:ascii="Segoe Condensed" w:eastAsia="Segoe Condensed" w:hAnsi="Segoe Condensed" w:cs="Times New Roman"/>
      <w:color w:val="auto"/>
      <w:spacing w:val="8"/>
      <w:sz w:val="16"/>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88426">
      <w:bodyDiv w:val="1"/>
      <w:marLeft w:val="0"/>
      <w:marRight w:val="0"/>
      <w:marTop w:val="0"/>
      <w:marBottom w:val="0"/>
      <w:divBdr>
        <w:top w:val="none" w:sz="0" w:space="0" w:color="auto"/>
        <w:left w:val="none" w:sz="0" w:space="0" w:color="auto"/>
        <w:bottom w:val="none" w:sz="0" w:space="0" w:color="auto"/>
        <w:right w:val="none" w:sz="0" w:space="0" w:color="auto"/>
      </w:divBdr>
    </w:div>
    <w:div w:id="130246626">
      <w:bodyDiv w:val="1"/>
      <w:marLeft w:val="0"/>
      <w:marRight w:val="0"/>
      <w:marTop w:val="0"/>
      <w:marBottom w:val="0"/>
      <w:divBdr>
        <w:top w:val="none" w:sz="0" w:space="0" w:color="auto"/>
        <w:left w:val="none" w:sz="0" w:space="0" w:color="auto"/>
        <w:bottom w:val="none" w:sz="0" w:space="0" w:color="auto"/>
        <w:right w:val="none" w:sz="0" w:space="0" w:color="auto"/>
      </w:divBdr>
    </w:div>
    <w:div w:id="144665574">
      <w:bodyDiv w:val="1"/>
      <w:marLeft w:val="0"/>
      <w:marRight w:val="0"/>
      <w:marTop w:val="0"/>
      <w:marBottom w:val="0"/>
      <w:divBdr>
        <w:top w:val="none" w:sz="0" w:space="0" w:color="auto"/>
        <w:left w:val="none" w:sz="0" w:space="0" w:color="auto"/>
        <w:bottom w:val="none" w:sz="0" w:space="0" w:color="auto"/>
        <w:right w:val="none" w:sz="0" w:space="0" w:color="auto"/>
      </w:divBdr>
    </w:div>
    <w:div w:id="180516234">
      <w:bodyDiv w:val="1"/>
      <w:marLeft w:val="0"/>
      <w:marRight w:val="0"/>
      <w:marTop w:val="0"/>
      <w:marBottom w:val="0"/>
      <w:divBdr>
        <w:top w:val="none" w:sz="0" w:space="0" w:color="auto"/>
        <w:left w:val="none" w:sz="0" w:space="0" w:color="auto"/>
        <w:bottom w:val="none" w:sz="0" w:space="0" w:color="auto"/>
        <w:right w:val="none" w:sz="0" w:space="0" w:color="auto"/>
      </w:divBdr>
    </w:div>
    <w:div w:id="228810776">
      <w:bodyDiv w:val="1"/>
      <w:marLeft w:val="0"/>
      <w:marRight w:val="0"/>
      <w:marTop w:val="0"/>
      <w:marBottom w:val="0"/>
      <w:divBdr>
        <w:top w:val="none" w:sz="0" w:space="0" w:color="auto"/>
        <w:left w:val="none" w:sz="0" w:space="0" w:color="auto"/>
        <w:bottom w:val="none" w:sz="0" w:space="0" w:color="auto"/>
        <w:right w:val="none" w:sz="0" w:space="0" w:color="auto"/>
      </w:divBdr>
    </w:div>
    <w:div w:id="255095005">
      <w:bodyDiv w:val="1"/>
      <w:marLeft w:val="0"/>
      <w:marRight w:val="0"/>
      <w:marTop w:val="0"/>
      <w:marBottom w:val="0"/>
      <w:divBdr>
        <w:top w:val="none" w:sz="0" w:space="0" w:color="auto"/>
        <w:left w:val="none" w:sz="0" w:space="0" w:color="auto"/>
        <w:bottom w:val="none" w:sz="0" w:space="0" w:color="auto"/>
        <w:right w:val="none" w:sz="0" w:space="0" w:color="auto"/>
      </w:divBdr>
    </w:div>
    <w:div w:id="286544126">
      <w:bodyDiv w:val="1"/>
      <w:marLeft w:val="0"/>
      <w:marRight w:val="0"/>
      <w:marTop w:val="0"/>
      <w:marBottom w:val="0"/>
      <w:divBdr>
        <w:top w:val="none" w:sz="0" w:space="0" w:color="auto"/>
        <w:left w:val="none" w:sz="0" w:space="0" w:color="auto"/>
        <w:bottom w:val="none" w:sz="0" w:space="0" w:color="auto"/>
        <w:right w:val="none" w:sz="0" w:space="0" w:color="auto"/>
      </w:divBdr>
    </w:div>
    <w:div w:id="300042578">
      <w:bodyDiv w:val="1"/>
      <w:marLeft w:val="0"/>
      <w:marRight w:val="0"/>
      <w:marTop w:val="0"/>
      <w:marBottom w:val="0"/>
      <w:divBdr>
        <w:top w:val="none" w:sz="0" w:space="0" w:color="auto"/>
        <w:left w:val="none" w:sz="0" w:space="0" w:color="auto"/>
        <w:bottom w:val="none" w:sz="0" w:space="0" w:color="auto"/>
        <w:right w:val="none" w:sz="0" w:space="0" w:color="auto"/>
      </w:divBdr>
    </w:div>
    <w:div w:id="340932484">
      <w:bodyDiv w:val="1"/>
      <w:marLeft w:val="0"/>
      <w:marRight w:val="0"/>
      <w:marTop w:val="0"/>
      <w:marBottom w:val="0"/>
      <w:divBdr>
        <w:top w:val="none" w:sz="0" w:space="0" w:color="auto"/>
        <w:left w:val="none" w:sz="0" w:space="0" w:color="auto"/>
        <w:bottom w:val="none" w:sz="0" w:space="0" w:color="auto"/>
        <w:right w:val="none" w:sz="0" w:space="0" w:color="auto"/>
      </w:divBdr>
    </w:div>
    <w:div w:id="358970908">
      <w:bodyDiv w:val="1"/>
      <w:marLeft w:val="0"/>
      <w:marRight w:val="0"/>
      <w:marTop w:val="0"/>
      <w:marBottom w:val="0"/>
      <w:divBdr>
        <w:top w:val="none" w:sz="0" w:space="0" w:color="auto"/>
        <w:left w:val="none" w:sz="0" w:space="0" w:color="auto"/>
        <w:bottom w:val="none" w:sz="0" w:space="0" w:color="auto"/>
        <w:right w:val="none" w:sz="0" w:space="0" w:color="auto"/>
      </w:divBdr>
    </w:div>
    <w:div w:id="466050954">
      <w:bodyDiv w:val="1"/>
      <w:marLeft w:val="0"/>
      <w:marRight w:val="0"/>
      <w:marTop w:val="0"/>
      <w:marBottom w:val="0"/>
      <w:divBdr>
        <w:top w:val="none" w:sz="0" w:space="0" w:color="auto"/>
        <w:left w:val="none" w:sz="0" w:space="0" w:color="auto"/>
        <w:bottom w:val="none" w:sz="0" w:space="0" w:color="auto"/>
        <w:right w:val="none" w:sz="0" w:space="0" w:color="auto"/>
      </w:divBdr>
    </w:div>
    <w:div w:id="475995288">
      <w:bodyDiv w:val="1"/>
      <w:marLeft w:val="0"/>
      <w:marRight w:val="0"/>
      <w:marTop w:val="0"/>
      <w:marBottom w:val="0"/>
      <w:divBdr>
        <w:top w:val="none" w:sz="0" w:space="0" w:color="auto"/>
        <w:left w:val="none" w:sz="0" w:space="0" w:color="auto"/>
        <w:bottom w:val="none" w:sz="0" w:space="0" w:color="auto"/>
        <w:right w:val="none" w:sz="0" w:space="0" w:color="auto"/>
      </w:divBdr>
    </w:div>
    <w:div w:id="518662856">
      <w:bodyDiv w:val="1"/>
      <w:marLeft w:val="0"/>
      <w:marRight w:val="0"/>
      <w:marTop w:val="0"/>
      <w:marBottom w:val="0"/>
      <w:divBdr>
        <w:top w:val="none" w:sz="0" w:space="0" w:color="auto"/>
        <w:left w:val="none" w:sz="0" w:space="0" w:color="auto"/>
        <w:bottom w:val="none" w:sz="0" w:space="0" w:color="auto"/>
        <w:right w:val="none" w:sz="0" w:space="0" w:color="auto"/>
      </w:divBdr>
    </w:div>
    <w:div w:id="570770796">
      <w:bodyDiv w:val="1"/>
      <w:marLeft w:val="0"/>
      <w:marRight w:val="0"/>
      <w:marTop w:val="0"/>
      <w:marBottom w:val="0"/>
      <w:divBdr>
        <w:top w:val="none" w:sz="0" w:space="0" w:color="auto"/>
        <w:left w:val="none" w:sz="0" w:space="0" w:color="auto"/>
        <w:bottom w:val="none" w:sz="0" w:space="0" w:color="auto"/>
        <w:right w:val="none" w:sz="0" w:space="0" w:color="auto"/>
      </w:divBdr>
    </w:div>
    <w:div w:id="596865555">
      <w:bodyDiv w:val="1"/>
      <w:marLeft w:val="0"/>
      <w:marRight w:val="0"/>
      <w:marTop w:val="0"/>
      <w:marBottom w:val="0"/>
      <w:divBdr>
        <w:top w:val="none" w:sz="0" w:space="0" w:color="auto"/>
        <w:left w:val="none" w:sz="0" w:space="0" w:color="auto"/>
        <w:bottom w:val="none" w:sz="0" w:space="0" w:color="auto"/>
        <w:right w:val="none" w:sz="0" w:space="0" w:color="auto"/>
      </w:divBdr>
      <w:divsChild>
        <w:div w:id="1292595266">
          <w:marLeft w:val="547"/>
          <w:marRight w:val="0"/>
          <w:marTop w:val="0"/>
          <w:marBottom w:val="0"/>
          <w:divBdr>
            <w:top w:val="none" w:sz="0" w:space="0" w:color="auto"/>
            <w:left w:val="none" w:sz="0" w:space="0" w:color="auto"/>
            <w:bottom w:val="none" w:sz="0" w:space="0" w:color="auto"/>
            <w:right w:val="none" w:sz="0" w:space="0" w:color="auto"/>
          </w:divBdr>
        </w:div>
        <w:div w:id="1816406130">
          <w:marLeft w:val="1166"/>
          <w:marRight w:val="0"/>
          <w:marTop w:val="0"/>
          <w:marBottom w:val="0"/>
          <w:divBdr>
            <w:top w:val="none" w:sz="0" w:space="0" w:color="auto"/>
            <w:left w:val="none" w:sz="0" w:space="0" w:color="auto"/>
            <w:bottom w:val="none" w:sz="0" w:space="0" w:color="auto"/>
            <w:right w:val="none" w:sz="0" w:space="0" w:color="auto"/>
          </w:divBdr>
        </w:div>
        <w:div w:id="1892418868">
          <w:marLeft w:val="1166"/>
          <w:marRight w:val="0"/>
          <w:marTop w:val="0"/>
          <w:marBottom w:val="0"/>
          <w:divBdr>
            <w:top w:val="none" w:sz="0" w:space="0" w:color="auto"/>
            <w:left w:val="none" w:sz="0" w:space="0" w:color="auto"/>
            <w:bottom w:val="none" w:sz="0" w:space="0" w:color="auto"/>
            <w:right w:val="none" w:sz="0" w:space="0" w:color="auto"/>
          </w:divBdr>
        </w:div>
        <w:div w:id="1565677228">
          <w:marLeft w:val="1166"/>
          <w:marRight w:val="0"/>
          <w:marTop w:val="0"/>
          <w:marBottom w:val="0"/>
          <w:divBdr>
            <w:top w:val="none" w:sz="0" w:space="0" w:color="auto"/>
            <w:left w:val="none" w:sz="0" w:space="0" w:color="auto"/>
            <w:bottom w:val="none" w:sz="0" w:space="0" w:color="auto"/>
            <w:right w:val="none" w:sz="0" w:space="0" w:color="auto"/>
          </w:divBdr>
        </w:div>
        <w:div w:id="976951486">
          <w:marLeft w:val="1166"/>
          <w:marRight w:val="0"/>
          <w:marTop w:val="0"/>
          <w:marBottom w:val="0"/>
          <w:divBdr>
            <w:top w:val="none" w:sz="0" w:space="0" w:color="auto"/>
            <w:left w:val="none" w:sz="0" w:space="0" w:color="auto"/>
            <w:bottom w:val="none" w:sz="0" w:space="0" w:color="auto"/>
            <w:right w:val="none" w:sz="0" w:space="0" w:color="auto"/>
          </w:divBdr>
        </w:div>
        <w:div w:id="1409497256">
          <w:marLeft w:val="1166"/>
          <w:marRight w:val="0"/>
          <w:marTop w:val="0"/>
          <w:marBottom w:val="0"/>
          <w:divBdr>
            <w:top w:val="none" w:sz="0" w:space="0" w:color="auto"/>
            <w:left w:val="none" w:sz="0" w:space="0" w:color="auto"/>
            <w:bottom w:val="none" w:sz="0" w:space="0" w:color="auto"/>
            <w:right w:val="none" w:sz="0" w:space="0" w:color="auto"/>
          </w:divBdr>
        </w:div>
      </w:divsChild>
    </w:div>
    <w:div w:id="598560056">
      <w:bodyDiv w:val="1"/>
      <w:marLeft w:val="0"/>
      <w:marRight w:val="0"/>
      <w:marTop w:val="0"/>
      <w:marBottom w:val="0"/>
      <w:divBdr>
        <w:top w:val="none" w:sz="0" w:space="0" w:color="auto"/>
        <w:left w:val="none" w:sz="0" w:space="0" w:color="auto"/>
        <w:bottom w:val="none" w:sz="0" w:space="0" w:color="auto"/>
        <w:right w:val="none" w:sz="0" w:space="0" w:color="auto"/>
      </w:divBdr>
    </w:div>
    <w:div w:id="605239037">
      <w:bodyDiv w:val="1"/>
      <w:marLeft w:val="0"/>
      <w:marRight w:val="0"/>
      <w:marTop w:val="0"/>
      <w:marBottom w:val="0"/>
      <w:divBdr>
        <w:top w:val="none" w:sz="0" w:space="0" w:color="auto"/>
        <w:left w:val="none" w:sz="0" w:space="0" w:color="auto"/>
        <w:bottom w:val="none" w:sz="0" w:space="0" w:color="auto"/>
        <w:right w:val="none" w:sz="0" w:space="0" w:color="auto"/>
      </w:divBdr>
    </w:div>
    <w:div w:id="605625154">
      <w:bodyDiv w:val="1"/>
      <w:marLeft w:val="0"/>
      <w:marRight w:val="0"/>
      <w:marTop w:val="0"/>
      <w:marBottom w:val="0"/>
      <w:divBdr>
        <w:top w:val="none" w:sz="0" w:space="0" w:color="auto"/>
        <w:left w:val="none" w:sz="0" w:space="0" w:color="auto"/>
        <w:bottom w:val="none" w:sz="0" w:space="0" w:color="auto"/>
        <w:right w:val="none" w:sz="0" w:space="0" w:color="auto"/>
      </w:divBdr>
    </w:div>
    <w:div w:id="618922406">
      <w:bodyDiv w:val="1"/>
      <w:marLeft w:val="0"/>
      <w:marRight w:val="0"/>
      <w:marTop w:val="0"/>
      <w:marBottom w:val="0"/>
      <w:divBdr>
        <w:top w:val="none" w:sz="0" w:space="0" w:color="auto"/>
        <w:left w:val="none" w:sz="0" w:space="0" w:color="auto"/>
        <w:bottom w:val="none" w:sz="0" w:space="0" w:color="auto"/>
        <w:right w:val="none" w:sz="0" w:space="0" w:color="auto"/>
      </w:divBdr>
    </w:div>
    <w:div w:id="645165693">
      <w:bodyDiv w:val="1"/>
      <w:marLeft w:val="0"/>
      <w:marRight w:val="0"/>
      <w:marTop w:val="0"/>
      <w:marBottom w:val="0"/>
      <w:divBdr>
        <w:top w:val="none" w:sz="0" w:space="0" w:color="auto"/>
        <w:left w:val="none" w:sz="0" w:space="0" w:color="auto"/>
        <w:bottom w:val="none" w:sz="0" w:space="0" w:color="auto"/>
        <w:right w:val="none" w:sz="0" w:space="0" w:color="auto"/>
      </w:divBdr>
      <w:divsChild>
        <w:div w:id="491530116">
          <w:marLeft w:val="547"/>
          <w:marRight w:val="0"/>
          <w:marTop w:val="0"/>
          <w:marBottom w:val="0"/>
          <w:divBdr>
            <w:top w:val="none" w:sz="0" w:space="0" w:color="auto"/>
            <w:left w:val="none" w:sz="0" w:space="0" w:color="auto"/>
            <w:bottom w:val="none" w:sz="0" w:space="0" w:color="auto"/>
            <w:right w:val="none" w:sz="0" w:space="0" w:color="auto"/>
          </w:divBdr>
        </w:div>
        <w:div w:id="990869762">
          <w:marLeft w:val="1166"/>
          <w:marRight w:val="0"/>
          <w:marTop w:val="0"/>
          <w:marBottom w:val="0"/>
          <w:divBdr>
            <w:top w:val="none" w:sz="0" w:space="0" w:color="auto"/>
            <w:left w:val="none" w:sz="0" w:space="0" w:color="auto"/>
            <w:bottom w:val="none" w:sz="0" w:space="0" w:color="auto"/>
            <w:right w:val="none" w:sz="0" w:space="0" w:color="auto"/>
          </w:divBdr>
        </w:div>
        <w:div w:id="1998264433">
          <w:marLeft w:val="1166"/>
          <w:marRight w:val="0"/>
          <w:marTop w:val="0"/>
          <w:marBottom w:val="0"/>
          <w:divBdr>
            <w:top w:val="none" w:sz="0" w:space="0" w:color="auto"/>
            <w:left w:val="none" w:sz="0" w:space="0" w:color="auto"/>
            <w:bottom w:val="none" w:sz="0" w:space="0" w:color="auto"/>
            <w:right w:val="none" w:sz="0" w:space="0" w:color="auto"/>
          </w:divBdr>
        </w:div>
      </w:divsChild>
    </w:div>
    <w:div w:id="676075192">
      <w:bodyDiv w:val="1"/>
      <w:marLeft w:val="0"/>
      <w:marRight w:val="0"/>
      <w:marTop w:val="0"/>
      <w:marBottom w:val="0"/>
      <w:divBdr>
        <w:top w:val="none" w:sz="0" w:space="0" w:color="auto"/>
        <w:left w:val="none" w:sz="0" w:space="0" w:color="auto"/>
        <w:bottom w:val="none" w:sz="0" w:space="0" w:color="auto"/>
        <w:right w:val="none" w:sz="0" w:space="0" w:color="auto"/>
      </w:divBdr>
    </w:div>
    <w:div w:id="709493344">
      <w:bodyDiv w:val="1"/>
      <w:marLeft w:val="0"/>
      <w:marRight w:val="0"/>
      <w:marTop w:val="0"/>
      <w:marBottom w:val="0"/>
      <w:divBdr>
        <w:top w:val="none" w:sz="0" w:space="0" w:color="auto"/>
        <w:left w:val="none" w:sz="0" w:space="0" w:color="auto"/>
        <w:bottom w:val="none" w:sz="0" w:space="0" w:color="auto"/>
        <w:right w:val="none" w:sz="0" w:space="0" w:color="auto"/>
      </w:divBdr>
    </w:div>
    <w:div w:id="721289760">
      <w:bodyDiv w:val="1"/>
      <w:marLeft w:val="0"/>
      <w:marRight w:val="0"/>
      <w:marTop w:val="0"/>
      <w:marBottom w:val="0"/>
      <w:divBdr>
        <w:top w:val="none" w:sz="0" w:space="0" w:color="auto"/>
        <w:left w:val="none" w:sz="0" w:space="0" w:color="auto"/>
        <w:bottom w:val="none" w:sz="0" w:space="0" w:color="auto"/>
        <w:right w:val="none" w:sz="0" w:space="0" w:color="auto"/>
      </w:divBdr>
    </w:div>
    <w:div w:id="745037098">
      <w:bodyDiv w:val="1"/>
      <w:marLeft w:val="0"/>
      <w:marRight w:val="0"/>
      <w:marTop w:val="0"/>
      <w:marBottom w:val="0"/>
      <w:divBdr>
        <w:top w:val="none" w:sz="0" w:space="0" w:color="auto"/>
        <w:left w:val="none" w:sz="0" w:space="0" w:color="auto"/>
        <w:bottom w:val="none" w:sz="0" w:space="0" w:color="auto"/>
        <w:right w:val="none" w:sz="0" w:space="0" w:color="auto"/>
      </w:divBdr>
    </w:div>
    <w:div w:id="751781733">
      <w:bodyDiv w:val="1"/>
      <w:marLeft w:val="0"/>
      <w:marRight w:val="0"/>
      <w:marTop w:val="0"/>
      <w:marBottom w:val="0"/>
      <w:divBdr>
        <w:top w:val="none" w:sz="0" w:space="0" w:color="auto"/>
        <w:left w:val="none" w:sz="0" w:space="0" w:color="auto"/>
        <w:bottom w:val="none" w:sz="0" w:space="0" w:color="auto"/>
        <w:right w:val="none" w:sz="0" w:space="0" w:color="auto"/>
      </w:divBdr>
    </w:div>
    <w:div w:id="779878444">
      <w:bodyDiv w:val="1"/>
      <w:marLeft w:val="0"/>
      <w:marRight w:val="0"/>
      <w:marTop w:val="0"/>
      <w:marBottom w:val="0"/>
      <w:divBdr>
        <w:top w:val="none" w:sz="0" w:space="0" w:color="auto"/>
        <w:left w:val="none" w:sz="0" w:space="0" w:color="auto"/>
        <w:bottom w:val="none" w:sz="0" w:space="0" w:color="auto"/>
        <w:right w:val="none" w:sz="0" w:space="0" w:color="auto"/>
      </w:divBdr>
    </w:div>
    <w:div w:id="822087660">
      <w:bodyDiv w:val="1"/>
      <w:marLeft w:val="0"/>
      <w:marRight w:val="0"/>
      <w:marTop w:val="0"/>
      <w:marBottom w:val="0"/>
      <w:divBdr>
        <w:top w:val="none" w:sz="0" w:space="0" w:color="auto"/>
        <w:left w:val="none" w:sz="0" w:space="0" w:color="auto"/>
        <w:bottom w:val="none" w:sz="0" w:space="0" w:color="auto"/>
        <w:right w:val="none" w:sz="0" w:space="0" w:color="auto"/>
      </w:divBdr>
    </w:div>
    <w:div w:id="856117149">
      <w:bodyDiv w:val="1"/>
      <w:marLeft w:val="0"/>
      <w:marRight w:val="0"/>
      <w:marTop w:val="0"/>
      <w:marBottom w:val="0"/>
      <w:divBdr>
        <w:top w:val="none" w:sz="0" w:space="0" w:color="auto"/>
        <w:left w:val="none" w:sz="0" w:space="0" w:color="auto"/>
        <w:bottom w:val="none" w:sz="0" w:space="0" w:color="auto"/>
        <w:right w:val="none" w:sz="0" w:space="0" w:color="auto"/>
      </w:divBdr>
    </w:div>
    <w:div w:id="872109925">
      <w:bodyDiv w:val="1"/>
      <w:marLeft w:val="0"/>
      <w:marRight w:val="0"/>
      <w:marTop w:val="0"/>
      <w:marBottom w:val="0"/>
      <w:divBdr>
        <w:top w:val="none" w:sz="0" w:space="0" w:color="auto"/>
        <w:left w:val="none" w:sz="0" w:space="0" w:color="auto"/>
        <w:bottom w:val="none" w:sz="0" w:space="0" w:color="auto"/>
        <w:right w:val="none" w:sz="0" w:space="0" w:color="auto"/>
      </w:divBdr>
      <w:divsChild>
        <w:div w:id="543369049">
          <w:marLeft w:val="547"/>
          <w:marRight w:val="0"/>
          <w:marTop w:val="0"/>
          <w:marBottom w:val="0"/>
          <w:divBdr>
            <w:top w:val="none" w:sz="0" w:space="0" w:color="auto"/>
            <w:left w:val="none" w:sz="0" w:space="0" w:color="auto"/>
            <w:bottom w:val="none" w:sz="0" w:space="0" w:color="auto"/>
            <w:right w:val="none" w:sz="0" w:space="0" w:color="auto"/>
          </w:divBdr>
        </w:div>
        <w:div w:id="973103551">
          <w:marLeft w:val="1166"/>
          <w:marRight w:val="0"/>
          <w:marTop w:val="0"/>
          <w:marBottom w:val="0"/>
          <w:divBdr>
            <w:top w:val="none" w:sz="0" w:space="0" w:color="auto"/>
            <w:left w:val="none" w:sz="0" w:space="0" w:color="auto"/>
            <w:bottom w:val="none" w:sz="0" w:space="0" w:color="auto"/>
            <w:right w:val="none" w:sz="0" w:space="0" w:color="auto"/>
          </w:divBdr>
        </w:div>
        <w:div w:id="1664047218">
          <w:marLeft w:val="1166"/>
          <w:marRight w:val="0"/>
          <w:marTop w:val="0"/>
          <w:marBottom w:val="0"/>
          <w:divBdr>
            <w:top w:val="none" w:sz="0" w:space="0" w:color="auto"/>
            <w:left w:val="none" w:sz="0" w:space="0" w:color="auto"/>
            <w:bottom w:val="none" w:sz="0" w:space="0" w:color="auto"/>
            <w:right w:val="none" w:sz="0" w:space="0" w:color="auto"/>
          </w:divBdr>
        </w:div>
      </w:divsChild>
    </w:div>
    <w:div w:id="889416667">
      <w:bodyDiv w:val="1"/>
      <w:marLeft w:val="0"/>
      <w:marRight w:val="0"/>
      <w:marTop w:val="0"/>
      <w:marBottom w:val="0"/>
      <w:divBdr>
        <w:top w:val="none" w:sz="0" w:space="0" w:color="auto"/>
        <w:left w:val="none" w:sz="0" w:space="0" w:color="auto"/>
        <w:bottom w:val="none" w:sz="0" w:space="0" w:color="auto"/>
        <w:right w:val="none" w:sz="0" w:space="0" w:color="auto"/>
      </w:divBdr>
    </w:div>
    <w:div w:id="895507723">
      <w:bodyDiv w:val="1"/>
      <w:marLeft w:val="0"/>
      <w:marRight w:val="0"/>
      <w:marTop w:val="0"/>
      <w:marBottom w:val="0"/>
      <w:divBdr>
        <w:top w:val="none" w:sz="0" w:space="0" w:color="auto"/>
        <w:left w:val="none" w:sz="0" w:space="0" w:color="auto"/>
        <w:bottom w:val="none" w:sz="0" w:space="0" w:color="auto"/>
        <w:right w:val="none" w:sz="0" w:space="0" w:color="auto"/>
      </w:divBdr>
    </w:div>
    <w:div w:id="896860161">
      <w:bodyDiv w:val="1"/>
      <w:marLeft w:val="0"/>
      <w:marRight w:val="0"/>
      <w:marTop w:val="0"/>
      <w:marBottom w:val="0"/>
      <w:divBdr>
        <w:top w:val="none" w:sz="0" w:space="0" w:color="auto"/>
        <w:left w:val="none" w:sz="0" w:space="0" w:color="auto"/>
        <w:bottom w:val="none" w:sz="0" w:space="0" w:color="auto"/>
        <w:right w:val="none" w:sz="0" w:space="0" w:color="auto"/>
      </w:divBdr>
    </w:div>
    <w:div w:id="921790881">
      <w:bodyDiv w:val="1"/>
      <w:marLeft w:val="0"/>
      <w:marRight w:val="0"/>
      <w:marTop w:val="0"/>
      <w:marBottom w:val="0"/>
      <w:divBdr>
        <w:top w:val="none" w:sz="0" w:space="0" w:color="auto"/>
        <w:left w:val="none" w:sz="0" w:space="0" w:color="auto"/>
        <w:bottom w:val="none" w:sz="0" w:space="0" w:color="auto"/>
        <w:right w:val="none" w:sz="0" w:space="0" w:color="auto"/>
      </w:divBdr>
    </w:div>
    <w:div w:id="928077401">
      <w:bodyDiv w:val="1"/>
      <w:marLeft w:val="0"/>
      <w:marRight w:val="0"/>
      <w:marTop w:val="0"/>
      <w:marBottom w:val="0"/>
      <w:divBdr>
        <w:top w:val="none" w:sz="0" w:space="0" w:color="auto"/>
        <w:left w:val="none" w:sz="0" w:space="0" w:color="auto"/>
        <w:bottom w:val="none" w:sz="0" w:space="0" w:color="auto"/>
        <w:right w:val="none" w:sz="0" w:space="0" w:color="auto"/>
      </w:divBdr>
    </w:div>
    <w:div w:id="956446151">
      <w:bodyDiv w:val="1"/>
      <w:marLeft w:val="0"/>
      <w:marRight w:val="0"/>
      <w:marTop w:val="0"/>
      <w:marBottom w:val="0"/>
      <w:divBdr>
        <w:top w:val="none" w:sz="0" w:space="0" w:color="auto"/>
        <w:left w:val="none" w:sz="0" w:space="0" w:color="auto"/>
        <w:bottom w:val="none" w:sz="0" w:space="0" w:color="auto"/>
        <w:right w:val="none" w:sz="0" w:space="0" w:color="auto"/>
      </w:divBdr>
    </w:div>
    <w:div w:id="982199439">
      <w:bodyDiv w:val="1"/>
      <w:marLeft w:val="0"/>
      <w:marRight w:val="0"/>
      <w:marTop w:val="0"/>
      <w:marBottom w:val="0"/>
      <w:divBdr>
        <w:top w:val="none" w:sz="0" w:space="0" w:color="auto"/>
        <w:left w:val="none" w:sz="0" w:space="0" w:color="auto"/>
        <w:bottom w:val="none" w:sz="0" w:space="0" w:color="auto"/>
        <w:right w:val="none" w:sz="0" w:space="0" w:color="auto"/>
      </w:divBdr>
    </w:div>
    <w:div w:id="1039209598">
      <w:bodyDiv w:val="1"/>
      <w:marLeft w:val="0"/>
      <w:marRight w:val="0"/>
      <w:marTop w:val="0"/>
      <w:marBottom w:val="0"/>
      <w:divBdr>
        <w:top w:val="none" w:sz="0" w:space="0" w:color="auto"/>
        <w:left w:val="none" w:sz="0" w:space="0" w:color="auto"/>
        <w:bottom w:val="none" w:sz="0" w:space="0" w:color="auto"/>
        <w:right w:val="none" w:sz="0" w:space="0" w:color="auto"/>
      </w:divBdr>
    </w:div>
    <w:div w:id="1061295885">
      <w:bodyDiv w:val="1"/>
      <w:marLeft w:val="0"/>
      <w:marRight w:val="0"/>
      <w:marTop w:val="0"/>
      <w:marBottom w:val="0"/>
      <w:divBdr>
        <w:top w:val="none" w:sz="0" w:space="0" w:color="auto"/>
        <w:left w:val="none" w:sz="0" w:space="0" w:color="auto"/>
        <w:bottom w:val="none" w:sz="0" w:space="0" w:color="auto"/>
        <w:right w:val="none" w:sz="0" w:space="0" w:color="auto"/>
      </w:divBdr>
    </w:div>
    <w:div w:id="1112895102">
      <w:bodyDiv w:val="1"/>
      <w:marLeft w:val="0"/>
      <w:marRight w:val="0"/>
      <w:marTop w:val="0"/>
      <w:marBottom w:val="0"/>
      <w:divBdr>
        <w:top w:val="none" w:sz="0" w:space="0" w:color="auto"/>
        <w:left w:val="none" w:sz="0" w:space="0" w:color="auto"/>
        <w:bottom w:val="none" w:sz="0" w:space="0" w:color="auto"/>
        <w:right w:val="none" w:sz="0" w:space="0" w:color="auto"/>
      </w:divBdr>
    </w:div>
    <w:div w:id="1133712451">
      <w:bodyDiv w:val="1"/>
      <w:marLeft w:val="0"/>
      <w:marRight w:val="0"/>
      <w:marTop w:val="0"/>
      <w:marBottom w:val="0"/>
      <w:divBdr>
        <w:top w:val="none" w:sz="0" w:space="0" w:color="auto"/>
        <w:left w:val="none" w:sz="0" w:space="0" w:color="auto"/>
        <w:bottom w:val="none" w:sz="0" w:space="0" w:color="auto"/>
        <w:right w:val="none" w:sz="0" w:space="0" w:color="auto"/>
      </w:divBdr>
    </w:div>
    <w:div w:id="1135754868">
      <w:bodyDiv w:val="1"/>
      <w:marLeft w:val="0"/>
      <w:marRight w:val="0"/>
      <w:marTop w:val="0"/>
      <w:marBottom w:val="0"/>
      <w:divBdr>
        <w:top w:val="none" w:sz="0" w:space="0" w:color="auto"/>
        <w:left w:val="none" w:sz="0" w:space="0" w:color="auto"/>
        <w:bottom w:val="none" w:sz="0" w:space="0" w:color="auto"/>
        <w:right w:val="none" w:sz="0" w:space="0" w:color="auto"/>
      </w:divBdr>
    </w:div>
    <w:div w:id="1162819028">
      <w:bodyDiv w:val="1"/>
      <w:marLeft w:val="0"/>
      <w:marRight w:val="0"/>
      <w:marTop w:val="0"/>
      <w:marBottom w:val="0"/>
      <w:divBdr>
        <w:top w:val="none" w:sz="0" w:space="0" w:color="auto"/>
        <w:left w:val="none" w:sz="0" w:space="0" w:color="auto"/>
        <w:bottom w:val="none" w:sz="0" w:space="0" w:color="auto"/>
        <w:right w:val="none" w:sz="0" w:space="0" w:color="auto"/>
      </w:divBdr>
    </w:div>
    <w:div w:id="1163351472">
      <w:bodyDiv w:val="1"/>
      <w:marLeft w:val="0"/>
      <w:marRight w:val="0"/>
      <w:marTop w:val="0"/>
      <w:marBottom w:val="0"/>
      <w:divBdr>
        <w:top w:val="none" w:sz="0" w:space="0" w:color="auto"/>
        <w:left w:val="none" w:sz="0" w:space="0" w:color="auto"/>
        <w:bottom w:val="none" w:sz="0" w:space="0" w:color="auto"/>
        <w:right w:val="none" w:sz="0" w:space="0" w:color="auto"/>
      </w:divBdr>
    </w:div>
    <w:div w:id="1190217630">
      <w:bodyDiv w:val="1"/>
      <w:marLeft w:val="0"/>
      <w:marRight w:val="0"/>
      <w:marTop w:val="0"/>
      <w:marBottom w:val="0"/>
      <w:divBdr>
        <w:top w:val="none" w:sz="0" w:space="0" w:color="auto"/>
        <w:left w:val="none" w:sz="0" w:space="0" w:color="auto"/>
        <w:bottom w:val="none" w:sz="0" w:space="0" w:color="auto"/>
        <w:right w:val="none" w:sz="0" w:space="0" w:color="auto"/>
      </w:divBdr>
    </w:div>
    <w:div w:id="1230843754">
      <w:bodyDiv w:val="1"/>
      <w:marLeft w:val="0"/>
      <w:marRight w:val="0"/>
      <w:marTop w:val="0"/>
      <w:marBottom w:val="0"/>
      <w:divBdr>
        <w:top w:val="none" w:sz="0" w:space="0" w:color="auto"/>
        <w:left w:val="none" w:sz="0" w:space="0" w:color="auto"/>
        <w:bottom w:val="none" w:sz="0" w:space="0" w:color="auto"/>
        <w:right w:val="none" w:sz="0" w:space="0" w:color="auto"/>
      </w:divBdr>
    </w:div>
    <w:div w:id="1253320583">
      <w:bodyDiv w:val="1"/>
      <w:marLeft w:val="0"/>
      <w:marRight w:val="0"/>
      <w:marTop w:val="0"/>
      <w:marBottom w:val="0"/>
      <w:divBdr>
        <w:top w:val="none" w:sz="0" w:space="0" w:color="auto"/>
        <w:left w:val="none" w:sz="0" w:space="0" w:color="auto"/>
        <w:bottom w:val="none" w:sz="0" w:space="0" w:color="auto"/>
        <w:right w:val="none" w:sz="0" w:space="0" w:color="auto"/>
      </w:divBdr>
      <w:divsChild>
        <w:div w:id="1735002595">
          <w:marLeft w:val="547"/>
          <w:marRight w:val="0"/>
          <w:marTop w:val="0"/>
          <w:marBottom w:val="0"/>
          <w:divBdr>
            <w:top w:val="none" w:sz="0" w:space="0" w:color="auto"/>
            <w:left w:val="none" w:sz="0" w:space="0" w:color="auto"/>
            <w:bottom w:val="none" w:sz="0" w:space="0" w:color="auto"/>
            <w:right w:val="none" w:sz="0" w:space="0" w:color="auto"/>
          </w:divBdr>
        </w:div>
        <w:div w:id="2000645739">
          <w:marLeft w:val="1166"/>
          <w:marRight w:val="0"/>
          <w:marTop w:val="0"/>
          <w:marBottom w:val="0"/>
          <w:divBdr>
            <w:top w:val="none" w:sz="0" w:space="0" w:color="auto"/>
            <w:left w:val="none" w:sz="0" w:space="0" w:color="auto"/>
            <w:bottom w:val="none" w:sz="0" w:space="0" w:color="auto"/>
            <w:right w:val="none" w:sz="0" w:space="0" w:color="auto"/>
          </w:divBdr>
        </w:div>
        <w:div w:id="1312055378">
          <w:marLeft w:val="1166"/>
          <w:marRight w:val="0"/>
          <w:marTop w:val="0"/>
          <w:marBottom w:val="0"/>
          <w:divBdr>
            <w:top w:val="none" w:sz="0" w:space="0" w:color="auto"/>
            <w:left w:val="none" w:sz="0" w:space="0" w:color="auto"/>
            <w:bottom w:val="none" w:sz="0" w:space="0" w:color="auto"/>
            <w:right w:val="none" w:sz="0" w:space="0" w:color="auto"/>
          </w:divBdr>
        </w:div>
      </w:divsChild>
    </w:div>
    <w:div w:id="1325623013">
      <w:bodyDiv w:val="1"/>
      <w:marLeft w:val="0"/>
      <w:marRight w:val="0"/>
      <w:marTop w:val="0"/>
      <w:marBottom w:val="0"/>
      <w:divBdr>
        <w:top w:val="none" w:sz="0" w:space="0" w:color="auto"/>
        <w:left w:val="none" w:sz="0" w:space="0" w:color="auto"/>
        <w:bottom w:val="none" w:sz="0" w:space="0" w:color="auto"/>
        <w:right w:val="none" w:sz="0" w:space="0" w:color="auto"/>
      </w:divBdr>
    </w:div>
    <w:div w:id="1372145060">
      <w:bodyDiv w:val="1"/>
      <w:marLeft w:val="0"/>
      <w:marRight w:val="0"/>
      <w:marTop w:val="0"/>
      <w:marBottom w:val="0"/>
      <w:divBdr>
        <w:top w:val="none" w:sz="0" w:space="0" w:color="auto"/>
        <w:left w:val="none" w:sz="0" w:space="0" w:color="auto"/>
        <w:bottom w:val="none" w:sz="0" w:space="0" w:color="auto"/>
        <w:right w:val="none" w:sz="0" w:space="0" w:color="auto"/>
      </w:divBdr>
    </w:div>
    <w:div w:id="1373993409">
      <w:bodyDiv w:val="1"/>
      <w:marLeft w:val="0"/>
      <w:marRight w:val="0"/>
      <w:marTop w:val="0"/>
      <w:marBottom w:val="0"/>
      <w:divBdr>
        <w:top w:val="none" w:sz="0" w:space="0" w:color="auto"/>
        <w:left w:val="none" w:sz="0" w:space="0" w:color="auto"/>
        <w:bottom w:val="none" w:sz="0" w:space="0" w:color="auto"/>
        <w:right w:val="none" w:sz="0" w:space="0" w:color="auto"/>
      </w:divBdr>
    </w:div>
    <w:div w:id="1509709180">
      <w:bodyDiv w:val="1"/>
      <w:marLeft w:val="0"/>
      <w:marRight w:val="0"/>
      <w:marTop w:val="0"/>
      <w:marBottom w:val="0"/>
      <w:divBdr>
        <w:top w:val="none" w:sz="0" w:space="0" w:color="auto"/>
        <w:left w:val="none" w:sz="0" w:space="0" w:color="auto"/>
        <w:bottom w:val="none" w:sz="0" w:space="0" w:color="auto"/>
        <w:right w:val="none" w:sz="0" w:space="0" w:color="auto"/>
      </w:divBdr>
    </w:div>
    <w:div w:id="1611007360">
      <w:bodyDiv w:val="1"/>
      <w:marLeft w:val="0"/>
      <w:marRight w:val="0"/>
      <w:marTop w:val="0"/>
      <w:marBottom w:val="0"/>
      <w:divBdr>
        <w:top w:val="none" w:sz="0" w:space="0" w:color="auto"/>
        <w:left w:val="none" w:sz="0" w:space="0" w:color="auto"/>
        <w:bottom w:val="none" w:sz="0" w:space="0" w:color="auto"/>
        <w:right w:val="none" w:sz="0" w:space="0" w:color="auto"/>
      </w:divBdr>
    </w:div>
    <w:div w:id="1641690649">
      <w:bodyDiv w:val="1"/>
      <w:marLeft w:val="0"/>
      <w:marRight w:val="0"/>
      <w:marTop w:val="0"/>
      <w:marBottom w:val="0"/>
      <w:divBdr>
        <w:top w:val="none" w:sz="0" w:space="0" w:color="auto"/>
        <w:left w:val="none" w:sz="0" w:space="0" w:color="auto"/>
        <w:bottom w:val="none" w:sz="0" w:space="0" w:color="auto"/>
        <w:right w:val="none" w:sz="0" w:space="0" w:color="auto"/>
      </w:divBdr>
    </w:div>
    <w:div w:id="1673949394">
      <w:bodyDiv w:val="1"/>
      <w:marLeft w:val="0"/>
      <w:marRight w:val="0"/>
      <w:marTop w:val="0"/>
      <w:marBottom w:val="0"/>
      <w:divBdr>
        <w:top w:val="none" w:sz="0" w:space="0" w:color="auto"/>
        <w:left w:val="none" w:sz="0" w:space="0" w:color="auto"/>
        <w:bottom w:val="none" w:sz="0" w:space="0" w:color="auto"/>
        <w:right w:val="none" w:sz="0" w:space="0" w:color="auto"/>
      </w:divBdr>
    </w:div>
    <w:div w:id="188968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12.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8.emf"/><Relationship Id="rId17" Type="http://schemas.openxmlformats.org/officeDocument/2006/relationships/image" Target="media/image11.png"/><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chart" Target="charts/chart1.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7.png"/><Relationship Id="rId24" Type="http://schemas.openxmlformats.org/officeDocument/2006/relationships/chart" Target="charts/chart3.xm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cid:image001.png@01D300A6.200A1860" TargetMode="External"/><Relationship Id="rId23" Type="http://schemas.openxmlformats.org/officeDocument/2006/relationships/chart" Target="charts/chart2.xml"/><Relationship Id="rId28" Type="http://schemas.openxmlformats.org/officeDocument/2006/relationships/chart" Target="charts/chart7.xml"/><Relationship Id="rId10" Type="http://schemas.openxmlformats.org/officeDocument/2006/relationships/footer" Target="footer1.xml"/><Relationship Id="rId19" Type="http://schemas.openxmlformats.org/officeDocument/2006/relationships/image" Target="media/image13.e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6.jpe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chart" Target="charts/chart6.xml"/><Relationship Id="rId30" Type="http://schemas.openxmlformats.org/officeDocument/2006/relationships/image" Target="cid:image003.jpg@01D373FC.BC5387A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tmp"/></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rramirez\AppData\Local\Microsoft\Windows\Temporary%20Internet%20Files\Content.Outlook\HPARBO5Y\grafico%20cantidad%20de%20contrat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rramirez\AppData\Local\Microsoft\Windows\Temporary%20Internet%20Files\Content.Outlook\HPARBO5Y\Actividades%20RRPP.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wguilamo\Desktop\datos%20oai.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normalizeH="0" baseline="0">
                <a:solidFill>
                  <a:sysClr val="windowText" lastClr="000000"/>
                </a:solidFill>
                <a:latin typeface="+mj-lt"/>
                <a:ea typeface="+mj-ea"/>
                <a:cs typeface="+mj-cs"/>
              </a:defRPr>
            </a:pPr>
            <a:r>
              <a:rPr lang="es-DO" sz="1050">
                <a:solidFill>
                  <a:sysClr val="windowText" lastClr="000000"/>
                </a:solidFill>
              </a:rPr>
              <a:t>CONTRATOS:</a:t>
            </a:r>
            <a:r>
              <a:rPr lang="es-DO" sz="1050" baseline="0">
                <a:solidFill>
                  <a:sysClr val="windowText" lastClr="000000"/>
                </a:solidFill>
              </a:rPr>
              <a:t> Certificaciones procesadas por tipo de contrato, 2017.</a:t>
            </a:r>
            <a:endParaRPr lang="es-DO" sz="1050">
              <a:solidFill>
                <a:sysClr val="windowText" lastClr="000000"/>
              </a:solidFill>
            </a:endParaRPr>
          </a:p>
        </c:rich>
      </c:tx>
      <c:overlay val="0"/>
      <c:spPr>
        <a:noFill/>
        <a:ln>
          <a:noFill/>
        </a:ln>
        <a:effectLst/>
      </c:spPr>
    </c:title>
    <c:autoTitleDeleted val="0"/>
    <c:plotArea>
      <c:layout>
        <c:manualLayout>
          <c:layoutTarget val="inner"/>
          <c:xMode val="edge"/>
          <c:yMode val="edge"/>
          <c:x val="7.7727471566054238E-2"/>
          <c:y val="0.15377444763710355"/>
          <c:w val="0.47510083114610674"/>
          <c:h val="0.6984638150532877"/>
        </c:manualLayout>
      </c:layout>
      <c:pieChart>
        <c:varyColors val="1"/>
        <c:ser>
          <c:idx val="0"/>
          <c:order val="0"/>
          <c:dPt>
            <c:idx val="0"/>
            <c:bubble3D val="0"/>
            <c:explosion val="9"/>
            <c:spPr>
              <a:solidFill>
                <a:srgbClr val="086633"/>
              </a:solidFill>
              <a:ln w="19050">
                <a:solidFill>
                  <a:schemeClr val="lt1"/>
                </a:solidFill>
              </a:ln>
              <a:effectLst/>
            </c:spPr>
          </c:dPt>
          <c:dPt>
            <c:idx val="1"/>
            <c:bubble3D val="0"/>
            <c:spPr>
              <a:solidFill>
                <a:srgbClr val="FFC627"/>
              </a:solidFill>
              <a:ln w="19050">
                <a:solidFill>
                  <a:schemeClr val="lt1"/>
                </a:solidFill>
              </a:ln>
              <a:effectLst/>
            </c:spPr>
          </c:dPt>
          <c:dPt>
            <c:idx val="2"/>
            <c:bubble3D val="0"/>
            <c:spPr>
              <a:solidFill>
                <a:srgbClr val="97A4AC"/>
              </a:soli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solidFill>
                <a:srgbClr val="6CC04A"/>
              </a:solidFill>
              <a:ln w="19050">
                <a:solidFill>
                  <a:schemeClr val="lt1"/>
                </a:solidFill>
              </a:ln>
              <a:effectLst/>
            </c:spPr>
          </c:dPt>
          <c:dPt>
            <c:idx val="5"/>
            <c:bubble3D val="0"/>
            <c:spPr>
              <a:solidFill>
                <a:srgbClr val="0A3F76"/>
              </a:solidFill>
              <a:ln w="19050">
                <a:solidFill>
                  <a:schemeClr val="lt1"/>
                </a:solidFill>
              </a:ln>
              <a:effectLst/>
            </c:spPr>
          </c:dPt>
          <c:dPt>
            <c:idx val="6"/>
            <c:bubble3D val="0"/>
            <c:spPr>
              <a:solidFill>
                <a:srgbClr val="FF0000"/>
              </a:solidFill>
              <a:ln w="19050">
                <a:solidFill>
                  <a:schemeClr val="lt1"/>
                </a:solidFill>
              </a:ln>
              <a:effectLst/>
            </c:spPr>
          </c:dPt>
          <c:dLbls>
            <c:dLbl>
              <c:idx val="0"/>
              <c:layout>
                <c:manualLayout>
                  <c:x val="9.8750000000000001E-3"/>
                  <c:y val="0.12768919510061241"/>
                </c:manualLayout>
              </c:layout>
              <c:tx>
                <c:rich>
                  <a:bodyPr/>
                  <a:lstStyle/>
                  <a:p>
                    <a:fld id="{E41B7106-3C75-4945-AFE2-D1CF6C950659}" type="CATEGORYNAME">
                      <a:rPr lang="en-US"/>
                      <a:pPr/>
                      <a:t>[NOMBRE DE CATEGORÍA]</a:t>
                    </a:fld>
                    <a:r>
                      <a:rPr lang="en-US" baseline="0"/>
                      <a:t>
65%</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4.8021872265966652E-2"/>
                  <c:y val="1.9679013425460232E-2"/>
                </c:manualLayout>
              </c:layout>
              <c:tx>
                <c:rich>
                  <a:bodyPr/>
                  <a:lstStyle/>
                  <a:p>
                    <a:fld id="{9CF3F8D0-AA05-4E1B-B8A0-1B15E41A659B}" type="CATEGORYNAME">
                      <a:rPr lang="en-US"/>
                      <a:pPr/>
                      <a:t>[NOMBRE DE CATEGORÍA]</a:t>
                    </a:fld>
                    <a:r>
                      <a:rPr lang="en-US" baseline="0"/>
                      <a:t>
23%</a:t>
                    </a: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2"/>
              <c:layout>
                <c:manualLayout>
                  <c:x val="4.4073053368328959E-2"/>
                  <c:y val="-0.11352684577570041"/>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s-US"/>
                </a:p>
              </c:txPr>
              <c:showLegendKey val="0"/>
              <c:showVal val="0"/>
              <c:showCatName val="1"/>
              <c:showSerName val="0"/>
              <c:showPercent val="1"/>
              <c:showBubbleSize val="0"/>
              <c:extLst>
                <c:ext xmlns:c15="http://schemas.microsoft.com/office/drawing/2012/chart" uri="{CE6537A1-D6FC-4f65-9D91-7224C49458BB}">
                  <c15:layout>
                    <c:manualLayout>
                      <c:w val="0.26395822397200353"/>
                      <c:h val="0.12016221930592007"/>
                    </c:manualLayout>
                  </c15:layout>
                </c:ext>
              </c:extLst>
            </c:dLbl>
            <c:dLbl>
              <c:idx val="3"/>
              <c:layout>
                <c:manualLayout>
                  <c:x val="0.14931036745406825"/>
                  <c:y val="-8.231679867468919E-2"/>
                </c:manualLayout>
              </c:layout>
              <c:showLegendKey val="0"/>
              <c:showVal val="0"/>
              <c:showCatName val="1"/>
              <c:showSerName val="0"/>
              <c:showPercent val="1"/>
              <c:showBubbleSize val="0"/>
              <c:extLst>
                <c:ext xmlns:c15="http://schemas.microsoft.com/office/drawing/2012/chart" uri="{CE6537A1-D6FC-4f65-9D91-7224C49458BB}"/>
              </c:extLst>
            </c:dLbl>
            <c:dLbl>
              <c:idx val="4"/>
              <c:layout>
                <c:manualLayout>
                  <c:x val="0.10123053368328949"/>
                  <c:y val="-1.0336305335970922E-2"/>
                </c:manualLayout>
              </c:layout>
              <c:showLegendKey val="0"/>
              <c:showVal val="0"/>
              <c:showCatName val="1"/>
              <c:showSerName val="0"/>
              <c:showPercent val="1"/>
              <c:showBubbleSize val="0"/>
              <c:extLst>
                <c:ext xmlns:c15="http://schemas.microsoft.com/office/drawing/2012/chart" uri="{CE6537A1-D6FC-4f65-9D91-7224C49458BB}"/>
              </c:extLst>
            </c:dLbl>
            <c:dLbl>
              <c:idx val="5"/>
              <c:layout>
                <c:manualLayout>
                  <c:x val="0.05"/>
                  <c:y val="8.088412147996471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s-US"/>
                </a:p>
              </c:txPr>
              <c:showLegendKey val="0"/>
              <c:showVal val="0"/>
              <c:showCatName val="1"/>
              <c:showSerName val="0"/>
              <c:showPercent val="1"/>
              <c:showBubbleSize val="0"/>
              <c:extLst>
                <c:ext xmlns:c15="http://schemas.microsoft.com/office/drawing/2012/chart" uri="{CE6537A1-D6FC-4f65-9D91-7224C49458BB}">
                  <c15:layout>
                    <c:manualLayout>
                      <c:w val="0.30833333333333335"/>
                      <c:h val="0.12152777777777778"/>
                    </c:manualLayout>
                  </c15:layout>
                </c:ext>
              </c:extLst>
            </c:dLbl>
            <c:dLbl>
              <c:idx val="6"/>
              <c:layout>
                <c:manualLayout>
                  <c:x val="-0.14166666666666672"/>
                  <c:y val="0.17617540303391221"/>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s-US"/>
                </a:p>
              </c:txPr>
              <c:showLegendKey val="0"/>
              <c:showVal val="0"/>
              <c:showCatName val="1"/>
              <c:showSerName val="0"/>
              <c:showPercent val="1"/>
              <c:showBubbleSize val="0"/>
              <c:extLst>
                <c:ext xmlns:c15="http://schemas.microsoft.com/office/drawing/2012/chart" uri="{CE6537A1-D6FC-4f65-9D91-7224C49458BB}">
                  <c15:layout>
                    <c:manualLayout>
                      <c:w val="0.30555555555555558"/>
                      <c:h val="0.12037037037037036"/>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Hoja1!$A$3:$A$9</c:f>
              <c:strCache>
                <c:ptCount val="7"/>
                <c:pt idx="0">
                  <c:v>Servicios Personales</c:v>
                </c:pt>
                <c:pt idx="1">
                  <c:v>Bienes y Servicios</c:v>
                </c:pt>
                <c:pt idx="2">
                  <c:v>Rescisión de Contrato</c:v>
                </c:pt>
                <c:pt idx="3">
                  <c:v>Obras</c:v>
                </c:pt>
                <c:pt idx="4">
                  <c:v>Becas Personales</c:v>
                </c:pt>
                <c:pt idx="5">
                  <c:v>Convenios Institucionales</c:v>
                </c:pt>
                <c:pt idx="6">
                  <c:v>Becas Institucionales</c:v>
                </c:pt>
              </c:strCache>
            </c:strRef>
          </c:cat>
          <c:val>
            <c:numRef>
              <c:f>Hoja1!$B$3:$B$9</c:f>
              <c:numCache>
                <c:formatCode>General</c:formatCode>
                <c:ptCount val="7"/>
                <c:pt idx="0">
                  <c:v>35935</c:v>
                </c:pt>
                <c:pt idx="1">
                  <c:v>11313</c:v>
                </c:pt>
                <c:pt idx="2">
                  <c:v>3093</c:v>
                </c:pt>
                <c:pt idx="3">
                  <c:v>1294</c:v>
                </c:pt>
                <c:pt idx="4">
                  <c:v>1124</c:v>
                </c:pt>
                <c:pt idx="5">
                  <c:v>408</c:v>
                </c:pt>
                <c:pt idx="6">
                  <c:v>277</c:v>
                </c:pt>
              </c:numCache>
            </c:numRef>
          </c:val>
        </c:ser>
        <c:dLbls>
          <c:showLegendKey val="0"/>
          <c:showVal val="0"/>
          <c:showCatName val="1"/>
          <c:showSerName val="0"/>
          <c:showPercent val="1"/>
          <c:showBubbleSize val="0"/>
          <c:showLeaderLines val="1"/>
        </c:dLbls>
        <c:firstSliceAng val="122"/>
      </c:pieChart>
      <c:spPr>
        <a:noFill/>
        <a:ln>
          <a:noFill/>
        </a:ln>
        <a:effectLst/>
      </c:spPr>
    </c:plotArea>
    <c:plotVisOnly val="1"/>
    <c:dispBlanksAs val="gap"/>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es-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s-DO" sz="1000">
                <a:solidFill>
                  <a:sysClr val="windowText" lastClr="000000"/>
                </a:solidFill>
              </a:rPr>
              <a:t>Actividades de RRPP</a:t>
            </a:r>
            <a:r>
              <a:rPr lang="es-DO" sz="1000" baseline="0">
                <a:solidFill>
                  <a:sysClr val="windowText" lastClr="000000"/>
                </a:solidFill>
              </a:rPr>
              <a:t> y Comunicaciones, 2017.</a:t>
            </a:r>
            <a:endParaRPr lang="es-DO" sz="1000">
              <a:solidFill>
                <a:sysClr val="windowText" lastClr="000000"/>
              </a:solidFill>
            </a:endParaRP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9911108746541816"/>
          <c:y val="0.14340314809352001"/>
          <c:w val="0.50088888888888894"/>
          <c:h val="0.85635134149897929"/>
        </c:manualLayout>
      </c:layout>
      <c:bar3DChart>
        <c:barDir val="bar"/>
        <c:grouping val="clustered"/>
        <c:varyColors val="0"/>
        <c:ser>
          <c:idx val="0"/>
          <c:order val="0"/>
          <c:spPr>
            <a:solidFill>
              <a:srgbClr val="6CC04A"/>
            </a:solidFill>
            <a:ln w="9525" cap="flat" cmpd="sng" algn="ctr">
              <a:solidFill>
                <a:srgbClr val="086633"/>
              </a:solidFill>
              <a:round/>
            </a:ln>
            <a:effectLst/>
            <a:scene3d>
              <a:camera prst="orthographicFront"/>
              <a:lightRig rig="threePt" dir="t"/>
            </a:scene3d>
            <a:sp3d contourW="9525">
              <a:bevelT w="0" h="0"/>
              <a:bevelB w="63500"/>
              <a:contourClr>
                <a:srgbClr val="086633"/>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Hoja1!$C$5:$C$9</c:f>
              <c:strCache>
                <c:ptCount val="5"/>
                <c:pt idx="0">
                  <c:v>Publicaciones de la Contraloría en los medios impresos y digitales</c:v>
                </c:pt>
                <c:pt idx="1">
                  <c:v>Notas de prensa publicadas en la Web</c:v>
                </c:pt>
                <c:pt idx="2">
                  <c:v>Cobertura fotográfica</c:v>
                </c:pt>
                <c:pt idx="3">
                  <c:v>Resumen de prensa digital</c:v>
                </c:pt>
                <c:pt idx="4">
                  <c:v> Monitoreo de noticias</c:v>
                </c:pt>
              </c:strCache>
            </c:strRef>
          </c:cat>
          <c:val>
            <c:numRef>
              <c:f>Hoja1!$D$5:$D$9</c:f>
              <c:numCache>
                <c:formatCode>General</c:formatCode>
                <c:ptCount val="5"/>
                <c:pt idx="0">
                  <c:v>314</c:v>
                </c:pt>
                <c:pt idx="1">
                  <c:v>29</c:v>
                </c:pt>
                <c:pt idx="2">
                  <c:v>82</c:v>
                </c:pt>
                <c:pt idx="3">
                  <c:v>221</c:v>
                </c:pt>
                <c:pt idx="4">
                  <c:v>109</c:v>
                </c:pt>
              </c:numCache>
            </c:numRef>
          </c:val>
          <c:shape val="cylinder"/>
        </c:ser>
        <c:dLbls>
          <c:showLegendKey val="0"/>
          <c:showVal val="0"/>
          <c:showCatName val="0"/>
          <c:showSerName val="0"/>
          <c:showPercent val="0"/>
          <c:showBubbleSize val="0"/>
        </c:dLbls>
        <c:gapWidth val="28"/>
        <c:gapDepth val="222"/>
        <c:shape val="box"/>
        <c:axId val="228574336"/>
        <c:axId val="228575872"/>
        <c:axId val="0"/>
      </c:bar3DChart>
      <c:catAx>
        <c:axId val="22857433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es-US"/>
          </a:p>
        </c:txPr>
        <c:crossAx val="228575872"/>
        <c:crosses val="autoZero"/>
        <c:auto val="1"/>
        <c:lblAlgn val="ctr"/>
        <c:lblOffset val="100"/>
        <c:noMultiLvlLbl val="0"/>
      </c:catAx>
      <c:valAx>
        <c:axId val="228575872"/>
        <c:scaling>
          <c:orientation val="minMax"/>
        </c:scaling>
        <c:delete val="1"/>
        <c:axPos val="b"/>
        <c:numFmt formatCode="General" sourceLinked="1"/>
        <c:majorTickMark val="none"/>
        <c:minorTickMark val="none"/>
        <c:tickLblPos val="nextTo"/>
        <c:crossAx val="22857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none" baseline="0">
                <a:solidFill>
                  <a:sysClr val="windowText" lastClr="000000"/>
                </a:solidFill>
                <a:latin typeface="+mn-lt"/>
                <a:ea typeface="+mn-ea"/>
                <a:cs typeface="+mn-cs"/>
              </a:defRPr>
            </a:pPr>
            <a:r>
              <a:rPr lang="es-DO" sz="1000" cap="none" baseline="0">
                <a:solidFill>
                  <a:sysClr val="windowText" lastClr="000000"/>
                </a:solidFill>
              </a:rPr>
              <a:t>SOLICITUDES DE INFORMACIÓN: Canalización, 2017.</a:t>
            </a:r>
          </a:p>
        </c:rich>
      </c:tx>
      <c:layout>
        <c:manualLayout>
          <c:xMode val="edge"/>
          <c:yMode val="edge"/>
          <c:x val="0.13130150626305367"/>
          <c:y val="5.2003037018990839E-2"/>
        </c:manualLayout>
      </c:layout>
      <c:overlay val="0"/>
      <c:spPr>
        <a:noFill/>
        <a:ln>
          <a:noFill/>
        </a:ln>
        <a:effectLst/>
      </c:spPr>
    </c:title>
    <c:autoTitleDeleted val="0"/>
    <c:view3D>
      <c:rotX val="50"/>
      <c:rotY val="132"/>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8769627598562843E-3"/>
          <c:y val="0.15094491474781682"/>
          <c:w val="0.99812303724014373"/>
          <c:h val="0.84905508525218321"/>
        </c:manualLayout>
      </c:layout>
      <c:pie3DChart>
        <c:varyColors val="1"/>
        <c:ser>
          <c:idx val="0"/>
          <c:order val="0"/>
          <c:spPr>
            <a:effectLst>
              <a:innerShdw blurRad="114300" dist="101600">
                <a:schemeClr val="accent1">
                  <a:lumMod val="75000"/>
                </a:schemeClr>
              </a:innerShdw>
            </a:effectLst>
          </c:spPr>
          <c:explosion val="8"/>
          <c:dPt>
            <c:idx val="0"/>
            <c:bubble3D val="0"/>
            <c:explosion val="0"/>
            <c:spPr>
              <a:solidFill>
                <a:srgbClr val="6CC04A"/>
              </a:solidFill>
              <a:ln w="19050">
                <a:solidFill>
                  <a:schemeClr val="accent1">
                    <a:lumMod val="75000"/>
                  </a:schemeClr>
                </a:solidFill>
              </a:ln>
              <a:effectLst>
                <a:innerShdw blurRad="114300" dist="1016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explosion val="31"/>
            <c:spPr>
              <a:solidFill>
                <a:srgbClr val="FFC627"/>
              </a:solidFill>
              <a:ln w="19050">
                <a:solidFill>
                  <a:schemeClr val="accent2">
                    <a:lumMod val="75000"/>
                  </a:schemeClr>
                </a:solidFill>
              </a:ln>
              <a:effectLst>
                <a:innerShdw blurRad="114300" dist="101600">
                  <a:schemeClr val="accent1">
                    <a:lumMod val="75000"/>
                  </a:schemeClr>
                </a:innerShdw>
              </a:effectLst>
              <a:scene3d>
                <a:camera prst="orthographicFront"/>
                <a:lightRig rig="threePt" dir="t"/>
              </a:scene3d>
              <a:sp3d contourW="19050" prstMaterial="flat">
                <a:contourClr>
                  <a:schemeClr val="accent2">
                    <a:lumMod val="75000"/>
                  </a:schemeClr>
                </a:contourClr>
              </a:sp3d>
            </c:spPr>
          </c:dPt>
          <c:dLbls>
            <c:dLbl>
              <c:idx val="0"/>
              <c:layout>
                <c:manualLayout>
                  <c:x val="-4.0701072470074838E-2"/>
                  <c:y val="4.8265238493238938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3.2797803186683662E-2"/>
                  <c:y val="-5.1022136875920353E-2"/>
                </c:manualLayout>
              </c:layout>
              <c:showLegendKey val="0"/>
              <c:showVal val="0"/>
              <c:showCatName val="1"/>
              <c:showSerName val="0"/>
              <c:showPercent val="1"/>
              <c:showBubbleSize val="0"/>
              <c:extLst>
                <c:ext xmlns:c15="http://schemas.microsoft.com/office/drawing/2012/chart" uri="{CE6537A1-D6FC-4f65-9D91-7224C49458BB}"/>
              </c:extLst>
            </c:dLbl>
            <c:spPr>
              <a:solidFill>
                <a:schemeClr val="lt1"/>
              </a:solidFill>
              <a:ln w="12700" cap="flat" cmpd="sng" algn="ctr">
                <a:solidFill>
                  <a:schemeClr val="dk1"/>
                </a:solidFill>
                <a:prstDash val="solid"/>
                <a:miter lim="800000"/>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dk1"/>
                    </a:solidFill>
                    <a:effectLst/>
                    <a:latin typeface="+mn-lt"/>
                    <a:ea typeface="+mn-ea"/>
                    <a:cs typeface="+mn-cs"/>
                  </a:defRPr>
                </a:pPr>
                <a:endParaRPr lang="es-US"/>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Canalización!$B$4:$B$5</c:f>
              <c:strCache>
                <c:ptCount val="2"/>
                <c:pt idx="0">
                  <c:v>Internas</c:v>
                </c:pt>
                <c:pt idx="1">
                  <c:v>Externas</c:v>
                </c:pt>
              </c:strCache>
            </c:strRef>
          </c:cat>
          <c:val>
            <c:numRef>
              <c:f>Canalización!$C$4:$C$5</c:f>
              <c:numCache>
                <c:formatCode>General</c:formatCode>
                <c:ptCount val="2"/>
                <c:pt idx="0">
                  <c:v>312</c:v>
                </c:pt>
                <c:pt idx="1">
                  <c:v>35</c:v>
                </c:pt>
              </c:numCache>
            </c:numRef>
          </c:val>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s-DO" sz="1000">
                <a:solidFill>
                  <a:sysClr val="windowText" lastClr="000000"/>
                </a:solidFill>
              </a:rPr>
              <a:t>SOLICITUDES DE INFORMACIÓN: Cantidad recibida según</a:t>
            </a:r>
            <a:r>
              <a:rPr lang="es-DO" sz="1000" baseline="0">
                <a:solidFill>
                  <a:sysClr val="windowText" lastClr="000000"/>
                </a:solidFill>
              </a:rPr>
              <a:t> población solicitante, 2017.</a:t>
            </a:r>
            <a:endParaRPr lang="es-DO" sz="1000">
              <a:solidFill>
                <a:sysClr val="windowText" lastClr="000000"/>
              </a:solidFill>
            </a:endParaRPr>
          </a:p>
        </c:rich>
      </c:tx>
      <c:overlay val="0"/>
      <c:spPr>
        <a:noFill/>
        <a:ln>
          <a:noFill/>
        </a:ln>
        <a:effectLst/>
      </c:spPr>
    </c:title>
    <c:autoTitleDeleted val="0"/>
    <c:plotArea>
      <c:layout>
        <c:manualLayout>
          <c:layoutTarget val="inner"/>
          <c:xMode val="edge"/>
          <c:yMode val="edge"/>
          <c:x val="9.5742530381650731E-2"/>
          <c:y val="0.21783856586369049"/>
          <c:w val="0.46920118142980949"/>
          <c:h val="0.76080407346249623"/>
        </c:manualLayout>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rgbClr val="FFC627"/>
              </a:solidFill>
              <a:ln>
                <a:noFill/>
              </a:ln>
              <a:effectLst>
                <a:outerShdw blurRad="254000" sx="102000" sy="102000" algn="ctr" rotWithShape="0">
                  <a:prstClr val="black">
                    <a:alpha val="20000"/>
                  </a:prstClr>
                </a:outerShdw>
              </a:effectLst>
            </c:spPr>
          </c:dPt>
          <c:dPt>
            <c:idx val="4"/>
            <c:bubble3D val="0"/>
            <c:explosion val="14"/>
            <c:spPr>
              <a:solidFill>
                <a:srgbClr val="6CC04A"/>
              </a:solidFill>
              <a:ln>
                <a:noFill/>
              </a:ln>
              <a:effectLst>
                <a:outerShdw blurRad="254000" sx="102000" sy="102000" algn="ctr" rotWithShape="0">
                  <a:prstClr val="black">
                    <a:alpha val="20000"/>
                  </a:prstClr>
                </a:outerShdw>
              </a:effectLst>
            </c:spPr>
          </c:dPt>
          <c:dPt>
            <c:idx val="5"/>
            <c:bubble3D val="0"/>
            <c:spPr>
              <a:solidFill>
                <a:srgbClr val="0A3F76"/>
              </a:solidFill>
              <a:ln>
                <a:noFill/>
              </a:ln>
              <a:effectLst>
                <a:outerShdw blurRad="254000" sx="102000" sy="102000" algn="ctr" rotWithShape="0">
                  <a:prstClr val="black">
                    <a:alpha val="20000"/>
                  </a:prstClr>
                </a:outerShdw>
              </a:effectLst>
            </c:spPr>
          </c:dPt>
          <c:dLbls>
            <c:dLbl>
              <c:idx val="0"/>
              <c:layout>
                <c:manualLayout>
                  <c:x val="0.11876015745361591"/>
                  <c:y val="-5.980857555844976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1196649123015862"/>
                  <c:y val="-9.2591907411793285E-3"/>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0884644167389498"/>
                  <c:y val="3.2407475925487338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0833333333333334"/>
                  <c:y val="-8.4875562720133283E-17"/>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3734929817870878"/>
                  <c:y val="-9.7222119445102256E-2"/>
                </c:manualLayout>
              </c:layou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Población!$B$6:$B$11</c:f>
              <c:strCache>
                <c:ptCount val="6"/>
                <c:pt idx="0">
                  <c:v>Estudiantes</c:v>
                </c:pt>
                <c:pt idx="1">
                  <c:v>Periodistas</c:v>
                </c:pt>
                <c:pt idx="2">
                  <c:v>Institucionales</c:v>
                </c:pt>
                <c:pt idx="3">
                  <c:v>Servidor Público</c:v>
                </c:pt>
                <c:pt idx="4">
                  <c:v>Ciudadanos</c:v>
                </c:pt>
                <c:pt idx="5">
                  <c:v>Abogados</c:v>
                </c:pt>
              </c:strCache>
            </c:strRef>
          </c:cat>
          <c:val>
            <c:numRef>
              <c:f>Población!$D$6:$D$11</c:f>
              <c:numCache>
                <c:formatCode>0%</c:formatCode>
                <c:ptCount val="6"/>
                <c:pt idx="0">
                  <c:v>2.8818443804034581E-2</c:v>
                </c:pt>
                <c:pt idx="1">
                  <c:v>1.4409221902017291E-2</c:v>
                </c:pt>
                <c:pt idx="2">
                  <c:v>2.5936599423631124E-2</c:v>
                </c:pt>
                <c:pt idx="3">
                  <c:v>0.21037463976945245</c:v>
                </c:pt>
                <c:pt idx="4">
                  <c:v>0.68011527377521619</c:v>
                </c:pt>
                <c:pt idx="5">
                  <c:v>4.0345821325648415E-2</c:v>
                </c:pt>
              </c:numCache>
            </c:numRef>
          </c:val>
        </c:ser>
        <c:dLbls>
          <c:showLegendKey val="0"/>
          <c:showVal val="0"/>
          <c:showCatName val="0"/>
          <c:showSerName val="0"/>
          <c:showPercent val="1"/>
          <c:showBubbleSize val="0"/>
          <c:showLeaderLines val="1"/>
        </c:dLbls>
        <c:firstSliceAng val="66"/>
        <c:holeSize val="50"/>
      </c:doughnutChart>
      <c:spPr>
        <a:noFill/>
        <a:ln>
          <a:noFill/>
        </a:ln>
        <a:effectLst/>
      </c:spPr>
    </c:plotArea>
    <c:legend>
      <c:legendPos val="r"/>
      <c:layout>
        <c:manualLayout>
          <c:xMode val="edge"/>
          <c:yMode val="edge"/>
          <c:x val="0.74107804378625119"/>
          <c:y val="0.28955175276050704"/>
          <c:w val="0.2089219160104987"/>
          <c:h val="0.6446792067658209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US"/>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es-DO" sz="1000"/>
              <a:t>SOLICITUDES</a:t>
            </a:r>
            <a:r>
              <a:rPr lang="es-DO" sz="1000" baseline="0"/>
              <a:t> DE INFORMACIÓN:  Cantidad recibida por mes y género, 2017.</a:t>
            </a:r>
            <a:endParaRPr lang="es-DO" sz="1000"/>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0895724209303348E-2"/>
          <c:y val="0.27388538503641763"/>
          <c:w val="0.99627015962627308"/>
          <c:h val="0.51773549139690866"/>
        </c:manualLayout>
      </c:layout>
      <c:bar3DChart>
        <c:barDir val="col"/>
        <c:grouping val="clustered"/>
        <c:varyColors val="0"/>
        <c:ser>
          <c:idx val="0"/>
          <c:order val="0"/>
          <c:tx>
            <c:strRef>
              <c:f>Género!$B$6</c:f>
              <c:strCache>
                <c:ptCount val="1"/>
                <c:pt idx="0">
                  <c:v>Femenino</c:v>
                </c:pt>
              </c:strCache>
            </c:strRef>
          </c:tx>
          <c:spPr>
            <a:solidFill>
              <a:srgbClr val="FFC627"/>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7"/>
              <c:layout>
                <c:manualLayout>
                  <c:x val="-2.4798512089274642E-3"/>
                  <c:y val="-1.0575783990509829E-16"/>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2399256044637322E-2"/>
                  <c:y val="0"/>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4879107253564786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Género!$C$5:$N$5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Género!$C$6:$N$6</c:f>
              <c:numCache>
                <c:formatCode>General</c:formatCode>
                <c:ptCount val="12"/>
                <c:pt idx="0">
                  <c:v>18</c:v>
                </c:pt>
                <c:pt idx="1">
                  <c:v>17</c:v>
                </c:pt>
                <c:pt idx="2">
                  <c:v>22</c:v>
                </c:pt>
                <c:pt idx="3">
                  <c:v>11</c:v>
                </c:pt>
                <c:pt idx="4">
                  <c:v>11</c:v>
                </c:pt>
                <c:pt idx="5">
                  <c:v>12</c:v>
                </c:pt>
                <c:pt idx="6">
                  <c:v>15</c:v>
                </c:pt>
                <c:pt idx="7">
                  <c:v>11</c:v>
                </c:pt>
                <c:pt idx="8">
                  <c:v>6</c:v>
                </c:pt>
                <c:pt idx="9">
                  <c:v>19</c:v>
                </c:pt>
                <c:pt idx="10">
                  <c:v>5</c:v>
                </c:pt>
                <c:pt idx="11">
                  <c:v>13</c:v>
                </c:pt>
              </c:numCache>
            </c:numRef>
          </c:val>
        </c:ser>
        <c:ser>
          <c:idx val="1"/>
          <c:order val="1"/>
          <c:tx>
            <c:strRef>
              <c:f>Género!$B$7</c:f>
              <c:strCache>
                <c:ptCount val="1"/>
                <c:pt idx="0">
                  <c:v>Masculino</c:v>
                </c:pt>
              </c:strCache>
            </c:strRef>
          </c:tx>
          <c:spPr>
            <a:solidFill>
              <a:srgbClr val="6CC04A"/>
            </a:solidFill>
            <a:ln w="9525" cap="flat" cmpd="sng" algn="ctr">
              <a:solidFill>
                <a:srgbClr val="6CC04A"/>
              </a:solidFill>
              <a:round/>
            </a:ln>
            <a:effectLst/>
            <a:sp3d contourW="9525">
              <a:contourClr>
                <a:srgbClr val="6CC04A"/>
              </a:contourClr>
            </a:sp3d>
          </c:spPr>
          <c:invertIfNegative val="0"/>
          <c:dLbls>
            <c:dLbl>
              <c:idx val="0"/>
              <c:layout>
                <c:manualLayout>
                  <c:x val="2.2318660880347167E-2"/>
                  <c:y val="5.2878919952549147E-17"/>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4798512089274642E-3"/>
                  <c:y val="-1.0575783990509829E-1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Género!$C$5:$N$5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Género!$C$7:$N$7</c:f>
              <c:numCache>
                <c:formatCode>General</c:formatCode>
                <c:ptCount val="12"/>
                <c:pt idx="0">
                  <c:v>13</c:v>
                </c:pt>
                <c:pt idx="1">
                  <c:v>16</c:v>
                </c:pt>
                <c:pt idx="2">
                  <c:v>29</c:v>
                </c:pt>
                <c:pt idx="3">
                  <c:v>19</c:v>
                </c:pt>
                <c:pt idx="4">
                  <c:v>32</c:v>
                </c:pt>
                <c:pt idx="5">
                  <c:v>22</c:v>
                </c:pt>
                <c:pt idx="6">
                  <c:v>11</c:v>
                </c:pt>
                <c:pt idx="7">
                  <c:v>11</c:v>
                </c:pt>
                <c:pt idx="8">
                  <c:v>11</c:v>
                </c:pt>
                <c:pt idx="9">
                  <c:v>22</c:v>
                </c:pt>
                <c:pt idx="10">
                  <c:v>14</c:v>
                </c:pt>
                <c:pt idx="11">
                  <c:v>10</c:v>
                </c:pt>
              </c:numCache>
            </c:numRef>
          </c:val>
        </c:ser>
        <c:dLbls>
          <c:showLegendKey val="0"/>
          <c:showVal val="1"/>
          <c:showCatName val="0"/>
          <c:showSerName val="0"/>
          <c:showPercent val="0"/>
          <c:showBubbleSize val="0"/>
        </c:dLbls>
        <c:gapWidth val="150"/>
        <c:shape val="box"/>
        <c:axId val="229303040"/>
        <c:axId val="229304576"/>
        <c:axId val="0"/>
      </c:bar3DChart>
      <c:catAx>
        <c:axId val="229303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es-US"/>
          </a:p>
        </c:txPr>
        <c:crossAx val="229304576"/>
        <c:crosses val="autoZero"/>
        <c:auto val="1"/>
        <c:lblAlgn val="ctr"/>
        <c:lblOffset val="100"/>
        <c:noMultiLvlLbl val="0"/>
      </c:catAx>
      <c:valAx>
        <c:axId val="229304576"/>
        <c:scaling>
          <c:orientation val="minMax"/>
        </c:scaling>
        <c:delete val="1"/>
        <c:axPos val="l"/>
        <c:numFmt formatCode="General" sourceLinked="1"/>
        <c:majorTickMark val="none"/>
        <c:minorTickMark val="none"/>
        <c:tickLblPos val="nextTo"/>
        <c:crossAx val="229303040"/>
        <c:crosses val="autoZero"/>
        <c:crossBetween val="between"/>
      </c:valAx>
      <c:spPr>
        <a:noFill/>
        <a:ln>
          <a:noFill/>
        </a:ln>
        <a:effectLst/>
      </c:spPr>
    </c:plotArea>
    <c:legend>
      <c:legendPos val="t"/>
      <c:layout>
        <c:manualLayout>
          <c:xMode val="edge"/>
          <c:yMode val="edge"/>
          <c:x val="0.31233335448691973"/>
          <c:y val="0.16000899368398103"/>
          <c:w val="0.35625932995201393"/>
          <c:h val="7.8125546806649182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US"/>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es-DO" sz="1000"/>
              <a:t>SOLICITUDES</a:t>
            </a:r>
            <a:r>
              <a:rPr lang="es-DO" sz="1000" baseline="0"/>
              <a:t> DE INFORMACIÓN: Cantidad según su tipo, 2017.</a:t>
            </a:r>
            <a:endParaRPr lang="es-DO" sz="1000"/>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399868766404197"/>
          <c:y val="0.12800925925925924"/>
          <c:w val="0.70600131233595798"/>
          <c:h val="0.87199074074074079"/>
        </c:manualLayout>
      </c:layout>
      <c:bar3DChart>
        <c:barDir val="bar"/>
        <c:grouping val="clustered"/>
        <c:varyColors val="0"/>
        <c:ser>
          <c:idx val="0"/>
          <c:order val="0"/>
          <c:spPr>
            <a:solidFill>
              <a:srgbClr val="6CC04A"/>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'tipo de información'!$B$22:$B$31</c:f>
              <c:strCache>
                <c:ptCount val="10"/>
                <c:pt idx="0">
                  <c:v>Verificación de Nómina</c:v>
                </c:pt>
                <c:pt idx="1">
                  <c:v>Ley 10-07 y Manuales</c:v>
                </c:pt>
                <c:pt idx="2">
                  <c:v>Libramientos</c:v>
                </c:pt>
                <c:pt idx="3">
                  <c:v>Registro de Contratos</c:v>
                </c:pt>
                <c:pt idx="4">
                  <c:v>Ayuntamientos</c:v>
                </c:pt>
                <c:pt idx="5">
                  <c:v>Certificación de Cargos</c:v>
                </c:pt>
                <c:pt idx="6">
                  <c:v>Compras y Contrataciones</c:v>
                </c:pt>
                <c:pt idx="7">
                  <c:v>Circulares</c:v>
                </c:pt>
                <c:pt idx="8">
                  <c:v>Auditorías</c:v>
                </c:pt>
                <c:pt idx="9">
                  <c:v>Otros</c:v>
                </c:pt>
              </c:strCache>
            </c:strRef>
          </c:cat>
          <c:val>
            <c:numRef>
              <c:f>'tipo de información'!$C$22:$C$31</c:f>
              <c:numCache>
                <c:formatCode>General</c:formatCode>
                <c:ptCount val="10"/>
                <c:pt idx="0">
                  <c:v>229</c:v>
                </c:pt>
                <c:pt idx="1">
                  <c:v>1</c:v>
                </c:pt>
                <c:pt idx="2">
                  <c:v>7</c:v>
                </c:pt>
                <c:pt idx="3">
                  <c:v>31</c:v>
                </c:pt>
                <c:pt idx="4">
                  <c:v>6</c:v>
                </c:pt>
                <c:pt idx="5">
                  <c:v>21</c:v>
                </c:pt>
                <c:pt idx="6">
                  <c:v>2</c:v>
                </c:pt>
                <c:pt idx="7">
                  <c:v>1</c:v>
                </c:pt>
                <c:pt idx="8">
                  <c:v>3</c:v>
                </c:pt>
                <c:pt idx="9">
                  <c:v>69</c:v>
                </c:pt>
              </c:numCache>
            </c:numRef>
          </c:val>
        </c:ser>
        <c:dLbls>
          <c:showLegendKey val="0"/>
          <c:showVal val="1"/>
          <c:showCatName val="0"/>
          <c:showSerName val="0"/>
          <c:showPercent val="0"/>
          <c:showBubbleSize val="0"/>
        </c:dLbls>
        <c:gapWidth val="150"/>
        <c:shape val="box"/>
        <c:axId val="228800384"/>
        <c:axId val="228848384"/>
        <c:axId val="0"/>
      </c:bar3DChart>
      <c:catAx>
        <c:axId val="228800384"/>
        <c:scaling>
          <c:orientation val="maxMin"/>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es-US"/>
          </a:p>
        </c:txPr>
        <c:crossAx val="228848384"/>
        <c:crosses val="autoZero"/>
        <c:auto val="1"/>
        <c:lblAlgn val="ctr"/>
        <c:lblOffset val="100"/>
        <c:noMultiLvlLbl val="0"/>
      </c:catAx>
      <c:valAx>
        <c:axId val="228848384"/>
        <c:scaling>
          <c:orientation val="minMax"/>
        </c:scaling>
        <c:delete val="1"/>
        <c:axPos val="t"/>
        <c:numFmt formatCode="General" sourceLinked="1"/>
        <c:majorTickMark val="none"/>
        <c:minorTickMark val="none"/>
        <c:tickLblPos val="nextTo"/>
        <c:crossAx val="228800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s-DO" sz="1000">
                <a:solidFill>
                  <a:sysClr val="windowText" lastClr="000000"/>
                </a:solidFill>
              </a:rPr>
              <a:t>SOLICITUDES DE INFORMACIÓN: Cantidad</a:t>
            </a:r>
            <a:r>
              <a:rPr lang="es-DO" sz="1000" baseline="0">
                <a:solidFill>
                  <a:sysClr val="windowText" lastClr="000000"/>
                </a:solidFill>
              </a:rPr>
              <a:t> recibida por departamento, 2017.</a:t>
            </a:r>
            <a:endParaRPr lang="es-DO" sz="1000">
              <a:solidFill>
                <a:sysClr val="windowText" lastClr="000000"/>
              </a:solidFill>
            </a:endParaRPr>
          </a:p>
        </c:rich>
      </c:tx>
      <c:overlay val="0"/>
      <c:spPr>
        <a:noFill/>
        <a:ln>
          <a:noFill/>
        </a:ln>
        <a:effectLst/>
      </c:spPr>
    </c:title>
    <c:autoTitleDeleted val="0"/>
    <c:plotArea>
      <c:layout>
        <c:manualLayout>
          <c:layoutTarget val="inner"/>
          <c:xMode val="edge"/>
          <c:yMode val="edge"/>
          <c:x val="4.7859608769573458E-2"/>
          <c:y val="0.23976673968385531"/>
          <c:w val="0.42002051022293457"/>
          <c:h val="0.66547109242923586"/>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tx1"/>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Pt>
            <c:idx val="8"/>
            <c:bubble3D val="0"/>
            <c:spPr>
              <a:solidFill>
                <a:schemeClr val="accent3">
                  <a:lumMod val="60000"/>
                </a:schemeClr>
              </a:solidFill>
              <a:ln>
                <a:noFill/>
              </a:ln>
              <a:effectLst>
                <a:outerShdw blurRad="254000" sx="102000" sy="102000" algn="ctr" rotWithShape="0">
                  <a:prstClr val="black">
                    <a:alpha val="20000"/>
                  </a:prstClr>
                </a:outerShdw>
              </a:effectLst>
            </c:spPr>
          </c:dPt>
          <c:dPt>
            <c:idx val="9"/>
            <c:bubble3D val="0"/>
            <c:spPr>
              <a:solidFill>
                <a:schemeClr val="accent4">
                  <a:lumMod val="60000"/>
                </a:schemeClr>
              </a:solidFill>
              <a:ln>
                <a:noFill/>
              </a:ln>
              <a:effectLst>
                <a:outerShdw blurRad="254000" sx="102000" sy="102000" algn="ctr" rotWithShape="0">
                  <a:prstClr val="black">
                    <a:alpha val="20000"/>
                  </a:prstClr>
                </a:outerShdw>
              </a:effectLst>
            </c:spPr>
          </c:dPt>
          <c:dLbls>
            <c:dLbl>
              <c:idx val="1"/>
              <c:layout>
                <c:manualLayout>
                  <c:x val="2.6300287462427057E-2"/>
                  <c:y val="3.7140565762613008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1.9052844105646307E-2"/>
                  <c:y val="4.701953922426363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2.9421190332826466E-3"/>
                  <c:y val="3.812445319335083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1.181089650562619E-2"/>
                  <c:y val="1.8981116943715369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6.6395954848236377E-2"/>
                  <c:y val="1.496245261009040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7"/>
              <c:layout>
                <c:manualLayout>
                  <c:x val="4.6161780652669206E-3"/>
                  <c:y val="4.195246427529892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8"/>
              <c:layout>
                <c:manualLayout>
                  <c:x val="-5.8917088609116708E-3"/>
                  <c:y val="-4.8985855934674832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9"/>
              <c:tx>
                <c:rich>
                  <a:bodyPr/>
                  <a:lstStyle/>
                  <a:p>
                    <a:r>
                      <a:rPr lang="en-US"/>
                      <a:t>0.3%</a:t>
                    </a:r>
                  </a:p>
                </c:rich>
              </c:tx>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US"/>
              </a:p>
            </c:txPr>
            <c:dLblPos val="bestFit"/>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Departamentos!$C$31:$C$40</c:f>
              <c:strCache>
                <c:ptCount val="10"/>
                <c:pt idx="0">
                  <c:v>Administrativo</c:v>
                </c:pt>
                <c:pt idx="1">
                  <c:v>Revisión y Control de Calidad</c:v>
                </c:pt>
                <c:pt idx="2">
                  <c:v>Certificacion de Cargos</c:v>
                </c:pt>
                <c:pt idx="3">
                  <c:v>Auditorías Especiales</c:v>
                </c:pt>
                <c:pt idx="4">
                  <c:v>Registro de Contratos</c:v>
                </c:pt>
                <c:pt idx="5">
                  <c:v>Servicios Personales</c:v>
                </c:pt>
                <c:pt idx="6">
                  <c:v>Ayuntamientos</c:v>
                </c:pt>
                <c:pt idx="7">
                  <c:v>Remisiones Externas</c:v>
                </c:pt>
                <c:pt idx="8">
                  <c:v>OAI</c:v>
                </c:pt>
                <c:pt idx="9">
                  <c:v>Planificacion y Desarrollo</c:v>
                </c:pt>
              </c:strCache>
            </c:strRef>
          </c:cat>
          <c:val>
            <c:numRef>
              <c:f>Departamentos!$D$31:$D$40</c:f>
              <c:numCache>
                <c:formatCode>0%</c:formatCode>
                <c:ptCount val="10"/>
                <c:pt idx="0">
                  <c:v>1.6216216216216217E-2</c:v>
                </c:pt>
                <c:pt idx="1">
                  <c:v>2.9729729729729731E-2</c:v>
                </c:pt>
                <c:pt idx="2">
                  <c:v>4.8648648648648651E-2</c:v>
                </c:pt>
                <c:pt idx="3">
                  <c:v>1.3513513513513514E-2</c:v>
                </c:pt>
                <c:pt idx="4">
                  <c:v>7.8378378378378383E-2</c:v>
                </c:pt>
                <c:pt idx="5">
                  <c:v>0.63243243243243241</c:v>
                </c:pt>
                <c:pt idx="6">
                  <c:v>1.3513513513513514E-2</c:v>
                </c:pt>
                <c:pt idx="7">
                  <c:v>0.1</c:v>
                </c:pt>
                <c:pt idx="8">
                  <c:v>6.4864864864864868E-2</c:v>
                </c:pt>
                <c:pt idx="9" formatCode="0.0%">
                  <c:v>2.7027027027027029E-3</c:v>
                </c:pt>
              </c:numCache>
            </c:numRef>
          </c:val>
        </c:ser>
        <c:dLbls>
          <c:dLblPos val="bestFit"/>
          <c:showLegendKey val="0"/>
          <c:showVal val="0"/>
          <c:showCatName val="0"/>
          <c:showSerName val="0"/>
          <c:showPercent val="1"/>
          <c:showBubbleSize val="0"/>
          <c:showLeaderLines val="1"/>
        </c:dLbls>
        <c:firstSliceAng val="95"/>
      </c:pieChart>
      <c:spPr>
        <a:noFill/>
        <a:ln>
          <a:noFill/>
        </a:ln>
        <a:effectLst/>
      </c:spPr>
    </c:plotArea>
    <c:legend>
      <c:legendPos val="r"/>
      <c:layout>
        <c:manualLayout>
          <c:xMode val="edge"/>
          <c:yMode val="edge"/>
          <c:x val="0.69220533383802707"/>
          <c:y val="0.14449985418489356"/>
          <c:w val="0.28217188314155167"/>
          <c:h val="0.8420188101487313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US"/>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US"/>
    </a:p>
  </c:txPr>
  <c:externalData r:id="rId2">
    <c:autoUpdate val="0"/>
  </c:externalData>
</c:chartSpace>
</file>

<file path=word/theme/theme1.xml><?xml version="1.0" encoding="utf-8"?>
<a:theme xmlns:a="http://schemas.openxmlformats.org/drawingml/2006/main" name="contraloria">
  <a:themeElements>
    <a:clrScheme name="Contraloria">
      <a:dk1>
        <a:srgbClr val="000000"/>
      </a:dk1>
      <a:lt1>
        <a:sysClr val="window" lastClr="FFFFFF"/>
      </a:lt1>
      <a:dk2>
        <a:srgbClr val="97A4AC"/>
      </a:dk2>
      <a:lt2>
        <a:srgbClr val="FFFFFF"/>
      </a:lt2>
      <a:accent1>
        <a:srgbClr val="0A3F76"/>
      </a:accent1>
      <a:accent2>
        <a:srgbClr val="E62E00"/>
      </a:accent2>
      <a:accent3>
        <a:srgbClr val="73B763"/>
      </a:accent3>
      <a:accent4>
        <a:srgbClr val="F6A717"/>
      </a:accent4>
      <a:accent5>
        <a:srgbClr val="E65200"/>
      </a:accent5>
      <a:accent6>
        <a:srgbClr val="0A5D76"/>
      </a:accent6>
      <a:hlink>
        <a:srgbClr val="E62E00"/>
      </a:hlink>
      <a:folHlink>
        <a:srgbClr val="0A3F76"/>
      </a:folHlink>
    </a:clrScheme>
    <a:fontScheme name="Clásico de Office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lIns="180000" tIns="72000" rIns="180000" bIns="72000" rtlCol="0" anchor="ctr">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w="6350">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EE7B-FA76-4102-8CD9-C952B104A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17040</Words>
  <Characters>93721</Characters>
  <Application>Microsoft Office Word</Application>
  <DocSecurity>0</DocSecurity>
  <Lines>781</Lines>
  <Paragraphs>221</Paragraphs>
  <ScaleCrop>false</ScaleCrop>
  <HeadingPairs>
    <vt:vector size="4" baseType="variant">
      <vt:variant>
        <vt:lpstr>Título</vt:lpstr>
      </vt:variant>
      <vt:variant>
        <vt:i4>1</vt:i4>
      </vt:variant>
      <vt:variant>
        <vt:lpstr>Headings</vt:lpstr>
      </vt:variant>
      <vt:variant>
        <vt:i4>64</vt:i4>
      </vt:variant>
    </vt:vector>
  </HeadingPairs>
  <TitlesOfParts>
    <vt:vector size="65" baseType="lpstr">
      <vt:lpstr>Carta de compromiso al ciudadano</vt:lpstr>
      <vt:lpstr>//////Contextualización</vt:lpstr>
      <vt:lpstr/>
      <vt:lpstr>    DIAGNÓSTICO</vt:lpstr>
      <vt:lpstr>    /  /</vt:lpstr>
      <vt:lpstr>    </vt:lpstr>
      <vt:lpstr>    </vt:lpstr>
      <vt:lpstr>    REFORMA DEL MARCO LEGAL </vt:lpstr>
      <vt:lpstr>    CAMBIO DE IMAGEN INSTITUCIONAL</vt:lpstr>
      <vt:lpstr>        Modernización de las Operaciones</vt:lpstr>
      <vt:lpstr>    NUEVO MODELO DE AUDITORIA BASADAS EN GESTIÓN RIESGO </vt:lpstr>
      <vt:lpstr>    </vt:lpstr>
      <vt:lpstr>    NUEVO SISTEMA DE CONTROLES  PREVIOS AUTOMATIZADOS.</vt:lpstr>
      <vt:lpstr>    RESULTADOS DE AUTOMATIZACIÓN DE LOS CONTROLES PREVIOS</vt:lpstr>
      <vt:lpstr>    </vt:lpstr>
      <vt:lpstr>        Herramienta utilizada como pilar para hacerle frente al proceso de automatizació</vt:lpstr>
      <vt:lpstr>    REDISEÑO Y DISEÑO DE LAS NORMAS DE CONTROL INTERNO </vt:lpstr>
      <vt:lpstr>    IMPLANTACIÓN DEL NUEVO ROL DE AUDITORIA</vt:lpstr>
      <vt:lpstr>    ROL DE LA CGR.</vt:lpstr>
      <vt:lpstr>        Estrategia Nacional de Desarrollo. </vt:lpstr>
      <vt:lpstr>Análisis de las Fuerzas Impulsoras y /Restrictivas Ex//////ternas </vt:lpstr>
      <vt:lpstr>    EL MARCO ESTRATEGICO:</vt:lpstr>
      <vt:lpstr>    MAPA ESTRATEGICO:</vt:lpstr>
      <vt:lpstr>/Marco Estratégico de la Contraloría General de la República</vt:lpstr>
      <vt:lpstr>//////</vt:lpstr>
      <vt:lpstr>    DIRECCIONAMIENTO ESTRATÉGICO Y ADMINISTRACIÓN </vt:lpstr>
      <vt:lpstr>    EJES ESTRATÉGICOS</vt:lpstr>
      <vt:lpstr>        Posicionamiento Institucional</vt:lpstr>
      <vt:lpstr>        Excelencia Operacional y Estructura organizacional ágil</vt:lpstr>
      <vt:lpstr>        Fortalecimiento institucional</vt:lpstr>
      <vt:lpstr>        Talento Humano</vt:lpstr>
      <vt:lpstr>        Integración de los Sistemas interinstitucionales</vt:lpstr>
      <vt:lpstr>        Dimensionamiento del mercado meta</vt:lpstr>
      <vt:lpstr>/Tabla de Objetivos y Estrategias</vt:lpstr>
      <vt:lpstr>/Tabla de Resultados</vt:lpstr>
      <vt:lpstr>///////Tabla de Indicadores </vt:lpstr>
      <vt:lpstr>    /OBJETIVO ESTRATÉGICO I</vt:lpstr>
      <vt:lpstr/>
      <vt:lpstr/>
      <vt:lpstr/>
      <vt:lpstr>/El Sistema de Monitoreo y Evaluación////// del PEI </vt:lpstr>
      <vt:lpstr>/ </vt:lpstr>
      <vt:lpstr/>
      <vt:lpstr/>
      <vt:lpstr>    EL RETO INSTITUCIONAL</vt:lpstr>
      <vt:lpstr/>
      <vt:lpstr>        Definición de la Visión, Misión, Valores, ejes y objetivos estratégicos de la CG</vt:lpstr>
      <vt:lpstr>/ </vt:lpstr>
      <vt:lpstr>        EJES ESTRATEGICOS CLAVES:</vt:lpstr>
      <vt:lpstr>        PROPUESTAS DE VALOR:</vt:lpstr>
      <vt:lpstr>        AYUNTAMIENTOS:</vt:lpstr>
      <vt:lpstr>        DESARROLLO NORMATIVO:</vt:lpstr>
      <vt:lpstr>        PLANFICACION Y DESARROLLO:</vt:lpstr>
      <vt:lpstr>        AUDITORIAS ESPECIALES:</vt:lpstr>
      <vt:lpstr>        COMUNICACIONES Y RRPP:</vt:lpstr>
      <vt:lpstr>        FUNDACION ESCUELA NACIONAL DE CONTROL:</vt:lpstr>
      <vt:lpstr>        CONSULTORÍA JURÍDICA:</vt:lpstr>
      <vt:lpstr>        DIRECCIÓN DE RECURSOS HUMANOS:</vt:lpstr>
      <vt:lpstr>        DIRECCIÓN DE AUDITORIAS TECNICAS:</vt:lpstr>
      <vt:lpstr>        DIRECCIÓN DE AUDITORIA GUBERNAMENTAL:</vt:lpstr>
      <vt:lpstr>        DIRECCIÓN ADMINISTRATIVA Y FINANCIERA:</vt:lpstr>
      <vt:lpstr>        DIRECCIÓN DE TECNOLOGÍA DE LA INFORMACIÓN:</vt:lpstr>
      <vt:lpstr>        </vt:lpstr>
      <vt:lpstr>        OFICINA DE ACCESO A LA INFORMACIÓN:</vt:lpstr>
      <vt:lpstr>        DIRECCIÓN DE REVISIÓN Y ANÁLISIS:</vt:lpstr>
    </vt:vector>
  </TitlesOfParts>
  <Company>Contraloria General de la República</Company>
  <LinksUpToDate>false</LinksUpToDate>
  <CharactersWithSpaces>110540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 compromiso al ciudadano</dc:title>
  <dc:creator>Direccion de Planificacion y Desarrollo</dc:creator>
  <cp:lastModifiedBy>Raquel Awilda Gonzalez</cp:lastModifiedBy>
  <cp:revision>2</cp:revision>
  <cp:lastPrinted>2017-12-15T17:03:00Z</cp:lastPrinted>
  <dcterms:created xsi:type="dcterms:W3CDTF">2017-12-15T20:30:00Z</dcterms:created>
  <dcterms:modified xsi:type="dcterms:W3CDTF">2017-12-15T20:30:00Z</dcterms:modified>
</cp:coreProperties>
</file>